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9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27"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399"/>
        <w:spacing w:after="0"/>
        <w:rPr>
          <w:sz w:val="20"/>
          <w:szCs w:val="20"/>
          <w:color w:val="auto"/>
        </w:rPr>
      </w:pPr>
      <w:r>
        <w:rPr>
          <w:rFonts w:ascii="Arial" w:cs="Arial" w:eastAsia="Arial" w:hAnsi="Arial"/>
          <w:sz w:val="18"/>
          <w:szCs w:val="18"/>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2679700</wp:posOffset>
            </wp:positionH>
            <wp:positionV relativeFrom="paragraph">
              <wp:posOffset>177165</wp:posOffset>
            </wp:positionV>
            <wp:extent cx="178308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0" w:lineRule="exact"/>
        <w:rPr>
          <w:sz w:val="24"/>
          <w:szCs w:val="24"/>
          <w:color w:val="auto"/>
        </w:rPr>
      </w:pPr>
    </w:p>
    <w:p>
      <w:pPr>
        <w:spacing w:after="0" w:line="342"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2679700</wp:posOffset>
            </wp:positionH>
            <wp:positionV relativeFrom="paragraph">
              <wp:posOffset>186055</wp:posOffset>
            </wp:positionV>
            <wp:extent cx="178308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0" w:lineRule="exact"/>
        <w:rPr>
          <w:sz w:val="24"/>
          <w:szCs w:val="24"/>
          <w:color w:val="auto"/>
        </w:rPr>
      </w:pPr>
    </w:p>
    <w:p>
      <w:pPr>
        <w:spacing w:after="0" w:line="366" w:lineRule="exact"/>
        <w:rPr>
          <w:sz w:val="24"/>
          <w:szCs w:val="24"/>
          <w:color w:val="auto"/>
        </w:rPr>
      </w:pPr>
    </w:p>
    <w:p>
      <w:pPr>
        <w:ind w:left="1300"/>
        <w:spacing w:after="0"/>
        <w:rPr>
          <w:sz w:val="20"/>
          <w:szCs w:val="20"/>
          <w:color w:val="auto"/>
        </w:rPr>
      </w:pPr>
      <w:r>
        <w:rPr>
          <w:rFonts w:ascii="Arial" w:cs="Arial" w:eastAsia="Arial" w:hAnsi="Arial"/>
          <w:sz w:val="18"/>
          <w:szCs w:val="18"/>
          <w:b w:val="1"/>
          <w:bCs w:val="1"/>
          <w:color w:val="auto"/>
        </w:rPr>
        <w:t>(Mark One)</w:t>
      </w:r>
    </w:p>
    <w:p>
      <w:pPr>
        <w:spacing w:after="0" w:line="22" w:lineRule="exact"/>
        <w:rPr>
          <w:sz w:val="24"/>
          <w:szCs w:val="24"/>
          <w:color w:val="auto"/>
        </w:rPr>
      </w:pPr>
    </w:p>
    <w:p>
      <w:pPr>
        <w:ind w:left="2880" w:hanging="215"/>
        <w:spacing w:after="0"/>
        <w:tabs>
          <w:tab w:leader="none" w:pos="288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REGISTRATION STATEMENT PURSUANT TO SECTION 12(b) OR (g) OF</w:t>
      </w:r>
    </w:p>
    <w:p>
      <w:pPr>
        <w:spacing w:after="0" w:line="16"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THE SECURITIES EXCHANGE ACT OF 1934</w:t>
      </w:r>
    </w:p>
    <w:p>
      <w:pPr>
        <w:spacing w:after="0" w:line="7"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11" w:lineRule="exact"/>
        <w:rPr>
          <w:sz w:val="24"/>
          <w:szCs w:val="24"/>
          <w:color w:val="auto"/>
        </w:rPr>
      </w:pPr>
    </w:p>
    <w:p>
      <w:pPr>
        <w:ind w:left="3860" w:right="2740" w:hanging="732"/>
        <w:spacing w:after="0" w:line="258" w:lineRule="auto"/>
        <w:tabs>
          <w:tab w:leader="none" w:pos="3328" w:val="left"/>
        </w:tabs>
        <w:numPr>
          <w:ilvl w:val="0"/>
          <w:numId w:val="2"/>
        </w:numPr>
        <w:rPr>
          <w:rFonts w:ascii="MS PGothic" w:cs="MS PGothic" w:eastAsia="MS PGothic" w:hAnsi="MS PGothic"/>
          <w:sz w:val="18"/>
          <w:szCs w:val="18"/>
          <w:color w:val="auto"/>
        </w:rPr>
      </w:pPr>
      <w:r>
        <w:rPr>
          <w:rFonts w:ascii="Arial" w:cs="Arial" w:eastAsia="Arial" w:hAnsi="Arial"/>
          <w:sz w:val="18"/>
          <w:szCs w:val="18"/>
          <w:color w:val="auto"/>
        </w:rPr>
        <w:t>ANNUAL REPORT PURSUANT TO SECTION 13 OR 15(d) OF THE SECURITIES EXCHANGE ACT OF 1934</w:t>
      </w:r>
    </w:p>
    <w:p>
      <w:pPr>
        <w:spacing w:after="0" w:line="1" w:lineRule="exact"/>
        <w:rPr>
          <w:rFonts w:ascii="MS PGothic" w:cs="MS PGothic" w:eastAsia="MS PGothic" w:hAnsi="MS PGothic"/>
          <w:sz w:val="18"/>
          <w:szCs w:val="18"/>
          <w:color w:val="auto"/>
        </w:rPr>
      </w:pPr>
    </w:p>
    <w:p>
      <w:pPr>
        <w:ind w:left="4000"/>
        <w:spacing w:after="0"/>
        <w:rPr>
          <w:rFonts w:ascii="MS PGothic" w:cs="MS PGothic" w:eastAsia="MS PGothic" w:hAnsi="MS PGothic"/>
          <w:sz w:val="18"/>
          <w:szCs w:val="18"/>
          <w:color w:val="auto"/>
        </w:rPr>
      </w:pPr>
      <w:r>
        <w:rPr>
          <w:rFonts w:ascii="Arial" w:cs="Arial" w:eastAsia="Arial" w:hAnsi="Arial"/>
          <w:sz w:val="18"/>
          <w:szCs w:val="18"/>
          <w:color w:val="auto"/>
        </w:rPr>
        <w:t>For the fiscal year ended December 31, 2020</w:t>
      </w:r>
    </w:p>
    <w:p>
      <w:pPr>
        <w:spacing w:after="0" w:line="211"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860" w:right="2580" w:hanging="895"/>
        <w:spacing w:after="0" w:line="308" w:lineRule="auto"/>
        <w:tabs>
          <w:tab w:leader="none" w:pos="3172" w:val="left"/>
        </w:tabs>
        <w:numPr>
          <w:ilvl w:val="0"/>
          <w:numId w:val="3"/>
        </w:numPr>
        <w:rPr>
          <w:rFonts w:ascii="MS PGothic" w:cs="MS PGothic" w:eastAsia="MS PGothic" w:hAnsi="MS PGothic"/>
          <w:sz w:val="17"/>
          <w:szCs w:val="17"/>
          <w:color w:val="auto"/>
        </w:rPr>
      </w:pPr>
      <w:r>
        <w:rPr>
          <w:rFonts w:ascii="Arial" w:cs="Arial" w:eastAsia="Arial" w:hAnsi="Arial"/>
          <w:sz w:val="17"/>
          <w:szCs w:val="17"/>
          <w:color w:val="auto"/>
        </w:rPr>
        <w:t>TRANSITION REPORT PURSUANT TO SECTION 13 OR 15(d) OF THE SECURITIES EXCHANGE ACT OF 1934</w:t>
      </w:r>
    </w:p>
    <w:p>
      <w:pPr>
        <w:spacing w:after="0" w:line="146"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OR</w:t>
      </w:r>
    </w:p>
    <w:p>
      <w:pPr>
        <w:spacing w:after="0" w:line="225" w:lineRule="exact"/>
        <w:rPr>
          <w:sz w:val="24"/>
          <w:szCs w:val="24"/>
          <w:color w:val="auto"/>
        </w:rPr>
      </w:pPr>
    </w:p>
    <w:p>
      <w:pPr>
        <w:ind w:left="3860" w:right="2380" w:hanging="1101"/>
        <w:spacing w:after="0" w:line="277" w:lineRule="auto"/>
        <w:tabs>
          <w:tab w:leader="none" w:pos="2969" w:val="left"/>
        </w:tabs>
        <w:numPr>
          <w:ilvl w:val="0"/>
          <w:numId w:val="4"/>
        </w:numPr>
        <w:rPr>
          <w:rFonts w:ascii="MS PGothic" w:cs="MS PGothic" w:eastAsia="MS PGothic" w:hAnsi="MS PGothic"/>
          <w:sz w:val="18"/>
          <w:szCs w:val="18"/>
          <w:color w:val="auto"/>
        </w:rPr>
      </w:pPr>
      <w:r>
        <w:rPr>
          <w:rFonts w:ascii="Arial" w:cs="Arial" w:eastAsia="Arial" w:hAnsi="Arial"/>
          <w:sz w:val="18"/>
          <w:szCs w:val="18"/>
          <w:color w:val="auto"/>
        </w:rPr>
        <w:t>SHELL COMPANY REPORT PURSUANT TO SECTION 13 OR 15(d) OF THE SECURITIES EXCHANGE ACT OF 1934</w:t>
      </w:r>
    </w:p>
    <w:p>
      <w:pPr>
        <w:spacing w:after="0" w:line="170" w:lineRule="exact"/>
        <w:rPr>
          <w:sz w:val="24"/>
          <w:szCs w:val="24"/>
          <w:color w:val="auto"/>
        </w:rPr>
      </w:pPr>
    </w:p>
    <w:p>
      <w:pPr>
        <w:ind w:left="1300"/>
        <w:spacing w:after="0"/>
        <w:rPr>
          <w:sz w:val="20"/>
          <w:szCs w:val="20"/>
          <w:color w:val="auto"/>
        </w:rPr>
      </w:pPr>
      <w:r>
        <w:rPr>
          <w:rFonts w:ascii="Arial" w:cs="Arial" w:eastAsia="Arial" w:hAnsi="Arial"/>
          <w:sz w:val="18"/>
          <w:szCs w:val="18"/>
          <w:color w:val="auto"/>
        </w:rPr>
        <w:t>Date of event requiring this shell company report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3077210</wp:posOffset>
            </wp:positionH>
            <wp:positionV relativeFrom="paragraph">
              <wp:posOffset>-10160</wp:posOffset>
            </wp:positionV>
            <wp:extent cx="111379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113790" cy="8255"/>
                    </a:xfrm>
                    <a:prstGeom prst="rect">
                      <a:avLst/>
                    </a:prstGeom>
                    <a:noFill/>
                  </pic:spPr>
                </pic:pic>
              </a:graphicData>
            </a:graphic>
          </wp:anchor>
        </w:drawing>
      </w:r>
    </w:p>
    <w:p>
      <w:pPr>
        <w:spacing w:after="0" w:line="205" w:lineRule="exact"/>
        <w:rPr>
          <w:sz w:val="24"/>
          <w:szCs w:val="24"/>
          <w:color w:val="auto"/>
        </w:rPr>
      </w:pPr>
    </w:p>
    <w:p>
      <w:pPr>
        <w:ind w:left="3840"/>
        <w:spacing w:after="0"/>
        <w:rPr>
          <w:sz w:val="20"/>
          <w:szCs w:val="20"/>
          <w:color w:val="auto"/>
        </w:rPr>
      </w:pPr>
      <w:r>
        <w:rPr>
          <w:rFonts w:ascii="Arial" w:cs="Arial" w:eastAsia="Arial" w:hAnsi="Arial"/>
          <w:sz w:val="18"/>
          <w:szCs w:val="18"/>
          <w:color w:val="auto"/>
        </w:rPr>
        <w:t>For the transition period from ______ to _______</w:t>
      </w:r>
    </w:p>
    <w:p>
      <w:pPr>
        <w:spacing w:after="0" w:line="23" w:lineRule="exact"/>
        <w:rPr>
          <w:sz w:val="24"/>
          <w:szCs w:val="24"/>
          <w:color w:val="auto"/>
        </w:rPr>
      </w:pPr>
    </w:p>
    <w:p>
      <w:pPr>
        <w:jc w:val="center"/>
        <w:ind w:right="-399"/>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18" w:lineRule="exact"/>
        <w:rPr>
          <w:sz w:val="24"/>
          <w:szCs w:val="24"/>
          <w:color w:val="auto"/>
        </w:rPr>
      </w:pPr>
    </w:p>
    <w:p>
      <w:pPr>
        <w:jc w:val="center"/>
        <w:ind w:right="-399"/>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ind w:left="3720"/>
        <w:spacing w:after="0"/>
        <w:rPr>
          <w:sz w:val="20"/>
          <w:szCs w:val="20"/>
          <w:color w:val="auto"/>
        </w:rPr>
      </w:pPr>
      <w:r>
        <w:rPr>
          <w:rFonts w:ascii="Arial" w:cs="Arial" w:eastAsia="Arial" w:hAnsi="Arial"/>
          <w:sz w:val="18"/>
          <w:szCs w:val="18"/>
          <w:i w:val="1"/>
          <w:iCs w:val="1"/>
          <w:color w:val="auto"/>
        </w:rPr>
        <w:t>(Exact name of Registrant as specified in its charter)</w:t>
      </w:r>
    </w:p>
    <w:p>
      <w:pPr>
        <w:sectPr>
          <w:pgSz w:w="11900" w:h="16838" w:orient="portrait"/>
          <w:cols w:equalWidth="0" w:num="1">
            <w:col w:w="10860"/>
          </w:cols>
          <w:pgMar w:left="320" w:top="675" w:right="719" w:bottom="0" w:gutter="0" w:footer="0" w:header="0"/>
        </w:sectPr>
      </w:pPr>
    </w:p>
    <w:p>
      <w:pPr>
        <w:spacing w:after="0" w:line="205" w:lineRule="exact"/>
        <w:rPr>
          <w:sz w:val="24"/>
          <w:szCs w:val="24"/>
          <w:color w:val="auto"/>
        </w:rPr>
      </w:pPr>
    </w:p>
    <w:p>
      <w:pPr>
        <w:jc w:val="center"/>
        <w:ind w:right="38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380"/>
        <w:spacing w:after="0"/>
        <w:rPr>
          <w:sz w:val="20"/>
          <w:szCs w:val="20"/>
          <w:color w:val="auto"/>
        </w:rPr>
      </w:pPr>
      <w:r>
        <w:rPr>
          <w:rFonts w:ascii="Arial" w:cs="Arial" w:eastAsia="Arial" w:hAnsi="Arial"/>
          <w:sz w:val="18"/>
          <w:szCs w:val="18"/>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2679700</wp:posOffset>
            </wp:positionH>
            <wp:positionV relativeFrom="paragraph">
              <wp:posOffset>177165</wp:posOffset>
            </wp:positionV>
            <wp:extent cx="178308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783080" cy="8255"/>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85" w:lineRule="exact"/>
        <w:rPr>
          <w:sz w:val="24"/>
          <w:szCs w:val="24"/>
          <w:color w:val="auto"/>
        </w:rPr>
      </w:pPr>
    </w:p>
    <w:p>
      <w:pPr>
        <w:jc w:val="center"/>
        <w:ind w:right="740"/>
        <w:spacing w:after="0"/>
        <w:rPr>
          <w:sz w:val="20"/>
          <w:szCs w:val="20"/>
          <w:color w:val="auto"/>
        </w:rPr>
      </w:pPr>
      <w:r>
        <w:rPr>
          <w:rFonts w:ascii="Arial" w:cs="Arial" w:eastAsia="Arial" w:hAnsi="Arial"/>
          <w:sz w:val="18"/>
          <w:szCs w:val="18"/>
          <w:b w:val="1"/>
          <w:bCs w:val="1"/>
          <w:color w:val="auto"/>
        </w:rPr>
        <w:t>REPUBLIC OF PANAMA</w:t>
      </w:r>
    </w:p>
    <w:p>
      <w:pPr>
        <w:spacing w:after="0" w:line="27" w:lineRule="exact"/>
        <w:rPr>
          <w:sz w:val="24"/>
          <w:szCs w:val="24"/>
          <w:color w:val="auto"/>
        </w:rPr>
      </w:pPr>
    </w:p>
    <w:p>
      <w:pPr>
        <w:jc w:val="center"/>
        <w:ind w:right="740"/>
        <w:spacing w:after="0"/>
        <w:rPr>
          <w:sz w:val="20"/>
          <w:szCs w:val="20"/>
          <w:color w:val="auto"/>
        </w:rPr>
      </w:pPr>
      <w:r>
        <w:rPr>
          <w:rFonts w:ascii="Arial" w:cs="Arial" w:eastAsia="Arial" w:hAnsi="Arial"/>
          <w:sz w:val="17"/>
          <w:szCs w:val="17"/>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6020" w:space="720"/>
            <w:col w:w="4120"/>
          </w:cols>
          <w:pgMar w:left="320" w:top="675" w:right="719" w:bottom="0" w:gutter="0" w:footer="0" w:header="0"/>
          <w:type w:val="continuous"/>
        </w:sectPr>
      </w:pPr>
    </w:p>
    <w:p>
      <w:pPr>
        <w:spacing w:after="0" w:line="358"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Torre V, Business Park</w:t>
      </w:r>
    </w:p>
    <w:p>
      <w:pPr>
        <w:spacing w:after="0" w:line="27"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Avenida La Rotonda, Urb. Costa del Este</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P.O. Box 0819-08730</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Panama City, Republic of Panama</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2679700</wp:posOffset>
            </wp:positionH>
            <wp:positionV relativeFrom="paragraph">
              <wp:posOffset>177165</wp:posOffset>
            </wp:positionV>
            <wp:extent cx="178308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200" w:lineRule="exact"/>
        <w:rPr>
          <w:sz w:val="24"/>
          <w:szCs w:val="24"/>
          <w:color w:val="auto"/>
        </w:rPr>
      </w:pPr>
    </w:p>
    <w:p>
      <w:pPr>
        <w:spacing w:after="0" w:line="338"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Ana Graciela de Méndez</w:t>
      </w:r>
    </w:p>
    <w:p>
      <w:pPr>
        <w:spacing w:after="0" w:line="27"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Chief Financial Officer</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+507 210-8500</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b w:val="1"/>
          <w:bCs w:val="1"/>
          <w:color w:val="auto"/>
        </w:rPr>
        <w:t>Email address: amendez@bladex.com</w:t>
      </w:r>
    </w:p>
    <w:p>
      <w:pPr>
        <w:spacing w:after="0" w:line="9" w:lineRule="exact"/>
        <w:rPr>
          <w:sz w:val="24"/>
          <w:szCs w:val="24"/>
          <w:color w:val="auto"/>
        </w:rPr>
      </w:pPr>
    </w:p>
    <w:p>
      <w:pPr>
        <w:jc w:val="center"/>
        <w:ind w:right="-379"/>
        <w:spacing w:after="0"/>
        <w:rPr>
          <w:sz w:val="20"/>
          <w:szCs w:val="20"/>
          <w:color w:val="auto"/>
        </w:rPr>
      </w:pPr>
      <w:r>
        <w:rPr>
          <w:rFonts w:ascii="Arial" w:cs="Arial" w:eastAsia="Arial" w:hAnsi="Arial"/>
          <w:sz w:val="18"/>
          <w:szCs w:val="18"/>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2679700</wp:posOffset>
            </wp:positionH>
            <wp:positionV relativeFrom="paragraph">
              <wp:posOffset>331470</wp:posOffset>
            </wp:positionV>
            <wp:extent cx="178308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85" w:lineRule="exact"/>
        <w:rPr>
          <w:sz w:val="24"/>
          <w:szCs w:val="24"/>
          <w:color w:val="auto"/>
        </w:rPr>
      </w:pPr>
    </w:p>
    <w:p>
      <w:pPr>
        <w:ind w:left="2880"/>
        <w:spacing w:after="0"/>
        <w:rPr>
          <w:sz w:val="20"/>
          <w:szCs w:val="20"/>
          <w:color w:val="auto"/>
        </w:rPr>
      </w:pPr>
      <w:r>
        <w:rPr>
          <w:rFonts w:ascii="Arial" w:cs="Arial" w:eastAsia="Arial" w:hAnsi="Arial"/>
          <w:sz w:val="18"/>
          <w:szCs w:val="18"/>
          <w:color w:val="auto"/>
        </w:rPr>
        <w:t>Securities registered or to be registered pursuant to Section 12(b) of the Act.</w:t>
      </w:r>
    </w:p>
    <w:p>
      <w:pPr>
        <w:spacing w:after="0" w:line="221" w:lineRule="exact"/>
        <w:rPr>
          <w:sz w:val="24"/>
          <w:szCs w:val="24"/>
          <w:color w:val="auto"/>
        </w:rPr>
      </w:pPr>
    </w:p>
    <w:p>
      <w:pPr>
        <w:ind w:left="1180" w:right="80" w:firstLine="182"/>
        <w:spacing w:after="0" w:line="282" w:lineRule="auto"/>
        <w:rPr>
          <w:sz w:val="20"/>
          <w:szCs w:val="20"/>
          <w:color w:val="auto"/>
        </w:rPr>
      </w:pPr>
      <w:r>
        <w:rPr>
          <w:rFonts w:ascii="Arial" w:cs="Arial" w:eastAsia="Arial" w:hAnsi="Arial"/>
          <w:sz w:val="18"/>
          <w:szCs w:val="18"/>
          <w:b w:val="1"/>
          <w:bCs w:val="1"/>
          <w:color w:val="auto"/>
        </w:rPr>
        <w:t xml:space="preserve">Title of each class Trading Symbol Name of each exchange on which registered </w:t>
      </w:r>
      <w:r>
        <w:rPr>
          <w:rFonts w:ascii="Arial" w:cs="Arial" w:eastAsia="Arial" w:hAnsi="Arial"/>
          <w:sz w:val="18"/>
          <w:szCs w:val="18"/>
          <w:color w:val="auto"/>
        </w:rPr>
        <w:t>Class E Common Stock BLX New York Stock Exchange</w:t>
      </w:r>
    </w:p>
    <w:p>
      <w:pPr>
        <w:spacing w:after="0" w:line="166"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Securities registered or to be registered pursuant to Section 12(g) of the Act.</w:t>
      </w:r>
    </w:p>
    <w:p>
      <w:pPr>
        <w:spacing w:after="0" w:line="23"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None</w:t>
      </w:r>
    </w:p>
    <w:p>
      <w:pPr>
        <w:spacing w:after="0" w:line="211"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Securities for which there is a reporting obligation pursuant to Section 15(d) of the Act.</w:t>
      </w:r>
    </w:p>
    <w:p>
      <w:pPr>
        <w:spacing w:after="0" w:line="23" w:lineRule="exact"/>
        <w:rPr>
          <w:sz w:val="24"/>
          <w:szCs w:val="24"/>
          <w:color w:val="auto"/>
        </w:rPr>
      </w:pPr>
    </w:p>
    <w:p>
      <w:pPr>
        <w:jc w:val="center"/>
        <w:ind w:right="-379"/>
        <w:spacing w:after="0"/>
        <w:rPr>
          <w:sz w:val="20"/>
          <w:szCs w:val="20"/>
          <w:color w:val="auto"/>
        </w:rPr>
      </w:pPr>
      <w:r>
        <w:rPr>
          <w:rFonts w:ascii="Arial" w:cs="Arial" w:eastAsia="Arial" w:hAnsi="Arial"/>
          <w:sz w:val="18"/>
          <w:szCs w:val="18"/>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2679700</wp:posOffset>
            </wp:positionH>
            <wp:positionV relativeFrom="paragraph">
              <wp:posOffset>177165</wp:posOffset>
            </wp:positionV>
            <wp:extent cx="178308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200" w:lineRule="exact"/>
        <w:rPr>
          <w:sz w:val="24"/>
          <w:szCs w:val="24"/>
          <w:color w:val="auto"/>
        </w:rPr>
      </w:pPr>
    </w:p>
    <w:p>
      <w:pPr>
        <w:spacing w:after="0" w:line="342"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the number of outstanding shares of each of the issuer’s classes of capital or common stock as of the close of the period covered by the annual report.</w:t>
      </w:r>
    </w:p>
    <w:p>
      <w:pPr>
        <w:sectPr>
          <w:pgSz w:w="11900" w:h="16838" w:orient="portrait"/>
          <w:cols w:equalWidth="0" w:num="1">
            <w:col w:w="10860"/>
          </w:cols>
          <w:pgMar w:left="320" w:top="675" w:right="719" w:bottom="0" w:gutter="0" w:footer="0" w:header="0"/>
          <w:type w:val="continuous"/>
        </w:sectPr>
      </w:pPr>
    </w:p>
    <w:bookmarkStart w:id="1" w:name="page2"/>
    <w:bookmarkEnd w:id="1"/>
    <w:p>
      <w:pPr>
        <w:ind w:left="3880"/>
        <w:spacing w:after="0"/>
        <w:tabs>
          <w:tab w:leader="none" w:pos="5000" w:val="left"/>
        </w:tabs>
        <w:rPr>
          <w:sz w:val="20"/>
          <w:szCs w:val="20"/>
          <w:color w:val="auto"/>
        </w:rPr>
      </w:pPr>
      <w:r>
        <w:rPr>
          <w:rFonts w:ascii="Arial" w:cs="Arial" w:eastAsia="Arial" w:hAnsi="Arial"/>
          <w:sz w:val="18"/>
          <w:szCs w:val="18"/>
          <w:color w:val="auto"/>
        </w:rPr>
        <w:t>6,342,189</w:t>
      </w:r>
      <w:r>
        <w:rPr>
          <w:sz w:val="20"/>
          <w:szCs w:val="20"/>
          <w:color w:val="auto"/>
        </w:rPr>
        <w:tab/>
      </w:r>
      <w:r>
        <w:rPr>
          <w:rFonts w:ascii="Arial" w:cs="Arial" w:eastAsia="Arial" w:hAnsi="Arial"/>
          <w:sz w:val="18"/>
          <w:szCs w:val="18"/>
          <w:color w:val="auto"/>
        </w:rPr>
        <w:t>Shares of Class A Common Stock</w:t>
      </w:r>
    </w:p>
    <w:p>
      <w:pPr>
        <w:spacing w:after="0" w:line="23" w:lineRule="exact"/>
        <w:rPr>
          <w:sz w:val="20"/>
          <w:szCs w:val="20"/>
          <w:color w:val="auto"/>
        </w:rPr>
      </w:pPr>
    </w:p>
    <w:p>
      <w:pPr>
        <w:ind w:left="3880"/>
        <w:spacing w:after="0"/>
        <w:tabs>
          <w:tab w:leader="none" w:pos="5000" w:val="left"/>
        </w:tabs>
        <w:rPr>
          <w:sz w:val="20"/>
          <w:szCs w:val="20"/>
          <w:color w:val="auto"/>
        </w:rPr>
      </w:pPr>
      <w:r>
        <w:rPr>
          <w:rFonts w:ascii="Arial" w:cs="Arial" w:eastAsia="Arial" w:hAnsi="Arial"/>
          <w:sz w:val="18"/>
          <w:szCs w:val="18"/>
          <w:color w:val="auto"/>
        </w:rPr>
        <w:t>2,178,365</w:t>
      </w:r>
      <w:r>
        <w:rPr>
          <w:sz w:val="20"/>
          <w:szCs w:val="20"/>
          <w:color w:val="auto"/>
        </w:rPr>
        <w:tab/>
      </w:r>
      <w:r>
        <w:rPr>
          <w:rFonts w:ascii="Arial" w:cs="Arial" w:eastAsia="Arial" w:hAnsi="Arial"/>
          <w:sz w:val="18"/>
          <w:szCs w:val="18"/>
          <w:color w:val="auto"/>
        </w:rPr>
        <w:t>Shares of Class B Common Stock</w:t>
      </w:r>
    </w:p>
    <w:p>
      <w:pPr>
        <w:spacing w:after="0" w:line="9" w:lineRule="exact"/>
        <w:rPr>
          <w:sz w:val="20"/>
          <w:szCs w:val="20"/>
          <w:color w:val="auto"/>
        </w:rPr>
      </w:pPr>
    </w:p>
    <w:p>
      <w:pPr>
        <w:ind w:left="3800"/>
        <w:spacing w:after="0"/>
        <w:tabs>
          <w:tab w:leader="none" w:pos="5000" w:val="left"/>
        </w:tabs>
        <w:rPr>
          <w:sz w:val="20"/>
          <w:szCs w:val="20"/>
          <w:color w:val="auto"/>
        </w:rPr>
      </w:pPr>
      <w:r>
        <w:rPr>
          <w:rFonts w:ascii="Arial" w:cs="Arial" w:eastAsia="Arial" w:hAnsi="Arial"/>
          <w:sz w:val="18"/>
          <w:szCs w:val="18"/>
          <w:color w:val="auto"/>
        </w:rPr>
        <w:t>31,157,386</w:t>
      </w:r>
      <w:r>
        <w:rPr>
          <w:sz w:val="20"/>
          <w:szCs w:val="20"/>
          <w:color w:val="auto"/>
        </w:rPr>
        <w:tab/>
      </w:r>
      <w:r>
        <w:rPr>
          <w:rFonts w:ascii="Arial" w:cs="Arial" w:eastAsia="Arial" w:hAnsi="Arial"/>
          <w:sz w:val="18"/>
          <w:szCs w:val="18"/>
          <w:color w:val="auto"/>
        </w:rPr>
        <w:t>Shares of Class E Common Stock</w:t>
      </w:r>
    </w:p>
    <w:p>
      <w:pPr>
        <w:spacing w:after="0" w:line="9" w:lineRule="exact"/>
        <w:rPr>
          <w:sz w:val="20"/>
          <w:szCs w:val="20"/>
          <w:color w:val="auto"/>
        </w:rPr>
      </w:pPr>
    </w:p>
    <w:p>
      <w:pPr>
        <w:ind w:left="5020" w:hanging="506"/>
        <w:spacing w:after="0"/>
        <w:tabs>
          <w:tab w:leader="none" w:pos="5020" w:val="left"/>
        </w:tabs>
        <w:numPr>
          <w:ilvl w:val="0"/>
          <w:numId w:val="5"/>
        </w:numPr>
        <w:rPr>
          <w:rFonts w:ascii="Arial" w:cs="Arial" w:eastAsia="Arial" w:hAnsi="Arial"/>
          <w:sz w:val="18"/>
          <w:szCs w:val="18"/>
          <w:color w:val="auto"/>
        </w:rPr>
      </w:pPr>
      <w:r>
        <w:rPr>
          <w:rFonts w:ascii="Arial" w:cs="Arial" w:eastAsia="Arial" w:hAnsi="Arial"/>
          <w:sz w:val="18"/>
          <w:szCs w:val="18"/>
          <w:color w:val="auto"/>
        </w:rPr>
        <w:t>Shares of Class F Common Stock</w:t>
      </w:r>
    </w:p>
    <w:p>
      <w:pPr>
        <w:spacing w:after="0" w:line="9" w:lineRule="exact"/>
        <w:rPr>
          <w:rFonts w:ascii="Arial" w:cs="Arial" w:eastAsia="Arial" w:hAnsi="Arial"/>
          <w:sz w:val="18"/>
          <w:szCs w:val="18"/>
          <w:color w:val="auto"/>
        </w:rPr>
      </w:pPr>
    </w:p>
    <w:p>
      <w:pPr>
        <w:ind w:left="3800"/>
        <w:spacing w:after="0"/>
        <w:rPr>
          <w:rFonts w:ascii="Arial" w:cs="Arial" w:eastAsia="Arial" w:hAnsi="Arial"/>
          <w:sz w:val="18"/>
          <w:szCs w:val="18"/>
          <w:color w:val="auto"/>
        </w:rPr>
      </w:pPr>
      <w:r>
        <w:rPr>
          <w:rFonts w:ascii="Arial" w:cs="Arial" w:eastAsia="Arial" w:hAnsi="Arial"/>
          <w:sz w:val="18"/>
          <w:szCs w:val="18"/>
          <w:color w:val="auto"/>
        </w:rPr>
        <w:t>39,677,940</w:t>
      </w:r>
      <w:r>
        <w:rPr>
          <w:rFonts w:ascii="Arial" w:cs="Arial" w:eastAsia="Arial" w:hAnsi="Arial"/>
          <w:sz w:val="16"/>
          <w:szCs w:val="16"/>
          <w:color w:val="auto"/>
        </w:rPr>
        <w:t>Total Shares of Common Stock</w:t>
      </w:r>
    </w:p>
    <w:p>
      <w:pPr>
        <w:spacing w:after="0" w:line="211" w:lineRule="exact"/>
        <w:rPr>
          <w:sz w:val="20"/>
          <w:szCs w:val="20"/>
          <w:color w:val="auto"/>
        </w:rPr>
      </w:pPr>
    </w:p>
    <w:p>
      <w:pPr>
        <w:ind w:left="660"/>
        <w:spacing w:after="0"/>
        <w:rPr>
          <w:sz w:val="20"/>
          <w:szCs w:val="20"/>
          <w:color w:val="auto"/>
        </w:rPr>
      </w:pPr>
      <w:r>
        <w:rPr>
          <w:rFonts w:ascii="Arial" w:cs="Arial" w:eastAsia="Arial" w:hAnsi="Arial"/>
          <w:sz w:val="18"/>
          <w:szCs w:val="18"/>
          <w:color w:val="auto"/>
        </w:rPr>
        <w:t>Indicate by check mark if the registrant is a well-known seasoned issuer, as defined in Rule 405 of the Securities Act.</w:t>
      </w:r>
    </w:p>
    <w:p>
      <w:pPr>
        <w:spacing w:after="0" w:line="182"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23" w:lineRule="exact"/>
        <w:rPr>
          <w:sz w:val="20"/>
          <w:szCs w:val="20"/>
          <w:color w:val="auto"/>
        </w:rPr>
      </w:pPr>
    </w:p>
    <w:p>
      <w:pPr>
        <w:jc w:val="center"/>
        <w:spacing w:after="0" w:line="277" w:lineRule="auto"/>
        <w:rPr>
          <w:sz w:val="20"/>
          <w:szCs w:val="20"/>
          <w:color w:val="auto"/>
        </w:rPr>
      </w:pPr>
      <w:r>
        <w:rPr>
          <w:rFonts w:ascii="Arial" w:cs="Arial" w:eastAsia="Arial" w:hAnsi="Arial"/>
          <w:sz w:val="18"/>
          <w:szCs w:val="18"/>
          <w:color w:val="auto"/>
        </w:rPr>
        <w:t>If this report is an annual or transition report, indicate by check mark if the registrant is not required to file reports pursuant to Section 13 or 15(d) of the Securities Exchange Act of 1934.</w:t>
      </w:r>
    </w:p>
    <w:p>
      <w:pPr>
        <w:spacing w:after="0" w:line="127"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23" w:lineRule="exact"/>
        <w:rPr>
          <w:sz w:val="20"/>
          <w:szCs w:val="20"/>
          <w:color w:val="auto"/>
        </w:rPr>
      </w:pPr>
    </w:p>
    <w:p>
      <w:pPr>
        <w:jc w:val="center"/>
        <w:ind w:left="340" w:right="180"/>
        <w:spacing w:after="0" w:line="277" w:lineRule="auto"/>
        <w:rPr>
          <w:sz w:val="20"/>
          <w:szCs w:val="20"/>
          <w:color w:val="auto"/>
        </w:rPr>
      </w:pPr>
      <w:r>
        <w:rPr>
          <w:rFonts w:ascii="Arial" w:cs="Arial" w:eastAsia="Arial" w:hAnsi="Arial"/>
          <w:sz w:val="18"/>
          <w:szCs w:val="18"/>
          <w:color w:val="auto"/>
        </w:rPr>
        <w:t>Note – Checking the box above will not relieve any registrant required to file reports pursuant to Section 13 or 15(d) of the Securities Exchange Act of 1934 from their obligations under those Sections.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40"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23"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pPr>
        <w:spacing w:after="0" w:line="80"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23"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w:t>
      </w:r>
    </w:p>
    <w:p>
      <w:pPr>
        <w:sectPr>
          <w:pgSz w:w="11900" w:h="16838" w:orient="portrait"/>
          <w:cols w:equalWidth="0" w:num="1">
            <w:col w:w="11240"/>
          </w:cols>
          <w:pgMar w:left="320" w:top="125" w:right="339" w:bottom="1440" w:gutter="0" w:footer="0" w:header="0"/>
        </w:sectPr>
      </w:pPr>
    </w:p>
    <w:p>
      <w:pPr>
        <w:spacing w:after="0" w:line="138" w:lineRule="exact"/>
        <w:rPr>
          <w:sz w:val="20"/>
          <w:szCs w:val="20"/>
          <w:color w:val="auto"/>
        </w:rPr>
      </w:pPr>
    </w:p>
    <w:p>
      <w:pPr>
        <w:ind w:left="1140"/>
        <w:spacing w:after="0" w:line="242" w:lineRule="exact"/>
        <w:rPr>
          <w:sz w:val="20"/>
          <w:szCs w:val="20"/>
          <w:color w:val="auto"/>
        </w:rPr>
      </w:pPr>
      <w:r>
        <w:rPr>
          <w:rFonts w:ascii="Arial Unicode MS" w:cs="Arial Unicode MS" w:eastAsia="Arial Unicode MS" w:hAnsi="Arial Unicode MS"/>
          <w:sz w:val="18"/>
          <w:szCs w:val="18"/>
          <w:color w:val="auto"/>
        </w:rPr>
        <w:t>☐</w:t>
      </w:r>
    </w:p>
    <w:p>
      <w:pPr>
        <w:spacing w:after="0" w:line="20" w:lineRule="exact"/>
        <w:rPr>
          <w:sz w:val="20"/>
          <w:szCs w:val="20"/>
          <w:color w:val="auto"/>
        </w:rPr>
      </w:pPr>
      <w:r>
        <w:rPr>
          <w:sz w:val="20"/>
          <w:szCs w:val="20"/>
          <w:color w:val="auto"/>
        </w:rPr>
        <w:br w:type="column"/>
      </w:r>
    </w:p>
    <w:p>
      <w:pPr>
        <w:spacing w:after="0" w:line="150" w:lineRule="exact"/>
        <w:rPr>
          <w:sz w:val="20"/>
          <w:szCs w:val="20"/>
          <w:color w:val="auto"/>
        </w:rPr>
      </w:pPr>
    </w:p>
    <w:p>
      <w:pPr>
        <w:spacing w:after="0"/>
        <w:rPr>
          <w:sz w:val="20"/>
          <w:szCs w:val="20"/>
          <w:color w:val="auto"/>
        </w:rPr>
      </w:pPr>
      <w:r>
        <w:rPr>
          <w:rFonts w:ascii="Arial" w:cs="Arial" w:eastAsia="Arial" w:hAnsi="Arial"/>
          <w:sz w:val="16"/>
          <w:szCs w:val="16"/>
          <w:color w:val="auto"/>
        </w:rPr>
        <w:t>Large Accelerated Filer</w:t>
      </w:r>
    </w:p>
    <w:p>
      <w:pPr>
        <w:spacing w:after="0" w:line="20" w:lineRule="exact"/>
        <w:rPr>
          <w:sz w:val="20"/>
          <w:szCs w:val="20"/>
          <w:color w:val="auto"/>
        </w:rPr>
      </w:pPr>
      <w:r>
        <w:rPr>
          <w:sz w:val="20"/>
          <w:szCs w:val="20"/>
          <w:color w:val="auto"/>
        </w:rPr>
        <w:br w:type="column"/>
      </w:r>
    </w:p>
    <w:p>
      <w:pPr>
        <w:spacing w:after="0" w:line="118" w:lineRule="exact"/>
        <w:rPr>
          <w:sz w:val="20"/>
          <w:szCs w:val="20"/>
          <w:color w:val="auto"/>
        </w:rPr>
      </w:pPr>
    </w:p>
    <w:p>
      <w:pPr>
        <w:spacing w:after="0" w:line="242" w:lineRule="exact"/>
        <w:rPr>
          <w:sz w:val="20"/>
          <w:szCs w:val="20"/>
          <w:color w:val="auto"/>
        </w:rPr>
      </w:pPr>
      <w:r>
        <w:rPr>
          <w:rFonts w:ascii="Arial Unicode MS" w:cs="Arial Unicode MS" w:eastAsia="Arial Unicode MS" w:hAnsi="Arial Unicode MS"/>
          <w:sz w:val="18"/>
          <w:szCs w:val="18"/>
          <w:color w:val="auto"/>
        </w:rPr>
        <w:t>☒</w:t>
      </w:r>
    </w:p>
    <w:p>
      <w:pPr>
        <w:spacing w:after="0" w:line="20" w:lineRule="exact"/>
        <w:rPr>
          <w:sz w:val="20"/>
          <w:szCs w:val="20"/>
          <w:color w:val="auto"/>
        </w:rPr>
      </w:pPr>
      <w:r>
        <w:rPr>
          <w:sz w:val="20"/>
          <w:szCs w:val="20"/>
          <w:color w:val="auto"/>
        </w:rPr>
        <w:br w:type="column"/>
      </w:r>
    </w:p>
    <w:p>
      <w:pPr>
        <w:spacing w:after="0" w:line="150" w:lineRule="exact"/>
        <w:rPr>
          <w:sz w:val="20"/>
          <w:szCs w:val="20"/>
          <w:color w:val="auto"/>
        </w:rPr>
      </w:pPr>
    </w:p>
    <w:p>
      <w:pPr>
        <w:spacing w:after="0"/>
        <w:rPr>
          <w:sz w:val="20"/>
          <w:szCs w:val="20"/>
          <w:color w:val="auto"/>
        </w:rPr>
      </w:pPr>
      <w:r>
        <w:rPr>
          <w:rFonts w:ascii="Arial" w:cs="Arial" w:eastAsia="Arial" w:hAnsi="Arial"/>
          <w:sz w:val="16"/>
          <w:szCs w:val="16"/>
          <w:color w:val="auto"/>
        </w:rPr>
        <w:t>Accelerated Filer</w:t>
      </w:r>
    </w:p>
    <w:p>
      <w:pPr>
        <w:spacing w:after="0" w:line="20" w:lineRule="exact"/>
        <w:rPr>
          <w:sz w:val="20"/>
          <w:szCs w:val="20"/>
          <w:color w:val="auto"/>
        </w:rPr>
      </w:pPr>
      <w:r>
        <w:rPr>
          <w:sz w:val="20"/>
          <w:szCs w:val="20"/>
          <w:color w:val="auto"/>
        </w:rPr>
        <w:br w:type="column"/>
      </w:r>
    </w:p>
    <w:p>
      <w:pPr>
        <w:spacing w:after="0" w:line="118" w:lineRule="exact"/>
        <w:rPr>
          <w:sz w:val="20"/>
          <w:szCs w:val="20"/>
          <w:color w:val="auto"/>
        </w:rPr>
      </w:pPr>
    </w:p>
    <w:p>
      <w:pPr>
        <w:spacing w:after="0" w:line="242" w:lineRule="exact"/>
        <w:rPr>
          <w:sz w:val="20"/>
          <w:szCs w:val="20"/>
          <w:color w:val="auto"/>
        </w:rPr>
      </w:pPr>
      <w:r>
        <w:rPr>
          <w:rFonts w:ascii="Arial Unicode MS" w:cs="Arial Unicode MS" w:eastAsia="Arial Unicode MS" w:hAnsi="Arial Unicode MS"/>
          <w:sz w:val="18"/>
          <w:szCs w:val="18"/>
          <w:color w:val="auto"/>
        </w:rPr>
        <w:t>☐</w:t>
      </w:r>
    </w:p>
    <w:p>
      <w:pPr>
        <w:spacing w:after="0" w:line="17" w:lineRule="exact"/>
        <w:rPr>
          <w:sz w:val="20"/>
          <w:szCs w:val="20"/>
          <w:color w:val="auto"/>
        </w:rPr>
      </w:pPr>
    </w:p>
    <w:p>
      <w:pPr>
        <w:spacing w:after="0" w:line="242" w:lineRule="exact"/>
        <w:rPr>
          <w:sz w:val="20"/>
          <w:szCs w:val="20"/>
          <w:color w:val="auto"/>
        </w:rPr>
      </w:pPr>
      <w:r>
        <w:rPr>
          <w:rFonts w:ascii="Arial Unicode MS" w:cs="Arial Unicode MS" w:eastAsia="Arial Unicode MS" w:hAnsi="Arial Unicode MS"/>
          <w:sz w:val="18"/>
          <w:szCs w:val="18"/>
          <w:color w:val="auto"/>
        </w:rPr>
        <w:t>☐</w:t>
      </w:r>
    </w:p>
    <w:p>
      <w:pPr>
        <w:spacing w:after="0" w:line="20" w:lineRule="exact"/>
        <w:rPr>
          <w:sz w:val="20"/>
          <w:szCs w:val="20"/>
          <w:color w:val="auto"/>
        </w:rPr>
      </w:pPr>
      <w:r>
        <w:rPr>
          <w:sz w:val="20"/>
          <w:szCs w:val="20"/>
          <w:color w:val="auto"/>
        </w:rPr>
        <w:br w:type="column"/>
      </w:r>
    </w:p>
    <w:p>
      <w:pPr>
        <w:spacing w:after="0" w:line="150" w:lineRule="exact"/>
        <w:rPr>
          <w:sz w:val="20"/>
          <w:szCs w:val="20"/>
          <w:color w:val="auto"/>
        </w:rPr>
      </w:pPr>
    </w:p>
    <w:p>
      <w:pPr>
        <w:ind w:right="960"/>
        <w:spacing w:after="0" w:line="342" w:lineRule="auto"/>
        <w:rPr>
          <w:sz w:val="20"/>
          <w:szCs w:val="20"/>
          <w:color w:val="auto"/>
        </w:rPr>
      </w:pPr>
      <w:r>
        <w:rPr>
          <w:rFonts w:ascii="Arial" w:cs="Arial" w:eastAsia="Arial" w:hAnsi="Arial"/>
          <w:sz w:val="16"/>
          <w:szCs w:val="16"/>
          <w:color w:val="auto"/>
        </w:rPr>
        <w:t>Non-accelerated Filer Emerging growth company</w:t>
      </w:r>
    </w:p>
    <w:p>
      <w:pPr>
        <w:spacing w:after="0" w:line="124" w:lineRule="exact"/>
        <w:rPr>
          <w:sz w:val="20"/>
          <w:szCs w:val="20"/>
          <w:color w:val="auto"/>
        </w:rPr>
      </w:pPr>
    </w:p>
    <w:p>
      <w:pPr>
        <w:sectPr>
          <w:pgSz w:w="11900" w:h="16838" w:orient="portrait"/>
          <w:cols w:equalWidth="0" w:num="6">
            <w:col w:w="1300" w:space="320"/>
            <w:col w:w="2180" w:space="720"/>
            <w:col w:w="160" w:space="260"/>
            <w:col w:w="2220" w:space="720"/>
            <w:col w:w="160" w:space="280"/>
            <w:col w:w="2920"/>
          </w:cols>
          <w:pgMar w:left="320" w:top="125" w:right="339" w:bottom="1440" w:gutter="0" w:footer="0" w:header="0"/>
          <w:type w:val="continuous"/>
        </w:sectPr>
      </w:pPr>
    </w:p>
    <w:p>
      <w:pPr>
        <w:ind w:left="660"/>
        <w:spacing w:after="0" w:line="287" w:lineRule="auto"/>
        <w:rPr>
          <w:sz w:val="20"/>
          <w:szCs w:val="20"/>
          <w:color w:val="auto"/>
        </w:rPr>
      </w:pPr>
      <w:r>
        <w:rPr>
          <w:rFonts w:ascii="Arial" w:cs="Arial" w:eastAsia="Arial" w:hAnsi="Arial"/>
          <w:sz w:val="16"/>
          <w:szCs w:val="16"/>
          <w:color w:val="auto"/>
        </w:rPr>
        <w:t>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w:t>
      </w:r>
    </w:p>
    <w:p>
      <w:pPr>
        <w:spacing w:after="0" w:line="1" w:lineRule="exact"/>
        <w:rPr>
          <w:sz w:val="20"/>
          <w:szCs w:val="20"/>
          <w:color w:val="auto"/>
        </w:rPr>
      </w:pPr>
    </w:p>
    <w:p>
      <w:pPr>
        <w:ind w:left="660"/>
        <w:spacing w:after="0" w:line="242" w:lineRule="exact"/>
        <w:tabs>
          <w:tab w:leader="none" w:pos="4100" w:val="left"/>
        </w:tabs>
        <w:rPr>
          <w:sz w:val="20"/>
          <w:szCs w:val="20"/>
          <w:color w:val="auto"/>
        </w:rPr>
      </w:pPr>
      <w:r>
        <w:rPr>
          <w:rFonts w:ascii="Arial" w:cs="Arial" w:eastAsia="Arial" w:hAnsi="Arial"/>
          <w:sz w:val="18"/>
          <w:szCs w:val="18"/>
          <w:color w:val="auto"/>
        </w:rPr>
        <w:t>Section 13(a) of the Exchange Act.</w:t>
      </w:r>
      <w:r>
        <w:rPr>
          <w:sz w:val="20"/>
          <w:szCs w:val="20"/>
          <w:color w:val="auto"/>
        </w:rPr>
        <w:tab/>
      </w:r>
      <w:r>
        <w:rPr>
          <w:rFonts w:ascii="Arial Unicode MS" w:cs="Arial Unicode MS" w:eastAsia="Arial Unicode MS" w:hAnsi="Arial Unicode MS"/>
          <w:sz w:val="18"/>
          <w:szCs w:val="18"/>
          <w:color w:val="auto"/>
        </w:rPr>
        <w:t>☐</w:t>
      </w:r>
    </w:p>
    <w:p>
      <w:pPr>
        <w:spacing w:after="0" w:line="182" w:lineRule="exact"/>
        <w:rPr>
          <w:sz w:val="20"/>
          <w:szCs w:val="20"/>
          <w:color w:val="auto"/>
        </w:rPr>
      </w:pPr>
    </w:p>
    <w:p>
      <w:pPr>
        <w:ind w:left="660" w:hanging="4"/>
        <w:spacing w:after="0" w:line="277" w:lineRule="auto"/>
        <w:tabs>
          <w:tab w:leader="none" w:pos="856"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term “new or revised financial accounting standard” refers to any update issued by the Financial Accounting Standards Board to its Accounting Standards Codification after April 5, 2012.</w:t>
      </w:r>
    </w:p>
    <w:p>
      <w:pPr>
        <w:spacing w:after="0" w:line="138" w:lineRule="exact"/>
        <w:rPr>
          <w:sz w:val="20"/>
          <w:szCs w:val="20"/>
          <w:color w:val="auto"/>
        </w:rPr>
      </w:pPr>
    </w:p>
    <w:p>
      <w:pPr>
        <w:ind w:right="20"/>
        <w:spacing w:after="0" w:line="237" w:lineRule="exact"/>
        <w:rPr>
          <w:sz w:val="20"/>
          <w:szCs w:val="20"/>
          <w:color w:val="auto"/>
        </w:rPr>
      </w:pPr>
      <w:r>
        <w:rPr>
          <w:rFonts w:ascii="Arial" w:cs="Arial" w:eastAsia="Arial" w:hAnsi="Arial"/>
          <w:sz w:val="16"/>
          <w:szCs w:val="16"/>
          <w:color w:val="auto"/>
        </w:rPr>
        <w:t xml:space="preserve">Indicate by check mark whether the registrant has </w:t>
      </w:r>
      <w:r>
        <w:rPr>
          <w:rFonts w:ascii="Arial Unicode MS" w:cs="Arial Unicode MS" w:eastAsia="Arial Unicode MS" w:hAnsi="Arial Unicode MS"/>
          <w:sz w:val="16"/>
          <w:szCs w:val="16"/>
          <w:color w:val="auto"/>
        </w:rPr>
        <w:t></w:t>
      </w:r>
      <w:r>
        <w:rPr>
          <w:rFonts w:ascii="Arial" w:cs="Arial" w:eastAsia="Arial" w:hAnsi="Arial"/>
          <w:sz w:val="16"/>
          <w:szCs w:val="16"/>
          <w:color w:val="auto"/>
        </w:rPr>
        <w:t>led a report on and attestation to its management’s assessment of the e</w:t>
      </w:r>
      <w:r>
        <w:rPr>
          <w:rFonts w:ascii="Arial Unicode MS" w:cs="Arial Unicode MS" w:eastAsia="Arial Unicode MS" w:hAnsi="Arial Unicode MS"/>
          <w:sz w:val="16"/>
          <w:szCs w:val="16"/>
          <w:color w:val="auto"/>
        </w:rPr>
        <w:t>ﬀ</w:t>
      </w:r>
      <w:r>
        <w:rPr>
          <w:rFonts w:ascii="Arial" w:cs="Arial" w:eastAsia="Arial" w:hAnsi="Arial"/>
          <w:sz w:val="16"/>
          <w:szCs w:val="16"/>
          <w:color w:val="auto"/>
        </w:rPr>
        <w:t xml:space="preserve">ectiveness of its internal control over </w:t>
      </w:r>
      <w:r>
        <w:rPr>
          <w:rFonts w:ascii="Arial Unicode MS" w:cs="Arial Unicode MS" w:eastAsia="Arial Unicode MS" w:hAnsi="Arial Unicode MS"/>
          <w:sz w:val="16"/>
          <w:szCs w:val="16"/>
          <w:color w:val="auto"/>
        </w:rPr>
        <w:t></w:t>
      </w:r>
      <w:r>
        <w:rPr>
          <w:rFonts w:ascii="Arial" w:cs="Arial" w:eastAsia="Arial" w:hAnsi="Arial"/>
          <w:sz w:val="16"/>
          <w:szCs w:val="16"/>
          <w:color w:val="auto"/>
        </w:rPr>
        <w:t xml:space="preserve">nancial reporting under Section 404(b) of the Sarbanes-Oxley Act (15 U.S.C. 7262(b)) by the registered public accounting </w:t>
      </w:r>
      <w:r>
        <w:rPr>
          <w:rFonts w:ascii="Arial Unicode MS" w:cs="Arial Unicode MS" w:eastAsia="Arial Unicode MS" w:hAnsi="Arial Unicode MS"/>
          <w:sz w:val="16"/>
          <w:szCs w:val="16"/>
          <w:color w:val="auto"/>
        </w:rPr>
        <w:t></w:t>
      </w:r>
      <w:r>
        <w:rPr>
          <w:rFonts w:ascii="Arial" w:cs="Arial" w:eastAsia="Arial" w:hAnsi="Arial"/>
          <w:sz w:val="16"/>
          <w:szCs w:val="16"/>
          <w:color w:val="auto"/>
        </w:rPr>
        <w:t>rm that prepared or</w:t>
      </w:r>
    </w:p>
    <w:p>
      <w:pPr>
        <w:spacing w:after="0" w:line="242" w:lineRule="exact"/>
        <w:tabs>
          <w:tab w:leader="none" w:pos="4280" w:val="left"/>
        </w:tabs>
        <w:rPr>
          <w:sz w:val="20"/>
          <w:szCs w:val="20"/>
          <w:color w:val="auto"/>
        </w:rPr>
      </w:pPr>
      <w:r>
        <w:rPr>
          <w:rFonts w:ascii="Arial" w:cs="Arial" w:eastAsia="Arial" w:hAnsi="Arial"/>
          <w:sz w:val="18"/>
          <w:szCs w:val="18"/>
          <w:color w:val="auto"/>
        </w:rPr>
        <w:t>issued its audit report.</w:t>
      </w:r>
      <w:r>
        <w:rPr>
          <w:sz w:val="20"/>
          <w:szCs w:val="20"/>
          <w:color w:val="auto"/>
        </w:rPr>
        <w:tab/>
      </w:r>
      <w:r>
        <w:rPr>
          <w:rFonts w:ascii="Arial Unicode MS" w:cs="Arial Unicode MS" w:eastAsia="Arial Unicode MS" w:hAnsi="Arial Unicode MS"/>
          <w:sz w:val="18"/>
          <w:szCs w:val="18"/>
          <w:color w:val="auto"/>
        </w:rPr>
        <w:t>☒</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color w:val="auto"/>
        </w:rPr>
        <w:t>Indicate by check mark which basis of accounting the registrant has used to prepare the financial statements included in this filing:</w:t>
      </w:r>
    </w:p>
    <w:p>
      <w:pPr>
        <w:sectPr>
          <w:pgSz w:w="11900" w:h="16838" w:orient="portrait"/>
          <w:cols w:equalWidth="0" w:num="1">
            <w:col w:w="11240"/>
          </w:cols>
          <w:pgMar w:left="320" w:top="125" w:right="339" w:bottom="1440" w:gutter="0" w:footer="0" w:header="0"/>
          <w:type w:val="continuous"/>
        </w:sectPr>
      </w:pPr>
    </w:p>
    <w:p>
      <w:pPr>
        <w:spacing w:after="0" w:line="192" w:lineRule="exact"/>
        <w:rPr>
          <w:sz w:val="20"/>
          <w:szCs w:val="20"/>
          <w:color w:val="auto"/>
        </w:rPr>
      </w:pPr>
    </w:p>
    <w:p>
      <w:pPr>
        <w:ind w:left="1140"/>
        <w:spacing w:after="0" w:line="242" w:lineRule="exact"/>
        <w:rPr>
          <w:sz w:val="20"/>
          <w:szCs w:val="20"/>
          <w:color w:val="auto"/>
        </w:rPr>
      </w:pPr>
      <w:r>
        <w:rPr>
          <w:rFonts w:ascii="Arial Unicode MS" w:cs="Arial Unicode MS" w:eastAsia="Arial Unicode MS" w:hAnsi="Arial Unicode MS"/>
          <w:sz w:val="18"/>
          <w:szCs w:val="18"/>
          <w:color w:val="auto"/>
        </w:rPr>
        <w:t>☐</w:t>
      </w:r>
    </w:p>
    <w:p>
      <w:pPr>
        <w:spacing w:after="0" w:line="20" w:lineRule="exact"/>
        <w:rPr>
          <w:sz w:val="20"/>
          <w:szCs w:val="20"/>
          <w:color w:val="auto"/>
        </w:rPr>
      </w:pPr>
      <w:r>
        <w:rPr>
          <w:sz w:val="20"/>
          <w:szCs w:val="20"/>
          <w:color w:val="auto"/>
        </w:rPr>
        <w:br w:type="column"/>
      </w:r>
    </w:p>
    <w:p>
      <w:pPr>
        <w:spacing w:after="0" w:line="205" w:lineRule="exact"/>
        <w:rPr>
          <w:sz w:val="20"/>
          <w:szCs w:val="20"/>
          <w:color w:val="auto"/>
        </w:rPr>
      </w:pPr>
    </w:p>
    <w:p>
      <w:pPr>
        <w:spacing w:after="0"/>
        <w:rPr>
          <w:sz w:val="20"/>
          <w:szCs w:val="20"/>
          <w:color w:val="auto"/>
        </w:rPr>
      </w:pPr>
      <w:r>
        <w:rPr>
          <w:rFonts w:ascii="Arial" w:cs="Arial" w:eastAsia="Arial" w:hAnsi="Arial"/>
          <w:sz w:val="17"/>
          <w:szCs w:val="17"/>
          <w:color w:val="auto"/>
        </w:rPr>
        <w:t>U.S. GAAP</w:t>
      </w:r>
    </w:p>
    <w:p>
      <w:pPr>
        <w:spacing w:after="0" w:line="20" w:lineRule="exact"/>
        <w:rPr>
          <w:sz w:val="20"/>
          <w:szCs w:val="20"/>
          <w:color w:val="auto"/>
        </w:rPr>
      </w:pPr>
      <w:r>
        <w:rPr>
          <w:sz w:val="20"/>
          <w:szCs w:val="20"/>
          <w:color w:val="auto"/>
        </w:rPr>
        <w:br w:type="column"/>
      </w:r>
    </w:p>
    <w:p>
      <w:pPr>
        <w:spacing w:after="0" w:line="172" w:lineRule="exact"/>
        <w:rPr>
          <w:sz w:val="20"/>
          <w:szCs w:val="20"/>
          <w:color w:val="auto"/>
        </w:rPr>
      </w:pPr>
    </w:p>
    <w:p>
      <w:pPr>
        <w:spacing w:after="0" w:line="239" w:lineRule="exact"/>
        <w:rPr>
          <w:sz w:val="20"/>
          <w:szCs w:val="20"/>
          <w:color w:val="auto"/>
        </w:rPr>
      </w:pPr>
      <w:r>
        <w:rPr>
          <w:rFonts w:ascii="Arial Unicode MS" w:cs="Arial Unicode MS" w:eastAsia="Arial Unicode MS" w:hAnsi="Arial Unicode MS"/>
          <w:sz w:val="17"/>
          <w:szCs w:val="17"/>
          <w:color w:val="auto"/>
        </w:rPr>
        <w:t>☒</w:t>
      </w:r>
      <w:r>
        <w:rPr>
          <w:rFonts w:ascii="Arial" w:cs="Arial" w:eastAsia="Arial" w:hAnsi="Arial"/>
          <w:sz w:val="17"/>
          <w:szCs w:val="17"/>
          <w:color w:val="auto"/>
        </w:rPr>
        <w:t xml:space="preserve"> International Financial Reporting Standards as issued by the International Accounting Standards Board</w:t>
      </w:r>
    </w:p>
    <w:p>
      <w:pPr>
        <w:spacing w:after="0" w:line="20" w:lineRule="exact"/>
        <w:rPr>
          <w:sz w:val="20"/>
          <w:szCs w:val="20"/>
          <w:color w:val="auto"/>
        </w:rPr>
      </w:pPr>
      <w:r>
        <w:rPr>
          <w:sz w:val="20"/>
          <w:szCs w:val="20"/>
          <w:color w:val="auto"/>
        </w:rPr>
        <w:br w:type="column"/>
      </w:r>
    </w:p>
    <w:p>
      <w:pPr>
        <w:spacing w:after="0" w:line="172" w:lineRule="exact"/>
        <w:rPr>
          <w:sz w:val="20"/>
          <w:szCs w:val="20"/>
          <w:color w:val="auto"/>
        </w:rPr>
      </w:pPr>
    </w:p>
    <w:p>
      <w:pPr>
        <w:spacing w:after="0" w:line="228" w:lineRule="exact"/>
        <w:rPr>
          <w:sz w:val="20"/>
          <w:szCs w:val="20"/>
          <w:color w:val="auto"/>
        </w:rPr>
      </w:pPr>
      <w:r>
        <w:rPr>
          <w:rFonts w:ascii="Arial Unicode MS" w:cs="Arial Unicode MS" w:eastAsia="Arial Unicode MS" w:hAnsi="Arial Unicode MS"/>
          <w:sz w:val="17"/>
          <w:szCs w:val="17"/>
          <w:color w:val="auto"/>
        </w:rPr>
        <w:t>☐</w:t>
      </w:r>
      <w:r>
        <w:rPr>
          <w:rFonts w:ascii="Arial" w:cs="Arial" w:eastAsia="Arial" w:hAnsi="Arial"/>
          <w:sz w:val="17"/>
          <w:szCs w:val="17"/>
          <w:color w:val="auto"/>
        </w:rPr>
        <w:t xml:space="preserve"> Other</w:t>
      </w:r>
    </w:p>
    <w:p>
      <w:pPr>
        <w:spacing w:after="0" w:line="450" w:lineRule="exact"/>
        <w:rPr>
          <w:sz w:val="20"/>
          <w:szCs w:val="20"/>
          <w:color w:val="auto"/>
        </w:rPr>
      </w:pPr>
    </w:p>
    <w:p>
      <w:pPr>
        <w:sectPr>
          <w:pgSz w:w="11900" w:h="16838" w:orient="portrait"/>
          <w:cols w:equalWidth="0" w:num="4">
            <w:col w:w="1300" w:space="180"/>
            <w:col w:w="1200" w:space="720"/>
            <w:col w:w="4220" w:space="260"/>
            <w:col w:w="3360"/>
          </w:cols>
          <w:pgMar w:left="320" w:top="125" w:right="339" w:bottom="1440" w:gutter="0" w:footer="0" w:header="0"/>
          <w:type w:val="continuous"/>
        </w:sectPr>
      </w:pPr>
    </w:p>
    <w:p>
      <w:pPr>
        <w:spacing w:after="0" w:line="3" w:lineRule="exact"/>
        <w:rPr>
          <w:sz w:val="20"/>
          <w:szCs w:val="20"/>
          <w:color w:val="auto"/>
        </w:rPr>
      </w:pPr>
    </w:p>
    <w:p>
      <w:pPr>
        <w:ind w:right="540"/>
        <w:spacing w:after="0" w:line="277" w:lineRule="auto"/>
        <w:rPr>
          <w:sz w:val="20"/>
          <w:szCs w:val="20"/>
          <w:color w:val="auto"/>
        </w:rPr>
      </w:pPr>
      <w:r>
        <w:rPr>
          <w:rFonts w:ascii="Arial" w:cs="Arial" w:eastAsia="Arial" w:hAnsi="Arial"/>
          <w:sz w:val="18"/>
          <w:szCs w:val="18"/>
          <w:color w:val="auto"/>
        </w:rPr>
        <w:t>If “Other” has been checked in response to the previous question, indicate by check mark which financial statement item the registrant has elected to follow.</w:t>
      </w:r>
    </w:p>
    <w:p>
      <w:pPr>
        <w:spacing w:after="0" w:line="127" w:lineRule="exact"/>
        <w:rPr>
          <w:sz w:val="20"/>
          <w:szCs w:val="20"/>
          <w:color w:val="auto"/>
        </w:rPr>
      </w:pPr>
    </w:p>
    <w:p>
      <w:pPr>
        <w:ind w:left="3420"/>
        <w:spacing w:after="0" w:line="253" w:lineRule="exact"/>
        <w:tabs>
          <w:tab w:leader="none" w:pos="4000" w:val="left"/>
          <w:tab w:leader="none" w:pos="6660" w:val="left"/>
          <w:tab w:leader="none" w:pos="71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Item 17</w:t>
      </w:r>
      <w:r>
        <w:rPr>
          <w:sz w:val="20"/>
          <w:szCs w:val="20"/>
          <w:color w:val="auto"/>
        </w:rPr>
        <w:tab/>
      </w:r>
      <w:r>
        <w:rPr>
          <w:rFonts w:ascii="Arial Unicode MS" w:cs="Arial Unicode MS" w:eastAsia="Arial Unicode MS" w:hAnsi="Arial Unicode MS"/>
          <w:sz w:val="18"/>
          <w:szCs w:val="18"/>
          <w:color w:val="auto"/>
        </w:rPr>
        <w:t>☐</w:t>
      </w:r>
      <w:r>
        <w:rPr>
          <w:sz w:val="20"/>
          <w:szCs w:val="20"/>
          <w:color w:val="auto"/>
        </w:rPr>
        <w:tab/>
      </w:r>
      <w:r>
        <w:rPr>
          <w:rFonts w:ascii="Arial" w:cs="Arial" w:eastAsia="Arial" w:hAnsi="Arial"/>
          <w:sz w:val="16"/>
          <w:szCs w:val="16"/>
          <w:color w:val="auto"/>
        </w:rPr>
        <w:t>Item 18</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If this is an annual report, indicate by check mark whether the registrant is a shell company (as defined in Rule 12b-2 of the Exchange Act).</w:t>
      </w:r>
    </w:p>
    <w:p>
      <w:pPr>
        <w:spacing w:after="0" w:line="182"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color w:val="auto"/>
        </w:rPr>
        <w:t>(APPLICABLE ONLY TO ISSUERS INVOLVED IN BANKRUPTCY PROCEEDINGS DURING THE PAST FIVE YEARS)</w:t>
      </w:r>
    </w:p>
    <w:p>
      <w:pPr>
        <w:spacing w:after="0" w:line="225" w:lineRule="exact"/>
        <w:rPr>
          <w:sz w:val="20"/>
          <w:szCs w:val="20"/>
          <w:color w:val="auto"/>
        </w:rPr>
      </w:pPr>
    </w:p>
    <w:p>
      <w:pPr>
        <w:spacing w:after="0" w:line="224" w:lineRule="exact"/>
        <w:rPr>
          <w:sz w:val="20"/>
          <w:szCs w:val="20"/>
          <w:color w:val="auto"/>
        </w:rPr>
      </w:pPr>
      <w:r>
        <w:rPr>
          <w:rFonts w:ascii="Arial" w:cs="Arial" w:eastAsia="Arial" w:hAnsi="Arial"/>
          <w:sz w:val="18"/>
          <w:szCs w:val="18"/>
          <w:color w:val="auto"/>
        </w:rPr>
        <w:t xml:space="preserve">Indicate by check mark whether the registrant has </w:t>
      </w:r>
      <w:r>
        <w:rPr>
          <w:rFonts w:ascii="Arial Unicode MS" w:cs="Arial Unicode MS" w:eastAsia="Arial Unicode MS" w:hAnsi="Arial Unicode MS"/>
          <w:sz w:val="18"/>
          <w:szCs w:val="18"/>
          <w:color w:val="auto"/>
        </w:rPr>
        <w:t></w:t>
      </w:r>
      <w:r>
        <w:rPr>
          <w:rFonts w:ascii="Arial" w:cs="Arial" w:eastAsia="Arial" w:hAnsi="Arial"/>
          <w:sz w:val="18"/>
          <w:szCs w:val="18"/>
          <w:color w:val="auto"/>
        </w:rPr>
        <w:t xml:space="preserve">led all documents and reports required to be </w:t>
      </w:r>
      <w:r>
        <w:rPr>
          <w:rFonts w:ascii="Arial Unicode MS" w:cs="Arial Unicode MS" w:eastAsia="Arial Unicode MS" w:hAnsi="Arial Unicode MS"/>
          <w:sz w:val="18"/>
          <w:szCs w:val="18"/>
          <w:color w:val="auto"/>
        </w:rPr>
        <w:t></w:t>
      </w:r>
      <w:r>
        <w:rPr>
          <w:rFonts w:ascii="Arial" w:cs="Arial" w:eastAsia="Arial" w:hAnsi="Arial"/>
          <w:sz w:val="18"/>
          <w:szCs w:val="18"/>
          <w:color w:val="auto"/>
        </w:rPr>
        <w:t>led by Sections 12, 13 or 15(d) of the Securities Exchange Act of 1934 subsequent to the distribution of securities under a plan con</w:t>
      </w:r>
      <w:r>
        <w:rPr>
          <w:rFonts w:ascii="Arial Unicode MS" w:cs="Arial Unicode MS" w:eastAsia="Arial Unicode MS" w:hAnsi="Arial Unicode MS"/>
          <w:sz w:val="18"/>
          <w:szCs w:val="18"/>
          <w:color w:val="auto"/>
        </w:rPr>
        <w:t></w:t>
      </w:r>
      <w:r>
        <w:rPr>
          <w:rFonts w:ascii="Arial" w:cs="Arial" w:eastAsia="Arial" w:hAnsi="Arial"/>
          <w:sz w:val="18"/>
          <w:szCs w:val="18"/>
          <w:color w:val="auto"/>
        </w:rPr>
        <w:t>rmed by a court.</w:t>
      </w:r>
    </w:p>
    <w:p>
      <w:pPr>
        <w:spacing w:after="0" w:line="158" w:lineRule="exact"/>
        <w:rPr>
          <w:sz w:val="20"/>
          <w:szCs w:val="20"/>
          <w:color w:val="auto"/>
        </w:rPr>
      </w:pPr>
    </w:p>
    <w:p>
      <w:pPr>
        <w:ind w:left="3580"/>
        <w:spacing w:after="0" w:line="253" w:lineRule="exact"/>
        <w:tabs>
          <w:tab w:leader="none" w:pos="4040" w:val="left"/>
          <w:tab w:leader="none" w:pos="7080" w:val="left"/>
        </w:tabs>
        <w:rPr>
          <w:sz w:val="20"/>
          <w:szCs w:val="20"/>
          <w:color w:val="auto"/>
        </w:rPr>
      </w:pPr>
      <w:r>
        <w:rPr>
          <w:rFonts w:ascii="Arial" w:cs="Arial" w:eastAsia="Arial" w:hAnsi="Arial"/>
          <w:sz w:val="18"/>
          <w:szCs w:val="18"/>
          <w:color w:val="auto"/>
        </w:rPr>
        <w:t>☐</w:t>
      </w:r>
      <w:r>
        <w:rPr>
          <w:sz w:val="20"/>
          <w:szCs w:val="20"/>
          <w:color w:val="auto"/>
        </w:rPr>
        <w:tab/>
      </w:r>
      <w:r>
        <w:rPr>
          <w:rFonts w:ascii="Arial" w:cs="Arial" w:eastAsia="Arial" w:hAnsi="Arial"/>
          <w:sz w:val="18"/>
          <w:szCs w:val="18"/>
          <w:color w:val="auto"/>
        </w:rPr>
        <w:t>Yes</w:t>
      </w:r>
      <w:r>
        <w:rPr>
          <w:sz w:val="20"/>
          <w:szCs w:val="20"/>
          <w:color w:val="auto"/>
        </w:rPr>
        <w:tab/>
      </w:r>
      <w:r>
        <w:rPr>
          <w:rFonts w:ascii="Arial Unicode MS" w:cs="Arial Unicode MS" w:eastAsia="Arial Unicode MS" w:hAnsi="Arial Unicode MS"/>
          <w:sz w:val="18"/>
          <w:szCs w:val="18"/>
          <w:color w:val="auto"/>
        </w:rPr>
        <w:t xml:space="preserve">☐ </w:t>
      </w:r>
      <w:r>
        <w:rPr>
          <w:rFonts w:ascii="Arial" w:cs="Arial" w:eastAsia="Arial" w:hAnsi="Arial"/>
          <w:sz w:val="18"/>
          <w:szCs w:val="18"/>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185420</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202565</wp:posOffset>
            </wp:positionV>
            <wp:extent cx="7132320" cy="260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528320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TABLE OF CONTENTS</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800" w:type="dxa"/>
            <w:vAlign w:val="bottom"/>
          </w:tcPr>
          <w:p>
            <w:pPr>
              <w:spacing w:after="0"/>
              <w:rPr>
                <w:sz w:val="17"/>
                <w:szCs w:val="17"/>
                <w:color w:val="auto"/>
              </w:rPr>
            </w:pPr>
          </w:p>
        </w:tc>
        <w:tc>
          <w:tcPr>
            <w:tcW w:w="3200" w:type="dxa"/>
            <w:vAlign w:val="bottom"/>
            <w:gridSpan w:val="6"/>
          </w:tcPr>
          <w:p>
            <w:pPr>
              <w:jc w:val="right"/>
              <w:ind w:right="20"/>
              <w:spacing w:after="0"/>
              <w:rPr>
                <w:sz w:val="20"/>
                <w:szCs w:val="20"/>
                <w:color w:val="auto"/>
              </w:rPr>
            </w:pPr>
            <w:r>
              <w:rPr>
                <w:rFonts w:ascii="Arial" w:cs="Arial" w:eastAsia="Arial" w:hAnsi="Arial"/>
                <w:sz w:val="18"/>
                <w:szCs w:val="18"/>
                <w:b w:val="1"/>
                <w:bCs w:val="1"/>
                <w:color w:val="auto"/>
              </w:rPr>
              <w:t>Page</w:t>
            </w:r>
          </w:p>
        </w:tc>
        <w:tc>
          <w:tcPr>
            <w:tcW w:w="0" w:type="dxa"/>
            <w:vAlign w:val="bottom"/>
          </w:tcPr>
          <w:p>
            <w:pPr>
              <w:spacing w:after="0"/>
              <w:rPr>
                <w:sz w:val="1"/>
                <w:szCs w:val="1"/>
                <w:color w:val="auto"/>
              </w:rPr>
            </w:pPr>
          </w:p>
        </w:tc>
      </w:tr>
      <w:tr>
        <w:trPr>
          <w:trHeight w:val="237"/>
        </w:trPr>
        <w:tc>
          <w:tcPr>
            <w:tcW w:w="3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80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83"/>
        </w:trPr>
        <w:tc>
          <w:tcPr>
            <w:tcW w:w="600" w:type="dxa"/>
            <w:vAlign w:val="bottom"/>
            <w:gridSpan w:val="2"/>
            <w:shd w:val="clear" w:color="auto" w:fill="CCEEFF"/>
          </w:tcPr>
          <w:p>
            <w:pPr>
              <w:spacing w:after="0"/>
              <w:rPr>
                <w:rFonts w:ascii="Arial" w:cs="Arial" w:eastAsia="Arial" w:hAnsi="Arial"/>
                <w:sz w:val="18"/>
                <w:szCs w:val="18"/>
                <w:b w:val="1"/>
                <w:bCs w:val="1"/>
                <w:color w:val="0000EE"/>
                <w:w w:val="98"/>
              </w:rPr>
            </w:pPr>
            <w:hyperlink w:anchor="page7">
              <w:r>
                <w:rPr>
                  <w:rFonts w:ascii="Arial" w:cs="Arial" w:eastAsia="Arial" w:hAnsi="Arial"/>
                  <w:sz w:val="18"/>
                  <w:szCs w:val="18"/>
                  <w:b w:val="1"/>
                  <w:bCs w:val="1"/>
                  <w:color w:val="0000EE"/>
                  <w:w w:val="98"/>
                </w:rPr>
                <w:t>PART I</w:t>
              </w:r>
            </w:hyperlink>
          </w:p>
        </w:tc>
        <w:tc>
          <w:tcPr>
            <w:tcW w:w="220" w:type="dxa"/>
            <w:vAlign w:val="bottom"/>
            <w:shd w:val="clear" w:color="auto" w:fill="CCEEFF"/>
          </w:tcPr>
          <w:p>
            <w:pPr>
              <w:spacing w:after="0"/>
              <w:rPr>
                <w:sz w:val="24"/>
                <w:szCs w:val="24"/>
                <w:color w:val="auto"/>
              </w:rPr>
            </w:pPr>
          </w:p>
        </w:tc>
        <w:tc>
          <w:tcPr>
            <w:tcW w:w="340" w:type="dxa"/>
            <w:vAlign w:val="bottom"/>
            <w:shd w:val="clear" w:color="auto" w:fill="CCEEFF"/>
          </w:tcPr>
          <w:p>
            <w:pPr>
              <w:spacing w:after="0"/>
              <w:rPr>
                <w:sz w:val="24"/>
                <w:szCs w:val="24"/>
                <w:color w:val="auto"/>
              </w:rPr>
            </w:pPr>
          </w:p>
        </w:tc>
        <w:tc>
          <w:tcPr>
            <w:tcW w:w="18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8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16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80" w:type="dxa"/>
            <w:vAlign w:val="bottom"/>
            <w:shd w:val="clear" w:color="auto" w:fill="CCEEFF"/>
          </w:tcPr>
          <w:p>
            <w:pPr>
              <w:spacing w:after="0"/>
              <w:rPr>
                <w:sz w:val="24"/>
                <w:szCs w:val="24"/>
                <w:color w:val="auto"/>
              </w:rPr>
            </w:pPr>
          </w:p>
        </w:tc>
        <w:tc>
          <w:tcPr>
            <w:tcW w:w="18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6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18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34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28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32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280" w:type="dxa"/>
            <w:vAlign w:val="bottom"/>
            <w:shd w:val="clear" w:color="auto" w:fill="CCEEFF"/>
          </w:tcPr>
          <w:p>
            <w:pPr>
              <w:spacing w:after="0"/>
              <w:rPr>
                <w:sz w:val="24"/>
                <w:szCs w:val="24"/>
                <w:color w:val="auto"/>
              </w:rPr>
            </w:pPr>
          </w:p>
        </w:tc>
        <w:tc>
          <w:tcPr>
            <w:tcW w:w="280" w:type="dxa"/>
            <w:vAlign w:val="bottom"/>
            <w:shd w:val="clear" w:color="auto" w:fill="CCEEFF"/>
          </w:tcPr>
          <w:p>
            <w:pPr>
              <w:spacing w:after="0"/>
              <w:rPr>
                <w:sz w:val="24"/>
                <w:szCs w:val="24"/>
                <w:color w:val="auto"/>
              </w:rPr>
            </w:pPr>
          </w:p>
        </w:tc>
        <w:tc>
          <w:tcPr>
            <w:tcW w:w="2800" w:type="dxa"/>
            <w:vAlign w:val="bottom"/>
            <w:shd w:val="clear" w:color="auto" w:fill="CCEEFF"/>
          </w:tcPr>
          <w:p>
            <w:pPr>
              <w:spacing w:after="0"/>
              <w:rPr>
                <w:sz w:val="24"/>
                <w:szCs w:val="24"/>
                <w:color w:val="auto"/>
              </w:rPr>
            </w:pPr>
          </w:p>
        </w:tc>
        <w:tc>
          <w:tcPr>
            <w:tcW w:w="3180" w:type="dxa"/>
            <w:vAlign w:val="bottom"/>
            <w:gridSpan w:val="5"/>
            <w:shd w:val="clear" w:color="auto" w:fill="CCEEFF"/>
          </w:tcPr>
          <w:p>
            <w:pPr>
              <w:jc w:val="right"/>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600" w:type="dxa"/>
            <w:vAlign w:val="bottom"/>
            <w:gridSpan w:val="2"/>
          </w:tcPr>
          <w:p>
            <w:pPr>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Item 1.</w:t>
              </w:r>
            </w:hyperlink>
          </w:p>
        </w:tc>
        <w:tc>
          <w:tcPr>
            <w:tcW w:w="220" w:type="dxa"/>
            <w:vAlign w:val="bottom"/>
          </w:tcPr>
          <w:p>
            <w:pPr>
              <w:spacing w:after="0"/>
              <w:rPr>
                <w:sz w:val="24"/>
                <w:szCs w:val="24"/>
                <w:color w:val="auto"/>
              </w:rPr>
            </w:pPr>
          </w:p>
        </w:tc>
        <w:tc>
          <w:tcPr>
            <w:tcW w:w="7240" w:type="dxa"/>
            <w:vAlign w:val="bottom"/>
            <w:gridSpan w:val="37"/>
          </w:tcPr>
          <w:p>
            <w:pPr>
              <w:ind w:left="180"/>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Identity of Directors, Senior Management and Advisers</w:t>
              </w:r>
            </w:hyperlink>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20" w:type="dxa"/>
            <w:vAlign w:val="bottom"/>
            <w:gridSpan w:val="3"/>
            <w:shd w:val="clear" w:color="auto" w:fill="CCEEFF"/>
          </w:tcPr>
          <w:p>
            <w:pPr>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Item 2.</w:t>
              </w:r>
            </w:hyperlink>
          </w:p>
        </w:tc>
        <w:tc>
          <w:tcPr>
            <w:tcW w:w="7240" w:type="dxa"/>
            <w:vAlign w:val="bottom"/>
            <w:gridSpan w:val="37"/>
            <w:shd w:val="clear" w:color="auto" w:fill="CCEEFF"/>
          </w:tcPr>
          <w:p>
            <w:pPr>
              <w:ind w:left="180"/>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Offer Statistics and Expected Timetable</w:t>
              </w:r>
            </w:hyperlink>
          </w:p>
        </w:tc>
        <w:tc>
          <w:tcPr>
            <w:tcW w:w="3180" w:type="dxa"/>
            <w:vAlign w:val="bottom"/>
            <w:gridSpan w:val="5"/>
            <w:shd w:val="clear" w:color="auto" w:fill="CCEEFF"/>
          </w:tcPr>
          <w:p>
            <w:pPr>
              <w:jc w:val="right"/>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4"/>
        </w:trPr>
        <w:tc>
          <w:tcPr>
            <w:tcW w:w="820" w:type="dxa"/>
            <w:vAlign w:val="bottom"/>
            <w:gridSpan w:val="3"/>
          </w:tcPr>
          <w:p>
            <w:pPr>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Item 3.</w:t>
              </w:r>
            </w:hyperlink>
          </w:p>
        </w:tc>
        <w:tc>
          <w:tcPr>
            <w:tcW w:w="3240" w:type="dxa"/>
            <w:vAlign w:val="bottom"/>
            <w:gridSpan w:val="30"/>
          </w:tcPr>
          <w:p>
            <w:pPr>
              <w:ind w:left="140"/>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Key Information</w:t>
              </w:r>
            </w:hyperlink>
          </w:p>
        </w:tc>
        <w:tc>
          <w:tcPr>
            <w:tcW w:w="4000" w:type="dxa"/>
            <w:vAlign w:val="bottom"/>
            <w:gridSpan w:val="7"/>
          </w:tcPr>
          <w:p>
            <w:pPr>
              <w:spacing w:after="0"/>
              <w:rPr>
                <w:sz w:val="24"/>
                <w:szCs w:val="24"/>
                <w:color w:val="auto"/>
              </w:rPr>
            </w:pPr>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7">
              <w:r>
                <w:rPr>
                  <w:rFonts w:ascii="Arial" w:cs="Arial" w:eastAsia="Arial" w:hAnsi="Arial"/>
                  <w:sz w:val="18"/>
                  <w:szCs w:val="18"/>
                  <w:b w:val="1"/>
                  <w:bCs w:val="1"/>
                  <w:color w:val="0000EE"/>
                </w:rPr>
                <w:t>5</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A.</w:t>
              </w:r>
            </w:hyperlink>
          </w:p>
        </w:tc>
        <w:tc>
          <w:tcPr>
            <w:tcW w:w="1900" w:type="dxa"/>
            <w:vAlign w:val="bottom"/>
            <w:gridSpan w:val="17"/>
            <w:shd w:val="clear" w:color="auto" w:fill="CCEEFF"/>
          </w:tcPr>
          <w:p>
            <w:pPr>
              <w:ind w:left="180"/>
              <w:spacing w:after="0" w:line="176" w:lineRule="exact"/>
              <w:rPr>
                <w:rFonts w:ascii="Arial" w:cs="Arial" w:eastAsia="Arial" w:hAnsi="Arial"/>
                <w:sz w:val="18"/>
                <w:szCs w:val="18"/>
                <w:color w:val="0000EE"/>
                <w:w w:val="89"/>
              </w:rPr>
            </w:pPr>
            <w:hyperlink w:anchor="page7">
              <w:r>
                <w:rPr>
                  <w:rFonts w:ascii="Arial" w:cs="Arial" w:eastAsia="Arial" w:hAnsi="Arial"/>
                  <w:sz w:val="18"/>
                  <w:szCs w:val="18"/>
                  <w:color w:val="0000EE"/>
                  <w:w w:val="89"/>
                </w:rPr>
                <w:t>Selected Financial Data</w:t>
              </w:r>
            </w:hyperlink>
          </w:p>
        </w:tc>
        <w:tc>
          <w:tcPr>
            <w:tcW w:w="5800" w:type="dxa"/>
            <w:vAlign w:val="bottom"/>
            <w:gridSpan w:val="22"/>
            <w:shd w:val="clear" w:color="auto" w:fill="CCEEFF"/>
          </w:tcPr>
          <w:p>
            <w:pPr>
              <w:spacing w:after="0"/>
              <w:rPr>
                <w:sz w:val="15"/>
                <w:szCs w:val="15"/>
                <w:color w:val="auto"/>
              </w:rPr>
            </w:pPr>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B.</w:t>
              </w:r>
            </w:hyperlink>
          </w:p>
        </w:tc>
        <w:tc>
          <w:tcPr>
            <w:tcW w:w="7700" w:type="dxa"/>
            <w:vAlign w:val="bottom"/>
            <w:gridSpan w:val="39"/>
          </w:tcPr>
          <w:p>
            <w:pPr>
              <w:ind w:left="220"/>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Capitalization and Indebtedness</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C.</w:t>
              </w:r>
            </w:hyperlink>
          </w:p>
        </w:tc>
        <w:tc>
          <w:tcPr>
            <w:tcW w:w="7700" w:type="dxa"/>
            <w:vAlign w:val="bottom"/>
            <w:gridSpan w:val="39"/>
            <w:shd w:val="clear" w:color="auto" w:fill="CCEEFF"/>
          </w:tcPr>
          <w:p>
            <w:pPr>
              <w:ind w:left="220"/>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Reasons for the Offer and Use of Proceeds</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D.</w:t>
              </w:r>
            </w:hyperlink>
          </w:p>
        </w:tc>
        <w:tc>
          <w:tcPr>
            <w:tcW w:w="3280" w:type="dxa"/>
            <w:vAlign w:val="bottom"/>
            <w:gridSpan w:val="30"/>
          </w:tcPr>
          <w:p>
            <w:pPr>
              <w:ind w:left="180"/>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Risk Factors</w:t>
              </w:r>
            </w:hyperlink>
          </w:p>
        </w:tc>
        <w:tc>
          <w:tcPr>
            <w:tcW w:w="4420" w:type="dxa"/>
            <w:vAlign w:val="bottom"/>
            <w:gridSpan w:val="9"/>
          </w:tcPr>
          <w:p>
            <w:pPr>
              <w:spacing w:after="0"/>
              <w:rPr>
                <w:sz w:val="15"/>
                <w:szCs w:val="15"/>
                <w:color w:val="auto"/>
              </w:rPr>
            </w:pPr>
          </w:p>
        </w:tc>
        <w:tc>
          <w:tcPr>
            <w:tcW w:w="3180" w:type="dxa"/>
            <w:vAlign w:val="bottom"/>
            <w:gridSpan w:val="5"/>
          </w:tcPr>
          <w:p>
            <w:pPr>
              <w:jc w:val="right"/>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4"/>
        </w:trPr>
        <w:tc>
          <w:tcPr>
            <w:tcW w:w="820" w:type="dxa"/>
            <w:vAlign w:val="bottom"/>
            <w:tcBorders>
              <w:bottom w:val="single" w:sz="8" w:color="0000EE"/>
            </w:tcBorders>
            <w:gridSpan w:val="3"/>
            <w:shd w:val="clear" w:color="auto" w:fill="CCEEFF"/>
          </w:tcPr>
          <w:p>
            <w:pPr>
              <w:spacing w:after="0"/>
              <w:rPr>
                <w:rFonts w:ascii="Arial" w:cs="Arial" w:eastAsia="Arial" w:hAnsi="Arial"/>
                <w:sz w:val="18"/>
                <w:szCs w:val="18"/>
                <w:b w:val="1"/>
                <w:bCs w:val="1"/>
                <w:color w:val="0000EE"/>
              </w:rPr>
            </w:pPr>
            <w:hyperlink w:anchor="page25">
              <w:r>
                <w:rPr>
                  <w:rFonts w:ascii="Arial" w:cs="Arial" w:eastAsia="Arial" w:hAnsi="Arial"/>
                  <w:sz w:val="18"/>
                  <w:szCs w:val="18"/>
                  <w:b w:val="1"/>
                  <w:bCs w:val="1"/>
                  <w:color w:val="0000EE"/>
                </w:rPr>
                <w:t>Item 4.</w:t>
              </w:r>
            </w:hyperlink>
          </w:p>
        </w:tc>
        <w:tc>
          <w:tcPr>
            <w:tcW w:w="2440" w:type="dxa"/>
            <w:vAlign w:val="bottom"/>
            <w:tcBorders>
              <w:bottom w:val="single" w:sz="8" w:color="0000EE"/>
            </w:tcBorders>
            <w:gridSpan w:val="26"/>
            <w:shd w:val="clear" w:color="auto" w:fill="CCEEFF"/>
          </w:tcPr>
          <w:p>
            <w:pPr>
              <w:ind w:left="180"/>
              <w:spacing w:after="0"/>
              <w:rPr>
                <w:rFonts w:ascii="Arial" w:cs="Arial" w:eastAsia="Arial" w:hAnsi="Arial"/>
                <w:sz w:val="18"/>
                <w:szCs w:val="18"/>
                <w:b w:val="1"/>
                <w:bCs w:val="1"/>
                <w:color w:val="0000EE"/>
                <w:w w:val="91"/>
              </w:rPr>
            </w:pPr>
            <w:hyperlink w:anchor="page25">
              <w:r>
                <w:rPr>
                  <w:rFonts w:ascii="Arial" w:cs="Arial" w:eastAsia="Arial" w:hAnsi="Arial"/>
                  <w:sz w:val="18"/>
                  <w:szCs w:val="18"/>
                  <w:b w:val="1"/>
                  <w:bCs w:val="1"/>
                  <w:color w:val="0000EE"/>
                  <w:w w:val="91"/>
                </w:rPr>
                <w:t>Information on the Company</w:t>
              </w:r>
            </w:hyperlink>
          </w:p>
        </w:tc>
        <w:tc>
          <w:tcPr>
            <w:tcW w:w="4800" w:type="dxa"/>
            <w:vAlign w:val="bottom"/>
            <w:tcBorders>
              <w:bottom w:val="single" w:sz="8" w:color="CCEEFF"/>
            </w:tcBorders>
            <w:gridSpan w:val="11"/>
            <w:shd w:val="clear" w:color="auto" w:fill="CCEEFF"/>
          </w:tcPr>
          <w:p>
            <w:pPr>
              <w:spacing w:after="0"/>
              <w:rPr>
                <w:sz w:val="24"/>
                <w:szCs w:val="24"/>
                <w:color w:val="auto"/>
              </w:rPr>
            </w:pPr>
          </w:p>
        </w:tc>
        <w:tc>
          <w:tcPr>
            <w:tcW w:w="3000" w:type="dxa"/>
            <w:vAlign w:val="bottom"/>
            <w:tcBorders>
              <w:bottom w:val="single" w:sz="8" w:color="CCEEFF"/>
            </w:tcBorders>
            <w:gridSpan w:val="3"/>
            <w:shd w:val="clear" w:color="auto" w:fill="CCEEFF"/>
          </w:tcPr>
          <w:p>
            <w:pPr>
              <w:spacing w:after="0"/>
              <w:rPr>
                <w:sz w:val="24"/>
                <w:szCs w:val="24"/>
                <w:color w:val="auto"/>
              </w:rPr>
            </w:pPr>
          </w:p>
        </w:tc>
        <w:tc>
          <w:tcPr>
            <w:tcW w:w="180" w:type="dxa"/>
            <w:vAlign w:val="bottom"/>
            <w:tcBorders>
              <w:bottom w:val="single" w:sz="8" w:color="0000EE"/>
            </w:tcBorders>
            <w:gridSpan w:val="2"/>
            <w:shd w:val="clear" w:color="auto" w:fill="CCEEFF"/>
          </w:tcPr>
          <w:p>
            <w:pPr>
              <w:jc w:val="right"/>
              <w:spacing w:after="0"/>
              <w:rPr>
                <w:rFonts w:ascii="Arial" w:cs="Arial" w:eastAsia="Arial" w:hAnsi="Arial"/>
                <w:sz w:val="18"/>
                <w:szCs w:val="18"/>
                <w:b w:val="1"/>
                <w:bCs w:val="1"/>
                <w:color w:val="0000EE"/>
                <w:w w:val="79"/>
              </w:rPr>
            </w:pPr>
            <w:hyperlink w:anchor="page25">
              <w:r>
                <w:rPr>
                  <w:rFonts w:ascii="Arial" w:cs="Arial" w:eastAsia="Arial" w:hAnsi="Arial"/>
                  <w:sz w:val="18"/>
                  <w:szCs w:val="18"/>
                  <w:b w:val="1"/>
                  <w:bCs w:val="1"/>
                  <w:color w:val="0000EE"/>
                  <w:w w:val="79"/>
                </w:rPr>
                <w:t>22</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25">
              <w:r>
                <w:rPr>
                  <w:rFonts w:ascii="Arial" w:cs="Arial" w:eastAsia="Arial" w:hAnsi="Arial"/>
                  <w:sz w:val="18"/>
                  <w:szCs w:val="18"/>
                  <w:color w:val="0000EE"/>
                </w:rPr>
                <w:t>A.</w:t>
              </w:r>
            </w:hyperlink>
          </w:p>
        </w:tc>
        <w:tc>
          <w:tcPr>
            <w:tcW w:w="7700" w:type="dxa"/>
            <w:vAlign w:val="bottom"/>
            <w:gridSpan w:val="39"/>
          </w:tcPr>
          <w:p>
            <w:pPr>
              <w:ind w:left="180"/>
              <w:spacing w:after="0" w:line="176" w:lineRule="exact"/>
              <w:rPr>
                <w:rFonts w:ascii="Arial" w:cs="Arial" w:eastAsia="Arial" w:hAnsi="Arial"/>
                <w:sz w:val="18"/>
                <w:szCs w:val="18"/>
                <w:color w:val="0000EE"/>
              </w:rPr>
            </w:pPr>
            <w:hyperlink w:anchor="page25">
              <w:r>
                <w:rPr>
                  <w:rFonts w:ascii="Arial" w:cs="Arial" w:eastAsia="Arial" w:hAnsi="Arial"/>
                  <w:sz w:val="18"/>
                  <w:szCs w:val="18"/>
                  <w:color w:val="0000EE"/>
                </w:rPr>
                <w:t>History and Development of the Company</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25">
              <w:r>
                <w:rPr>
                  <w:rFonts w:ascii="Arial" w:cs="Arial" w:eastAsia="Arial" w:hAnsi="Arial"/>
                  <w:sz w:val="18"/>
                  <w:szCs w:val="18"/>
                  <w:color w:val="0000EE"/>
                </w:rPr>
                <w:t>22</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6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rPr>
            </w:pPr>
            <w:hyperlink w:anchor="page26">
              <w:r>
                <w:rPr>
                  <w:rFonts w:ascii="Arial" w:cs="Arial" w:eastAsia="Arial" w:hAnsi="Arial"/>
                  <w:sz w:val="18"/>
                  <w:szCs w:val="18"/>
                  <w:color w:val="0000EE"/>
                </w:rPr>
                <w:t>B.</w:t>
              </w:r>
            </w:hyperlink>
          </w:p>
        </w:tc>
        <w:tc>
          <w:tcPr>
            <w:tcW w:w="1620" w:type="dxa"/>
            <w:vAlign w:val="bottom"/>
            <w:tcBorders>
              <w:bottom w:val="single" w:sz="8" w:color="0000EE"/>
            </w:tcBorders>
            <w:gridSpan w:val="12"/>
            <w:shd w:val="clear" w:color="auto" w:fill="CCEEFF"/>
          </w:tcPr>
          <w:p>
            <w:pPr>
              <w:ind w:left="220"/>
              <w:spacing w:after="0" w:line="176" w:lineRule="exact"/>
              <w:rPr>
                <w:rFonts w:ascii="Arial" w:cs="Arial" w:eastAsia="Arial" w:hAnsi="Arial"/>
                <w:sz w:val="18"/>
                <w:szCs w:val="18"/>
                <w:color w:val="0000EE"/>
                <w:w w:val="90"/>
              </w:rPr>
            </w:pPr>
            <w:hyperlink w:anchor="page26">
              <w:r>
                <w:rPr>
                  <w:rFonts w:ascii="Arial" w:cs="Arial" w:eastAsia="Arial" w:hAnsi="Arial"/>
                  <w:sz w:val="18"/>
                  <w:szCs w:val="18"/>
                  <w:color w:val="0000EE"/>
                  <w:w w:val="90"/>
                </w:rPr>
                <w:t>Business Overview</w:t>
              </w:r>
            </w:hyperlink>
          </w:p>
        </w:tc>
        <w:tc>
          <w:tcPr>
            <w:tcW w:w="6080" w:type="dxa"/>
            <w:vAlign w:val="bottom"/>
            <w:tcBorders>
              <w:bottom w:val="single" w:sz="8" w:color="CCEEFF"/>
            </w:tcBorders>
            <w:gridSpan w:val="27"/>
            <w:shd w:val="clear" w:color="auto" w:fill="CCEEFF"/>
          </w:tcPr>
          <w:p>
            <w:pPr>
              <w:spacing w:after="0"/>
              <w:rPr>
                <w:sz w:val="17"/>
                <w:szCs w:val="17"/>
                <w:color w:val="auto"/>
              </w:rPr>
            </w:pPr>
          </w:p>
        </w:tc>
        <w:tc>
          <w:tcPr>
            <w:tcW w:w="3000" w:type="dxa"/>
            <w:vAlign w:val="bottom"/>
            <w:tcBorders>
              <w:bottom w:val="single" w:sz="8" w:color="CCEEFF"/>
            </w:tcBorders>
            <w:gridSpan w:val="3"/>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26">
              <w:r>
                <w:rPr>
                  <w:rFonts w:ascii="Arial" w:cs="Arial" w:eastAsia="Arial" w:hAnsi="Arial"/>
                  <w:sz w:val="18"/>
                  <w:szCs w:val="18"/>
                  <w:color w:val="0000EE"/>
                  <w:w w:val="79"/>
                </w:rPr>
                <w:t>23</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C.</w:t>
              </w:r>
            </w:hyperlink>
          </w:p>
        </w:tc>
        <w:tc>
          <w:tcPr>
            <w:tcW w:w="7700" w:type="dxa"/>
            <w:vAlign w:val="bottom"/>
            <w:gridSpan w:val="39"/>
          </w:tcPr>
          <w:p>
            <w:pPr>
              <w:ind w:left="220"/>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Organizational Structure</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49</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D.</w:t>
              </w:r>
            </w:hyperlink>
          </w:p>
        </w:tc>
        <w:tc>
          <w:tcPr>
            <w:tcW w:w="7700" w:type="dxa"/>
            <w:vAlign w:val="bottom"/>
            <w:gridSpan w:val="39"/>
            <w:shd w:val="clear" w:color="auto" w:fill="CCEEFF"/>
          </w:tcPr>
          <w:p>
            <w:pPr>
              <w:ind w:left="180"/>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Property, Plant and Equipment</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52">
              <w:r>
                <w:rPr>
                  <w:rFonts w:ascii="Arial" w:cs="Arial" w:eastAsia="Arial" w:hAnsi="Arial"/>
                  <w:sz w:val="18"/>
                  <w:szCs w:val="18"/>
                  <w:color w:val="0000EE"/>
                </w:rPr>
                <w:t>49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20" w:type="dxa"/>
            <w:vAlign w:val="bottom"/>
            <w:gridSpan w:val="3"/>
          </w:tcPr>
          <w:p>
            <w:pPr>
              <w:spacing w:after="0"/>
              <w:rPr>
                <w:rFonts w:ascii="Arial" w:cs="Arial" w:eastAsia="Arial" w:hAnsi="Arial"/>
                <w:sz w:val="18"/>
                <w:szCs w:val="18"/>
                <w:b w:val="1"/>
                <w:bCs w:val="1"/>
                <w:color w:val="0000EE"/>
              </w:rPr>
            </w:pPr>
            <w:hyperlink w:anchor="page52">
              <w:r>
                <w:rPr>
                  <w:rFonts w:ascii="Arial" w:cs="Arial" w:eastAsia="Arial" w:hAnsi="Arial"/>
                  <w:sz w:val="18"/>
                  <w:szCs w:val="18"/>
                  <w:b w:val="1"/>
                  <w:bCs w:val="1"/>
                  <w:color w:val="0000EE"/>
                </w:rPr>
                <w:t>Item 4A.</w:t>
              </w:r>
            </w:hyperlink>
          </w:p>
        </w:tc>
        <w:tc>
          <w:tcPr>
            <w:tcW w:w="7240" w:type="dxa"/>
            <w:vAlign w:val="bottom"/>
            <w:gridSpan w:val="37"/>
          </w:tcPr>
          <w:p>
            <w:pPr>
              <w:ind w:left="180"/>
              <w:spacing w:after="0"/>
              <w:rPr>
                <w:rFonts w:ascii="Arial" w:cs="Arial" w:eastAsia="Arial" w:hAnsi="Arial"/>
                <w:sz w:val="18"/>
                <w:szCs w:val="18"/>
                <w:b w:val="1"/>
                <w:bCs w:val="1"/>
                <w:color w:val="0000EE"/>
              </w:rPr>
            </w:pPr>
            <w:hyperlink w:anchor="page52">
              <w:r>
                <w:rPr>
                  <w:rFonts w:ascii="Arial" w:cs="Arial" w:eastAsia="Arial" w:hAnsi="Arial"/>
                  <w:sz w:val="18"/>
                  <w:szCs w:val="18"/>
                  <w:b w:val="1"/>
                  <w:bCs w:val="1"/>
                  <w:color w:val="0000EE"/>
                </w:rPr>
                <w:t>Unresolved Staff Comments</w:t>
              </w:r>
            </w:hyperlink>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52">
              <w:r>
                <w:rPr>
                  <w:rFonts w:ascii="Arial" w:cs="Arial" w:eastAsia="Arial" w:hAnsi="Arial"/>
                  <w:sz w:val="18"/>
                  <w:szCs w:val="18"/>
                  <w:b w:val="1"/>
                  <w:bCs w:val="1"/>
                  <w:color w:val="0000EE"/>
                </w:rPr>
                <w:t>49</w:t>
              </w:r>
            </w:hyperlink>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04"/>
        </w:trPr>
        <w:tc>
          <w:tcPr>
            <w:tcW w:w="820" w:type="dxa"/>
            <w:vAlign w:val="bottom"/>
            <w:gridSpan w:val="3"/>
            <w:shd w:val="clear" w:color="auto" w:fill="CCEEFF"/>
          </w:tcPr>
          <w:p>
            <w:pPr>
              <w:spacing w:after="0"/>
              <w:rPr>
                <w:rFonts w:ascii="Arial" w:cs="Arial" w:eastAsia="Arial" w:hAnsi="Arial"/>
                <w:sz w:val="18"/>
                <w:szCs w:val="18"/>
                <w:b w:val="1"/>
                <w:bCs w:val="1"/>
                <w:color w:val="0000EE"/>
              </w:rPr>
            </w:pPr>
            <w:hyperlink w:anchor="page53">
              <w:r>
                <w:rPr>
                  <w:rFonts w:ascii="Arial" w:cs="Arial" w:eastAsia="Arial" w:hAnsi="Arial"/>
                  <w:sz w:val="18"/>
                  <w:szCs w:val="18"/>
                  <w:b w:val="1"/>
                  <w:bCs w:val="1"/>
                  <w:color w:val="0000EE"/>
                </w:rPr>
                <w:t>Item 5.</w:t>
              </w:r>
            </w:hyperlink>
          </w:p>
        </w:tc>
        <w:tc>
          <w:tcPr>
            <w:tcW w:w="7240" w:type="dxa"/>
            <w:vAlign w:val="bottom"/>
            <w:gridSpan w:val="37"/>
            <w:shd w:val="clear" w:color="auto" w:fill="CCEEFF"/>
          </w:tcPr>
          <w:p>
            <w:pPr>
              <w:ind w:left="180"/>
              <w:spacing w:after="0"/>
              <w:rPr>
                <w:rFonts w:ascii="Arial" w:cs="Arial" w:eastAsia="Arial" w:hAnsi="Arial"/>
                <w:sz w:val="18"/>
                <w:szCs w:val="18"/>
                <w:b w:val="1"/>
                <w:bCs w:val="1"/>
                <w:color w:val="0000EE"/>
              </w:rPr>
            </w:pPr>
            <w:hyperlink w:anchor="page53">
              <w:r>
                <w:rPr>
                  <w:rFonts w:ascii="Arial" w:cs="Arial" w:eastAsia="Arial" w:hAnsi="Arial"/>
                  <w:sz w:val="18"/>
                  <w:szCs w:val="18"/>
                  <w:b w:val="1"/>
                  <w:bCs w:val="1"/>
                  <w:color w:val="0000EE"/>
                </w:rPr>
                <w:t>Operating and Financial Review and Prospects</w:t>
              </w:r>
            </w:hyperlink>
          </w:p>
        </w:tc>
        <w:tc>
          <w:tcPr>
            <w:tcW w:w="3180" w:type="dxa"/>
            <w:vAlign w:val="bottom"/>
            <w:gridSpan w:val="5"/>
            <w:shd w:val="clear" w:color="auto" w:fill="CCEEFF"/>
          </w:tcPr>
          <w:p>
            <w:pPr>
              <w:jc w:val="right"/>
              <w:spacing w:after="0"/>
              <w:rPr>
                <w:rFonts w:ascii="Arial" w:cs="Arial" w:eastAsia="Arial" w:hAnsi="Arial"/>
                <w:sz w:val="18"/>
                <w:szCs w:val="18"/>
                <w:b w:val="1"/>
                <w:bCs w:val="1"/>
                <w:color w:val="0000EE"/>
              </w:rPr>
            </w:pPr>
            <w:hyperlink w:anchor="page53">
              <w:r>
                <w:rPr>
                  <w:rFonts w:ascii="Arial" w:cs="Arial" w:eastAsia="Arial" w:hAnsi="Arial"/>
                  <w:sz w:val="18"/>
                  <w:szCs w:val="18"/>
                  <w:b w:val="1"/>
                  <w:bCs w:val="1"/>
                  <w:color w:val="0000EE"/>
                </w:rPr>
                <w:t>50</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5"/>
        </w:trPr>
        <w:tc>
          <w:tcPr>
            <w:tcW w:w="360" w:type="dxa"/>
            <w:vAlign w:val="bottom"/>
            <w:tcBorders>
              <w:top w:val="single" w:sz="8" w:color="0000EE"/>
            </w:tcBorders>
          </w:tcPr>
          <w:p>
            <w:pPr>
              <w:spacing w:after="0" w:line="176" w:lineRule="exact"/>
              <w:rPr>
                <w:rFonts w:ascii="Arial" w:cs="Arial" w:eastAsia="Arial" w:hAnsi="Arial"/>
                <w:sz w:val="18"/>
                <w:szCs w:val="18"/>
                <w:color w:val="0000EE"/>
              </w:rPr>
            </w:pPr>
            <w:hyperlink w:anchor="page53">
              <w:r>
                <w:rPr>
                  <w:rFonts w:ascii="Arial" w:cs="Arial" w:eastAsia="Arial" w:hAnsi="Arial"/>
                  <w:sz w:val="18"/>
                  <w:szCs w:val="18"/>
                  <w:color w:val="0000EE"/>
                </w:rPr>
                <w:t>A.</w:t>
              </w:r>
            </w:hyperlink>
          </w:p>
        </w:tc>
        <w:tc>
          <w:tcPr>
            <w:tcW w:w="4240" w:type="dxa"/>
            <w:vAlign w:val="bottom"/>
            <w:tcBorders>
              <w:top w:val="single" w:sz="8" w:color="0000EE"/>
            </w:tcBorders>
            <w:gridSpan w:val="35"/>
          </w:tcPr>
          <w:p>
            <w:pPr>
              <w:ind w:left="180"/>
              <w:spacing w:after="0" w:line="176" w:lineRule="exact"/>
              <w:rPr>
                <w:rFonts w:ascii="Arial" w:cs="Arial" w:eastAsia="Arial" w:hAnsi="Arial"/>
                <w:sz w:val="18"/>
                <w:szCs w:val="18"/>
                <w:color w:val="0000EE"/>
              </w:rPr>
            </w:pPr>
            <w:hyperlink w:anchor="page53">
              <w:r>
                <w:rPr>
                  <w:rFonts w:ascii="Arial" w:cs="Arial" w:eastAsia="Arial" w:hAnsi="Arial"/>
                  <w:sz w:val="18"/>
                  <w:szCs w:val="18"/>
                  <w:color w:val="0000EE"/>
                </w:rPr>
                <w:t>Operating Results</w:t>
              </w:r>
            </w:hyperlink>
          </w:p>
        </w:tc>
        <w:tc>
          <w:tcPr>
            <w:tcW w:w="3460" w:type="dxa"/>
            <w:vAlign w:val="bottom"/>
            <w:tcBorders>
              <w:top w:val="single" w:sz="8" w:color="CCEEFF"/>
            </w:tcBorders>
            <w:gridSpan w:val="4"/>
          </w:tcPr>
          <w:p>
            <w:pPr>
              <w:spacing w:after="0"/>
              <w:rPr>
                <w:sz w:val="15"/>
                <w:szCs w:val="15"/>
                <w:color w:val="auto"/>
              </w:rPr>
            </w:pPr>
          </w:p>
        </w:tc>
        <w:tc>
          <w:tcPr>
            <w:tcW w:w="3000" w:type="dxa"/>
            <w:vAlign w:val="bottom"/>
            <w:tcBorders>
              <w:top w:val="single" w:sz="8" w:color="CCEEFF"/>
            </w:tcBorders>
            <w:gridSpan w:val="3"/>
          </w:tcPr>
          <w:p>
            <w:pPr>
              <w:spacing w:after="0"/>
              <w:rPr>
                <w:sz w:val="15"/>
                <w:szCs w:val="15"/>
                <w:color w:val="auto"/>
              </w:rPr>
            </w:pPr>
          </w:p>
        </w:tc>
        <w:tc>
          <w:tcPr>
            <w:tcW w:w="180" w:type="dxa"/>
            <w:vAlign w:val="bottom"/>
            <w:tcBorders>
              <w:top w:val="single" w:sz="8" w:color="0000EE"/>
            </w:tcBorders>
            <w:gridSpan w:val="2"/>
          </w:tcPr>
          <w:p>
            <w:pPr>
              <w:jc w:val="right"/>
              <w:spacing w:after="0" w:line="176" w:lineRule="exact"/>
              <w:rPr>
                <w:rFonts w:ascii="Arial" w:cs="Arial" w:eastAsia="Arial" w:hAnsi="Arial"/>
                <w:sz w:val="18"/>
                <w:szCs w:val="18"/>
                <w:color w:val="0000EE"/>
                <w:w w:val="79"/>
              </w:rPr>
            </w:pPr>
            <w:hyperlink w:anchor="page53">
              <w:r>
                <w:rPr>
                  <w:rFonts w:ascii="Arial" w:cs="Arial" w:eastAsia="Arial" w:hAnsi="Arial"/>
                  <w:sz w:val="18"/>
                  <w:szCs w:val="18"/>
                  <w:color w:val="0000EE"/>
                  <w:w w:val="79"/>
                </w:rPr>
                <w:t>50</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75">
              <w:r>
                <w:rPr>
                  <w:rFonts w:ascii="Arial" w:cs="Arial" w:eastAsia="Arial" w:hAnsi="Arial"/>
                  <w:sz w:val="18"/>
                  <w:szCs w:val="18"/>
                  <w:color w:val="0000EE"/>
                </w:rPr>
                <w:t>B.</w:t>
              </w:r>
            </w:hyperlink>
          </w:p>
        </w:tc>
        <w:tc>
          <w:tcPr>
            <w:tcW w:w="7700" w:type="dxa"/>
            <w:vAlign w:val="bottom"/>
            <w:gridSpan w:val="39"/>
            <w:shd w:val="clear" w:color="auto" w:fill="CCEEFF"/>
          </w:tcPr>
          <w:p>
            <w:pPr>
              <w:ind w:left="220"/>
              <w:spacing w:after="0" w:line="176" w:lineRule="exact"/>
              <w:rPr>
                <w:rFonts w:ascii="Arial" w:cs="Arial" w:eastAsia="Arial" w:hAnsi="Arial"/>
                <w:sz w:val="18"/>
                <w:szCs w:val="18"/>
                <w:color w:val="0000EE"/>
              </w:rPr>
            </w:pPr>
            <w:hyperlink w:anchor="page75">
              <w:r>
                <w:rPr>
                  <w:rFonts w:ascii="Arial" w:cs="Arial" w:eastAsia="Arial" w:hAnsi="Arial"/>
                  <w:sz w:val="18"/>
                  <w:szCs w:val="18"/>
                  <w:color w:val="0000EE"/>
                </w:rPr>
                <w:t>Liquidity and Capital Resources</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75">
              <w:r>
                <w:rPr>
                  <w:rFonts w:ascii="Arial" w:cs="Arial" w:eastAsia="Arial" w:hAnsi="Arial"/>
                  <w:sz w:val="18"/>
                  <w:szCs w:val="18"/>
                  <w:color w:val="0000EE"/>
                </w:rPr>
                <w:t>72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85">
              <w:r>
                <w:rPr>
                  <w:rFonts w:ascii="Arial" w:cs="Arial" w:eastAsia="Arial" w:hAnsi="Arial"/>
                  <w:sz w:val="18"/>
                  <w:szCs w:val="18"/>
                  <w:color w:val="0000EE"/>
                </w:rPr>
                <w:t>C.</w:t>
              </w:r>
            </w:hyperlink>
          </w:p>
        </w:tc>
        <w:tc>
          <w:tcPr>
            <w:tcW w:w="7700" w:type="dxa"/>
            <w:vAlign w:val="bottom"/>
            <w:gridSpan w:val="39"/>
          </w:tcPr>
          <w:p>
            <w:pPr>
              <w:ind w:left="220"/>
              <w:spacing w:after="0" w:line="176" w:lineRule="exact"/>
              <w:rPr>
                <w:rFonts w:ascii="Arial" w:cs="Arial" w:eastAsia="Arial" w:hAnsi="Arial"/>
                <w:sz w:val="18"/>
                <w:szCs w:val="18"/>
                <w:color w:val="0000EE"/>
              </w:rPr>
            </w:pPr>
            <w:hyperlink w:anchor="page85">
              <w:r>
                <w:rPr>
                  <w:rFonts w:ascii="Arial" w:cs="Arial" w:eastAsia="Arial" w:hAnsi="Arial"/>
                  <w:sz w:val="18"/>
                  <w:szCs w:val="18"/>
                  <w:color w:val="0000EE"/>
                </w:rPr>
                <w:t>Research and Development, Patents and Licenses, etc.</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85">
              <w:r>
                <w:rPr>
                  <w:rFonts w:ascii="Arial" w:cs="Arial" w:eastAsia="Arial" w:hAnsi="Arial"/>
                  <w:sz w:val="18"/>
                  <w:szCs w:val="18"/>
                  <w:color w:val="0000EE"/>
                </w:rPr>
                <w:t>82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6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rPr>
            </w:pPr>
            <w:hyperlink w:anchor="page86">
              <w:r>
                <w:rPr>
                  <w:rFonts w:ascii="Arial" w:cs="Arial" w:eastAsia="Arial" w:hAnsi="Arial"/>
                  <w:sz w:val="18"/>
                  <w:szCs w:val="18"/>
                  <w:color w:val="0000EE"/>
                </w:rPr>
                <w:t>D.</w:t>
              </w:r>
            </w:hyperlink>
          </w:p>
        </w:tc>
        <w:tc>
          <w:tcPr>
            <w:tcW w:w="1560" w:type="dxa"/>
            <w:vAlign w:val="bottom"/>
            <w:tcBorders>
              <w:bottom w:val="single" w:sz="8" w:color="0000EE"/>
            </w:tcBorders>
            <w:gridSpan w:val="10"/>
            <w:shd w:val="clear" w:color="auto" w:fill="CCEEFF"/>
          </w:tcPr>
          <w:p>
            <w:pPr>
              <w:ind w:left="220"/>
              <w:spacing w:after="0" w:line="176" w:lineRule="exact"/>
              <w:rPr>
                <w:rFonts w:ascii="Arial" w:cs="Arial" w:eastAsia="Arial" w:hAnsi="Arial"/>
                <w:sz w:val="18"/>
                <w:szCs w:val="18"/>
                <w:color w:val="0000EE"/>
                <w:w w:val="92"/>
              </w:rPr>
            </w:pPr>
            <w:hyperlink w:anchor="page86">
              <w:r>
                <w:rPr>
                  <w:rFonts w:ascii="Arial" w:cs="Arial" w:eastAsia="Arial" w:hAnsi="Arial"/>
                  <w:sz w:val="18"/>
                  <w:szCs w:val="18"/>
                  <w:color w:val="0000EE"/>
                  <w:w w:val="92"/>
                </w:rPr>
                <w:t>Trend Information</w:t>
              </w:r>
            </w:hyperlink>
          </w:p>
        </w:tc>
        <w:tc>
          <w:tcPr>
            <w:tcW w:w="6140" w:type="dxa"/>
            <w:vAlign w:val="bottom"/>
            <w:tcBorders>
              <w:bottom w:val="single" w:sz="8" w:color="CCEEFF"/>
            </w:tcBorders>
            <w:gridSpan w:val="29"/>
            <w:shd w:val="clear" w:color="auto" w:fill="CCEEFF"/>
          </w:tcPr>
          <w:p>
            <w:pPr>
              <w:spacing w:after="0"/>
              <w:rPr>
                <w:sz w:val="17"/>
                <w:szCs w:val="17"/>
                <w:color w:val="auto"/>
              </w:rPr>
            </w:pPr>
          </w:p>
        </w:tc>
        <w:tc>
          <w:tcPr>
            <w:tcW w:w="3000" w:type="dxa"/>
            <w:vAlign w:val="bottom"/>
            <w:tcBorders>
              <w:bottom w:val="single" w:sz="8" w:color="CCEEFF"/>
            </w:tcBorders>
            <w:gridSpan w:val="3"/>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86">
              <w:r>
                <w:rPr>
                  <w:rFonts w:ascii="Arial" w:cs="Arial" w:eastAsia="Arial" w:hAnsi="Arial"/>
                  <w:sz w:val="18"/>
                  <w:szCs w:val="18"/>
                  <w:color w:val="0000EE"/>
                  <w:w w:val="79"/>
                </w:rPr>
                <w:t>83</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E.</w:t>
              </w:r>
            </w:hyperlink>
          </w:p>
        </w:tc>
        <w:tc>
          <w:tcPr>
            <w:tcW w:w="7700" w:type="dxa"/>
            <w:vAlign w:val="bottom"/>
            <w:gridSpan w:val="39"/>
          </w:tcPr>
          <w:p>
            <w:pPr>
              <w:ind w:left="200"/>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Off-Balance Sheet Arrangements</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90">
              <w:r>
                <w:rPr>
                  <w:rFonts w:ascii="Arial" w:cs="Arial" w:eastAsia="Arial" w:hAnsi="Arial"/>
                  <w:sz w:val="18"/>
                  <w:szCs w:val="18"/>
                  <w:color w:val="0000EE"/>
                </w:rPr>
                <w:t>87</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6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rPr>
            </w:pPr>
            <w:hyperlink w:anchor="page91">
              <w:r>
                <w:rPr>
                  <w:rFonts w:ascii="Arial" w:cs="Arial" w:eastAsia="Arial" w:hAnsi="Arial"/>
                  <w:sz w:val="18"/>
                  <w:szCs w:val="18"/>
                  <w:color w:val="0000EE"/>
                </w:rPr>
                <w:t>F.</w:t>
              </w:r>
            </w:hyperlink>
          </w:p>
        </w:tc>
        <w:tc>
          <w:tcPr>
            <w:tcW w:w="3560" w:type="dxa"/>
            <w:vAlign w:val="bottom"/>
            <w:tcBorders>
              <w:bottom w:val="single" w:sz="8" w:color="0000EE"/>
            </w:tcBorders>
            <w:gridSpan w:val="31"/>
            <w:shd w:val="clear" w:color="auto" w:fill="CCEEFF"/>
          </w:tcPr>
          <w:p>
            <w:pPr>
              <w:ind w:left="220"/>
              <w:spacing w:after="0" w:line="176" w:lineRule="exact"/>
              <w:rPr>
                <w:rFonts w:ascii="Arial" w:cs="Arial" w:eastAsia="Arial" w:hAnsi="Arial"/>
                <w:sz w:val="18"/>
                <w:szCs w:val="18"/>
                <w:color w:val="0000EE"/>
                <w:w w:val="91"/>
              </w:rPr>
            </w:pPr>
            <w:hyperlink w:anchor="page91">
              <w:r>
                <w:rPr>
                  <w:rFonts w:ascii="Arial" w:cs="Arial" w:eastAsia="Arial" w:hAnsi="Arial"/>
                  <w:sz w:val="18"/>
                  <w:szCs w:val="18"/>
                  <w:color w:val="0000EE"/>
                  <w:w w:val="91"/>
                </w:rPr>
                <w:t>Tabular Disclosure of Contractual Obligations</w:t>
              </w:r>
            </w:hyperlink>
          </w:p>
        </w:tc>
        <w:tc>
          <w:tcPr>
            <w:tcW w:w="4140" w:type="dxa"/>
            <w:vAlign w:val="bottom"/>
            <w:tcBorders>
              <w:bottom w:val="single" w:sz="8" w:color="CCEEFF"/>
            </w:tcBorders>
            <w:gridSpan w:val="8"/>
            <w:shd w:val="clear" w:color="auto" w:fill="CCEEFF"/>
          </w:tcPr>
          <w:p>
            <w:pPr>
              <w:spacing w:after="0"/>
              <w:rPr>
                <w:sz w:val="17"/>
                <w:szCs w:val="17"/>
                <w:color w:val="auto"/>
              </w:rPr>
            </w:pPr>
          </w:p>
        </w:tc>
        <w:tc>
          <w:tcPr>
            <w:tcW w:w="3000" w:type="dxa"/>
            <w:vAlign w:val="bottom"/>
            <w:tcBorders>
              <w:bottom w:val="single" w:sz="8" w:color="CCEEFF"/>
            </w:tcBorders>
            <w:gridSpan w:val="3"/>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91">
              <w:r>
                <w:rPr>
                  <w:rFonts w:ascii="Arial" w:cs="Arial" w:eastAsia="Arial" w:hAnsi="Arial"/>
                  <w:sz w:val="18"/>
                  <w:szCs w:val="18"/>
                  <w:color w:val="0000EE"/>
                  <w:w w:val="79"/>
                </w:rPr>
                <w:t>88</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820" w:type="dxa"/>
            <w:vAlign w:val="bottom"/>
            <w:gridSpan w:val="3"/>
          </w:tcPr>
          <w:p>
            <w:pPr>
              <w:spacing w:after="0"/>
              <w:rPr>
                <w:rFonts w:ascii="Arial" w:cs="Arial" w:eastAsia="Arial" w:hAnsi="Arial"/>
                <w:sz w:val="18"/>
                <w:szCs w:val="18"/>
                <w:b w:val="1"/>
                <w:bCs w:val="1"/>
                <w:color w:val="0000EE"/>
              </w:rPr>
            </w:pPr>
            <w:hyperlink w:anchor="page92">
              <w:r>
                <w:rPr>
                  <w:rFonts w:ascii="Arial" w:cs="Arial" w:eastAsia="Arial" w:hAnsi="Arial"/>
                  <w:sz w:val="18"/>
                  <w:szCs w:val="18"/>
                  <w:b w:val="1"/>
                  <w:bCs w:val="1"/>
                  <w:color w:val="0000EE"/>
                </w:rPr>
                <w:t>Item 6.</w:t>
              </w:r>
            </w:hyperlink>
          </w:p>
        </w:tc>
        <w:tc>
          <w:tcPr>
            <w:tcW w:w="7240" w:type="dxa"/>
            <w:vAlign w:val="bottom"/>
            <w:gridSpan w:val="37"/>
          </w:tcPr>
          <w:p>
            <w:pPr>
              <w:ind w:left="140"/>
              <w:spacing w:after="0"/>
              <w:rPr>
                <w:rFonts w:ascii="Arial" w:cs="Arial" w:eastAsia="Arial" w:hAnsi="Arial"/>
                <w:sz w:val="18"/>
                <w:szCs w:val="18"/>
                <w:b w:val="1"/>
                <w:bCs w:val="1"/>
                <w:color w:val="0000EE"/>
              </w:rPr>
            </w:pPr>
            <w:hyperlink w:anchor="page92">
              <w:r>
                <w:rPr>
                  <w:rFonts w:ascii="Arial" w:cs="Arial" w:eastAsia="Arial" w:hAnsi="Arial"/>
                  <w:sz w:val="18"/>
                  <w:szCs w:val="18"/>
                  <w:b w:val="1"/>
                  <w:bCs w:val="1"/>
                  <w:color w:val="0000EE"/>
                </w:rPr>
                <w:t>Directors, Executive Officers and Employees</w:t>
              </w:r>
            </w:hyperlink>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92">
              <w:r>
                <w:rPr>
                  <w:rFonts w:ascii="Arial" w:cs="Arial" w:eastAsia="Arial" w:hAnsi="Arial"/>
                  <w:sz w:val="18"/>
                  <w:szCs w:val="18"/>
                  <w:b w:val="1"/>
                  <w:bCs w:val="1"/>
                  <w:color w:val="0000EE"/>
                </w:rPr>
                <w:t>89</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6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rPr>
            </w:pPr>
            <w:hyperlink w:anchor="page92">
              <w:r>
                <w:rPr>
                  <w:rFonts w:ascii="Arial" w:cs="Arial" w:eastAsia="Arial" w:hAnsi="Arial"/>
                  <w:sz w:val="18"/>
                  <w:szCs w:val="18"/>
                  <w:color w:val="0000EE"/>
                </w:rPr>
                <w:t>A.</w:t>
              </w:r>
            </w:hyperlink>
          </w:p>
        </w:tc>
        <w:tc>
          <w:tcPr>
            <w:tcW w:w="2560" w:type="dxa"/>
            <w:vAlign w:val="bottom"/>
            <w:tcBorders>
              <w:bottom w:val="single" w:sz="8" w:color="0000EE"/>
            </w:tcBorders>
            <w:gridSpan w:val="25"/>
            <w:shd w:val="clear" w:color="auto" w:fill="CCEEFF"/>
          </w:tcPr>
          <w:p>
            <w:pPr>
              <w:ind w:left="180"/>
              <w:spacing w:after="0" w:line="176" w:lineRule="exact"/>
              <w:rPr>
                <w:rFonts w:ascii="Arial" w:cs="Arial" w:eastAsia="Arial" w:hAnsi="Arial"/>
                <w:sz w:val="18"/>
                <w:szCs w:val="18"/>
                <w:color w:val="0000EE"/>
                <w:w w:val="91"/>
              </w:rPr>
            </w:pPr>
            <w:hyperlink w:anchor="page92">
              <w:r>
                <w:rPr>
                  <w:rFonts w:ascii="Arial" w:cs="Arial" w:eastAsia="Arial" w:hAnsi="Arial"/>
                  <w:sz w:val="18"/>
                  <w:szCs w:val="18"/>
                  <w:color w:val="0000EE"/>
                  <w:w w:val="91"/>
                </w:rPr>
                <w:t>Directors and Executive Officers</w:t>
              </w:r>
            </w:hyperlink>
          </w:p>
        </w:tc>
        <w:tc>
          <w:tcPr>
            <w:tcW w:w="5140" w:type="dxa"/>
            <w:vAlign w:val="bottom"/>
            <w:tcBorders>
              <w:bottom w:val="single" w:sz="8" w:color="CCEEFF"/>
            </w:tcBorders>
            <w:gridSpan w:val="14"/>
            <w:shd w:val="clear" w:color="auto" w:fill="CCEEFF"/>
          </w:tcPr>
          <w:p>
            <w:pPr>
              <w:spacing w:after="0"/>
              <w:rPr>
                <w:sz w:val="17"/>
                <w:szCs w:val="17"/>
                <w:color w:val="auto"/>
              </w:rPr>
            </w:pPr>
          </w:p>
        </w:tc>
        <w:tc>
          <w:tcPr>
            <w:tcW w:w="3000" w:type="dxa"/>
            <w:vAlign w:val="bottom"/>
            <w:tcBorders>
              <w:bottom w:val="single" w:sz="8" w:color="CCEEFF"/>
            </w:tcBorders>
            <w:gridSpan w:val="3"/>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92">
              <w:r>
                <w:rPr>
                  <w:rFonts w:ascii="Arial" w:cs="Arial" w:eastAsia="Arial" w:hAnsi="Arial"/>
                  <w:sz w:val="18"/>
                  <w:szCs w:val="18"/>
                  <w:color w:val="0000EE"/>
                  <w:w w:val="79"/>
                </w:rPr>
                <w:t>89</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B.</w:t>
              </w:r>
            </w:hyperlink>
          </w:p>
        </w:tc>
        <w:tc>
          <w:tcPr>
            <w:tcW w:w="7700" w:type="dxa"/>
            <w:vAlign w:val="bottom"/>
            <w:gridSpan w:val="39"/>
          </w:tcPr>
          <w:p>
            <w:pPr>
              <w:ind w:left="180"/>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Compensation</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98">
              <w:r>
                <w:rPr>
                  <w:rFonts w:ascii="Arial" w:cs="Arial" w:eastAsia="Arial" w:hAnsi="Arial"/>
                  <w:sz w:val="18"/>
                  <w:szCs w:val="18"/>
                  <w:color w:val="0000EE"/>
                </w:rPr>
                <w:t>95</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6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rPr>
            </w:pPr>
            <w:hyperlink w:anchor="page102">
              <w:r>
                <w:rPr>
                  <w:rFonts w:ascii="Arial" w:cs="Arial" w:eastAsia="Arial" w:hAnsi="Arial"/>
                  <w:sz w:val="18"/>
                  <w:szCs w:val="18"/>
                  <w:color w:val="0000EE"/>
                </w:rPr>
                <w:t>C.</w:t>
              </w:r>
            </w:hyperlink>
          </w:p>
        </w:tc>
        <w:tc>
          <w:tcPr>
            <w:tcW w:w="1360" w:type="dxa"/>
            <w:vAlign w:val="bottom"/>
            <w:tcBorders>
              <w:bottom w:val="single" w:sz="8" w:color="0000EE"/>
            </w:tcBorders>
            <w:gridSpan w:val="7"/>
            <w:shd w:val="clear" w:color="auto" w:fill="CCEEFF"/>
          </w:tcPr>
          <w:p>
            <w:pPr>
              <w:ind w:left="220"/>
              <w:spacing w:after="0" w:line="176" w:lineRule="exact"/>
              <w:rPr>
                <w:rFonts w:ascii="Arial" w:cs="Arial" w:eastAsia="Arial" w:hAnsi="Arial"/>
                <w:sz w:val="18"/>
                <w:szCs w:val="18"/>
                <w:color w:val="0000EE"/>
                <w:w w:val="88"/>
              </w:rPr>
            </w:pPr>
            <w:hyperlink w:anchor="page102">
              <w:r>
                <w:rPr>
                  <w:rFonts w:ascii="Arial" w:cs="Arial" w:eastAsia="Arial" w:hAnsi="Arial"/>
                  <w:sz w:val="18"/>
                  <w:szCs w:val="18"/>
                  <w:color w:val="0000EE"/>
                  <w:w w:val="88"/>
                </w:rPr>
                <w:t>Board Practices</w:t>
              </w:r>
            </w:hyperlink>
          </w:p>
        </w:tc>
        <w:tc>
          <w:tcPr>
            <w:tcW w:w="6340" w:type="dxa"/>
            <w:vAlign w:val="bottom"/>
            <w:tcBorders>
              <w:bottom w:val="single" w:sz="8" w:color="CCEEFF"/>
            </w:tcBorders>
            <w:gridSpan w:val="32"/>
            <w:shd w:val="clear" w:color="auto" w:fill="CCEEFF"/>
          </w:tcPr>
          <w:p>
            <w:pPr>
              <w:spacing w:after="0"/>
              <w:rPr>
                <w:sz w:val="17"/>
                <w:szCs w:val="17"/>
                <w:color w:val="auto"/>
              </w:rPr>
            </w:pPr>
          </w:p>
        </w:tc>
        <w:tc>
          <w:tcPr>
            <w:tcW w:w="3000" w:type="dxa"/>
            <w:vAlign w:val="bottom"/>
            <w:tcBorders>
              <w:bottom w:val="single" w:sz="8" w:color="CCEEFF"/>
            </w:tcBorders>
            <w:gridSpan w:val="3"/>
            <w:shd w:val="clear" w:color="auto" w:fill="CCEEFF"/>
          </w:tcPr>
          <w:p>
            <w:pPr>
              <w:spacing w:after="0"/>
              <w:rPr>
                <w:sz w:val="17"/>
                <w:szCs w:val="17"/>
                <w:color w:val="auto"/>
              </w:rPr>
            </w:pPr>
          </w:p>
        </w:tc>
        <w:tc>
          <w:tcPr>
            <w:tcW w:w="180" w:type="dxa"/>
            <w:vAlign w:val="bottom"/>
            <w:tcBorders>
              <w:bottom w:val="single" w:sz="8" w:color="0000EE"/>
            </w:tcBorders>
            <w:gridSpan w:val="2"/>
            <w:shd w:val="clear" w:color="auto" w:fill="CCEEFF"/>
          </w:tcPr>
          <w:p>
            <w:pPr>
              <w:jc w:val="right"/>
              <w:spacing w:after="0" w:line="176" w:lineRule="exact"/>
              <w:rPr>
                <w:rFonts w:ascii="Arial" w:cs="Arial" w:eastAsia="Arial" w:hAnsi="Arial"/>
                <w:sz w:val="18"/>
                <w:szCs w:val="18"/>
                <w:color w:val="0000EE"/>
                <w:w w:val="79"/>
              </w:rPr>
            </w:pPr>
            <w:hyperlink w:anchor="page102">
              <w:r>
                <w:rPr>
                  <w:rFonts w:ascii="Arial" w:cs="Arial" w:eastAsia="Arial" w:hAnsi="Arial"/>
                  <w:sz w:val="18"/>
                  <w:szCs w:val="18"/>
                  <w:color w:val="0000EE"/>
                  <w:w w:val="79"/>
                </w:rPr>
                <w:t>99</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07">
              <w:r>
                <w:rPr>
                  <w:rFonts w:ascii="Arial" w:cs="Arial" w:eastAsia="Arial" w:hAnsi="Arial"/>
                  <w:sz w:val="18"/>
                  <w:szCs w:val="18"/>
                  <w:color w:val="0000EE"/>
                </w:rPr>
                <w:t>D.</w:t>
              </w:r>
            </w:hyperlink>
          </w:p>
        </w:tc>
        <w:tc>
          <w:tcPr>
            <w:tcW w:w="7700" w:type="dxa"/>
            <w:vAlign w:val="bottom"/>
            <w:gridSpan w:val="39"/>
          </w:tcPr>
          <w:p>
            <w:pPr>
              <w:ind w:left="180"/>
              <w:spacing w:after="0" w:line="176" w:lineRule="exact"/>
              <w:rPr>
                <w:rFonts w:ascii="Arial" w:cs="Arial" w:eastAsia="Arial" w:hAnsi="Arial"/>
                <w:sz w:val="18"/>
                <w:szCs w:val="18"/>
                <w:color w:val="0000EE"/>
              </w:rPr>
            </w:pPr>
            <w:hyperlink w:anchor="page107">
              <w:r>
                <w:rPr>
                  <w:rFonts w:ascii="Arial" w:cs="Arial" w:eastAsia="Arial" w:hAnsi="Arial"/>
                  <w:sz w:val="18"/>
                  <w:szCs w:val="18"/>
                  <w:color w:val="0000EE"/>
                </w:rPr>
                <w:t>Employees</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107">
              <w:r>
                <w:rPr>
                  <w:rFonts w:ascii="Arial" w:cs="Arial" w:eastAsia="Arial" w:hAnsi="Arial"/>
                  <w:sz w:val="18"/>
                  <w:szCs w:val="18"/>
                  <w:color w:val="0000EE"/>
                </w:rPr>
                <w:t>104</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07">
              <w:r>
                <w:rPr>
                  <w:rFonts w:ascii="Arial" w:cs="Arial" w:eastAsia="Arial" w:hAnsi="Arial"/>
                  <w:sz w:val="18"/>
                  <w:szCs w:val="18"/>
                  <w:color w:val="0000EE"/>
                </w:rPr>
                <w:t>E.</w:t>
              </w:r>
            </w:hyperlink>
          </w:p>
        </w:tc>
        <w:tc>
          <w:tcPr>
            <w:tcW w:w="1460" w:type="dxa"/>
            <w:vAlign w:val="bottom"/>
            <w:gridSpan w:val="8"/>
            <w:shd w:val="clear" w:color="auto" w:fill="CCEEFF"/>
          </w:tcPr>
          <w:p>
            <w:pPr>
              <w:ind w:left="200"/>
              <w:spacing w:after="0" w:line="176" w:lineRule="exact"/>
              <w:rPr>
                <w:rFonts w:ascii="Arial" w:cs="Arial" w:eastAsia="Arial" w:hAnsi="Arial"/>
                <w:sz w:val="18"/>
                <w:szCs w:val="18"/>
                <w:color w:val="0000EE"/>
                <w:w w:val="89"/>
              </w:rPr>
            </w:pPr>
            <w:hyperlink w:anchor="page107">
              <w:r>
                <w:rPr>
                  <w:rFonts w:ascii="Arial" w:cs="Arial" w:eastAsia="Arial" w:hAnsi="Arial"/>
                  <w:sz w:val="18"/>
                  <w:szCs w:val="18"/>
                  <w:color w:val="0000EE"/>
                  <w:w w:val="89"/>
                </w:rPr>
                <w:t>Share Ownership</w:t>
              </w:r>
            </w:hyperlink>
          </w:p>
        </w:tc>
        <w:tc>
          <w:tcPr>
            <w:tcW w:w="6240" w:type="dxa"/>
            <w:vAlign w:val="bottom"/>
            <w:gridSpan w:val="31"/>
            <w:shd w:val="clear" w:color="auto" w:fill="CCEEFF"/>
          </w:tcPr>
          <w:p>
            <w:pPr>
              <w:spacing w:after="0"/>
              <w:rPr>
                <w:sz w:val="15"/>
                <w:szCs w:val="15"/>
                <w:color w:val="auto"/>
              </w:rPr>
            </w:pPr>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07">
              <w:r>
                <w:rPr>
                  <w:rFonts w:ascii="Arial" w:cs="Arial" w:eastAsia="Arial" w:hAnsi="Arial"/>
                  <w:sz w:val="18"/>
                  <w:szCs w:val="18"/>
                  <w:color w:val="0000EE"/>
                </w:rPr>
                <w:t>104</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4"/>
        </w:trPr>
        <w:tc>
          <w:tcPr>
            <w:tcW w:w="820" w:type="dxa"/>
            <w:vAlign w:val="bottom"/>
            <w:gridSpan w:val="3"/>
          </w:tcPr>
          <w:p>
            <w:pPr>
              <w:spacing w:after="0"/>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Item 7.</w:t>
              </w:r>
            </w:hyperlink>
          </w:p>
        </w:tc>
        <w:tc>
          <w:tcPr>
            <w:tcW w:w="7240" w:type="dxa"/>
            <w:vAlign w:val="bottom"/>
            <w:gridSpan w:val="37"/>
          </w:tcPr>
          <w:p>
            <w:pPr>
              <w:ind w:left="140"/>
              <w:spacing w:after="0"/>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Major Shareholders and Related Party Transactions</w:t>
              </w:r>
            </w:hyperlink>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108">
              <w:r>
                <w:rPr>
                  <w:rFonts w:ascii="Arial" w:cs="Arial" w:eastAsia="Arial" w:hAnsi="Arial"/>
                  <w:sz w:val="18"/>
                  <w:szCs w:val="18"/>
                  <w:b w:val="1"/>
                  <w:bCs w:val="1"/>
                  <w:color w:val="0000EE"/>
                </w:rPr>
                <w:t>105</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80" w:type="dxa"/>
            <w:vAlign w:val="bottom"/>
            <w:tcBorders>
              <w:top w:val="single" w:sz="8" w:color="0000EE"/>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A.</w:t>
              </w:r>
            </w:hyperlink>
          </w:p>
        </w:tc>
        <w:tc>
          <w:tcPr>
            <w:tcW w:w="7700" w:type="dxa"/>
            <w:vAlign w:val="bottom"/>
            <w:gridSpan w:val="39"/>
            <w:shd w:val="clear" w:color="auto" w:fill="CCEEFF"/>
          </w:tcPr>
          <w:p>
            <w:pPr>
              <w:ind w:left="180"/>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Major Shareholders</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08">
              <w:r>
                <w:rPr>
                  <w:rFonts w:ascii="Arial" w:cs="Arial" w:eastAsia="Arial" w:hAnsi="Arial"/>
                  <w:sz w:val="18"/>
                  <w:szCs w:val="18"/>
                  <w:color w:val="0000EE"/>
                </w:rPr>
                <w:t>105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11">
              <w:r>
                <w:rPr>
                  <w:rFonts w:ascii="Arial" w:cs="Arial" w:eastAsia="Arial" w:hAnsi="Arial"/>
                  <w:sz w:val="18"/>
                  <w:szCs w:val="18"/>
                  <w:color w:val="0000EE"/>
                </w:rPr>
                <w:t>B.</w:t>
              </w:r>
            </w:hyperlink>
          </w:p>
        </w:tc>
        <w:tc>
          <w:tcPr>
            <w:tcW w:w="7700" w:type="dxa"/>
            <w:vAlign w:val="bottom"/>
            <w:gridSpan w:val="39"/>
          </w:tcPr>
          <w:p>
            <w:pPr>
              <w:ind w:left="220"/>
              <w:spacing w:after="0" w:line="176" w:lineRule="exact"/>
              <w:rPr>
                <w:rFonts w:ascii="Arial" w:cs="Arial" w:eastAsia="Arial" w:hAnsi="Arial"/>
                <w:sz w:val="18"/>
                <w:szCs w:val="18"/>
                <w:color w:val="0000EE"/>
              </w:rPr>
            </w:pPr>
            <w:hyperlink w:anchor="page111">
              <w:r>
                <w:rPr>
                  <w:rFonts w:ascii="Arial" w:cs="Arial" w:eastAsia="Arial" w:hAnsi="Arial"/>
                  <w:sz w:val="18"/>
                  <w:szCs w:val="18"/>
                  <w:color w:val="0000EE"/>
                </w:rPr>
                <w:t>Related Party Transactions</w:t>
              </w:r>
            </w:hyperlink>
          </w:p>
        </w:tc>
        <w:tc>
          <w:tcPr>
            <w:tcW w:w="3180" w:type="dxa"/>
            <w:vAlign w:val="bottom"/>
            <w:gridSpan w:val="5"/>
          </w:tcPr>
          <w:p>
            <w:pPr>
              <w:jc w:val="right"/>
              <w:spacing w:after="0" w:line="176" w:lineRule="exact"/>
              <w:rPr>
                <w:rFonts w:ascii="Arial" w:cs="Arial" w:eastAsia="Arial" w:hAnsi="Arial"/>
                <w:sz w:val="18"/>
                <w:szCs w:val="18"/>
                <w:color w:val="0000EE"/>
              </w:rPr>
            </w:pPr>
            <w:hyperlink w:anchor="page111">
              <w:r>
                <w:rPr>
                  <w:rFonts w:ascii="Arial" w:cs="Arial" w:eastAsia="Arial" w:hAnsi="Arial"/>
                  <w:sz w:val="18"/>
                  <w:szCs w:val="18"/>
                  <w:color w:val="0000EE"/>
                </w:rPr>
                <w:t>107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1">
              <w:r>
                <w:rPr>
                  <w:rFonts w:ascii="Arial" w:cs="Arial" w:eastAsia="Arial" w:hAnsi="Arial"/>
                  <w:sz w:val="18"/>
                  <w:szCs w:val="18"/>
                  <w:color w:val="0000EE"/>
                </w:rPr>
                <w:t>C.</w:t>
              </w:r>
            </w:hyperlink>
          </w:p>
        </w:tc>
        <w:tc>
          <w:tcPr>
            <w:tcW w:w="2560" w:type="dxa"/>
            <w:vAlign w:val="bottom"/>
            <w:gridSpan w:val="25"/>
            <w:shd w:val="clear" w:color="auto" w:fill="CCEEFF"/>
          </w:tcPr>
          <w:p>
            <w:pPr>
              <w:ind w:left="220"/>
              <w:spacing w:after="0" w:line="176" w:lineRule="exact"/>
              <w:rPr>
                <w:rFonts w:ascii="Arial" w:cs="Arial" w:eastAsia="Arial" w:hAnsi="Arial"/>
                <w:sz w:val="18"/>
                <w:szCs w:val="18"/>
                <w:color w:val="0000EE"/>
                <w:w w:val="88"/>
              </w:rPr>
            </w:pPr>
            <w:hyperlink w:anchor="page111">
              <w:r>
                <w:rPr>
                  <w:rFonts w:ascii="Arial" w:cs="Arial" w:eastAsia="Arial" w:hAnsi="Arial"/>
                  <w:sz w:val="18"/>
                  <w:szCs w:val="18"/>
                  <w:color w:val="0000EE"/>
                  <w:w w:val="88"/>
                </w:rPr>
                <w:t>Interests of Experts and Counsel</w:t>
              </w:r>
            </w:hyperlink>
          </w:p>
        </w:tc>
        <w:tc>
          <w:tcPr>
            <w:tcW w:w="5140" w:type="dxa"/>
            <w:vAlign w:val="bottom"/>
            <w:gridSpan w:val="14"/>
            <w:shd w:val="clear" w:color="auto" w:fill="CCEEFF"/>
          </w:tcPr>
          <w:p>
            <w:pPr>
              <w:spacing w:after="0"/>
              <w:rPr>
                <w:sz w:val="15"/>
                <w:szCs w:val="15"/>
                <w:color w:val="auto"/>
              </w:rPr>
            </w:pPr>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11">
              <w:r>
                <w:rPr>
                  <w:rFonts w:ascii="Arial" w:cs="Arial" w:eastAsia="Arial" w:hAnsi="Arial"/>
                  <w:sz w:val="18"/>
                  <w:szCs w:val="18"/>
                  <w:color w:val="0000EE"/>
                </w:rPr>
                <w:t>107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20" w:type="dxa"/>
            <w:vAlign w:val="bottom"/>
            <w:gridSpan w:val="3"/>
          </w:tcPr>
          <w:p>
            <w:pPr>
              <w:spacing w:after="0"/>
              <w:rPr>
                <w:rFonts w:ascii="Arial" w:cs="Arial" w:eastAsia="Arial" w:hAnsi="Arial"/>
                <w:sz w:val="18"/>
                <w:szCs w:val="18"/>
                <w:b w:val="1"/>
                <w:bCs w:val="1"/>
                <w:color w:val="0000EE"/>
              </w:rPr>
            </w:pPr>
            <w:hyperlink w:anchor="page112">
              <w:r>
                <w:rPr>
                  <w:rFonts w:ascii="Arial" w:cs="Arial" w:eastAsia="Arial" w:hAnsi="Arial"/>
                  <w:sz w:val="18"/>
                  <w:szCs w:val="18"/>
                  <w:b w:val="1"/>
                  <w:bCs w:val="1"/>
                  <w:color w:val="0000EE"/>
                </w:rPr>
                <w:t>Item 8.</w:t>
              </w:r>
            </w:hyperlink>
          </w:p>
        </w:tc>
        <w:tc>
          <w:tcPr>
            <w:tcW w:w="2100" w:type="dxa"/>
            <w:vAlign w:val="bottom"/>
            <w:gridSpan w:val="23"/>
          </w:tcPr>
          <w:p>
            <w:pPr>
              <w:ind w:left="180"/>
              <w:spacing w:after="0"/>
              <w:rPr>
                <w:rFonts w:ascii="Arial" w:cs="Arial" w:eastAsia="Arial" w:hAnsi="Arial"/>
                <w:sz w:val="18"/>
                <w:szCs w:val="18"/>
                <w:b w:val="1"/>
                <w:bCs w:val="1"/>
                <w:color w:val="0000EE"/>
              </w:rPr>
            </w:pPr>
            <w:hyperlink w:anchor="page112">
              <w:r>
                <w:rPr>
                  <w:rFonts w:ascii="Arial" w:cs="Arial" w:eastAsia="Arial" w:hAnsi="Arial"/>
                  <w:sz w:val="18"/>
                  <w:szCs w:val="18"/>
                  <w:b w:val="1"/>
                  <w:bCs w:val="1"/>
                  <w:color w:val="0000EE"/>
                </w:rPr>
                <w:t>Financial Information</w:t>
              </w:r>
            </w:hyperlink>
          </w:p>
        </w:tc>
        <w:tc>
          <w:tcPr>
            <w:tcW w:w="5140" w:type="dxa"/>
            <w:vAlign w:val="bottom"/>
            <w:gridSpan w:val="14"/>
          </w:tcPr>
          <w:p>
            <w:pPr>
              <w:spacing w:after="0"/>
              <w:rPr>
                <w:sz w:val="24"/>
                <w:szCs w:val="24"/>
                <w:color w:val="auto"/>
              </w:rPr>
            </w:pPr>
          </w:p>
        </w:tc>
        <w:tc>
          <w:tcPr>
            <w:tcW w:w="3200" w:type="dxa"/>
            <w:vAlign w:val="bottom"/>
            <w:gridSpan w:val="6"/>
          </w:tcPr>
          <w:p>
            <w:pPr>
              <w:jc w:val="right"/>
              <w:ind w:right="20"/>
              <w:spacing w:after="0"/>
              <w:rPr>
                <w:rFonts w:ascii="Arial" w:cs="Arial" w:eastAsia="Arial" w:hAnsi="Arial"/>
                <w:sz w:val="18"/>
                <w:szCs w:val="18"/>
                <w:b w:val="1"/>
                <w:bCs w:val="1"/>
                <w:color w:val="0000EE"/>
              </w:rPr>
            </w:pPr>
            <w:hyperlink w:anchor="page112">
              <w:r>
                <w:rPr>
                  <w:rFonts w:ascii="Arial" w:cs="Arial" w:eastAsia="Arial" w:hAnsi="Arial"/>
                  <w:sz w:val="18"/>
                  <w:szCs w:val="18"/>
                  <w:b w:val="1"/>
                  <w:bCs w:val="1"/>
                  <w:color w:val="0000EE"/>
                </w:rPr>
                <w:t>108</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A.</w:t>
              </w:r>
            </w:hyperlink>
          </w:p>
        </w:tc>
        <w:tc>
          <w:tcPr>
            <w:tcW w:w="7700" w:type="dxa"/>
            <w:vAlign w:val="bottom"/>
            <w:gridSpan w:val="39"/>
            <w:shd w:val="clear" w:color="auto" w:fill="CCEEFF"/>
          </w:tcPr>
          <w:p>
            <w:pPr>
              <w:ind w:left="180"/>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Consolidated Statements and Other Financial Information</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108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B.</w:t>
              </w:r>
            </w:hyperlink>
          </w:p>
        </w:tc>
        <w:tc>
          <w:tcPr>
            <w:tcW w:w="4340" w:type="dxa"/>
            <w:vAlign w:val="bottom"/>
            <w:gridSpan w:val="36"/>
          </w:tcPr>
          <w:p>
            <w:pPr>
              <w:ind w:left="220"/>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Significant Changes</w:t>
              </w:r>
            </w:hyperlink>
          </w:p>
        </w:tc>
        <w:tc>
          <w:tcPr>
            <w:tcW w:w="3360" w:type="dxa"/>
            <w:vAlign w:val="bottom"/>
            <w:gridSpan w:val="3"/>
          </w:tcPr>
          <w:p>
            <w:pPr>
              <w:spacing w:after="0"/>
              <w:rPr>
                <w:sz w:val="15"/>
                <w:szCs w:val="15"/>
                <w:color w:val="auto"/>
              </w:rPr>
            </w:pPr>
          </w:p>
        </w:tc>
        <w:tc>
          <w:tcPr>
            <w:tcW w:w="3180" w:type="dxa"/>
            <w:vAlign w:val="bottom"/>
            <w:gridSpan w:val="5"/>
          </w:tcPr>
          <w:p>
            <w:pPr>
              <w:jc w:val="right"/>
              <w:spacing w:after="0" w:line="176" w:lineRule="exact"/>
              <w:rPr>
                <w:rFonts w:ascii="Arial" w:cs="Arial" w:eastAsia="Arial" w:hAnsi="Arial"/>
                <w:sz w:val="18"/>
                <w:szCs w:val="18"/>
                <w:color w:val="0000EE"/>
              </w:rPr>
            </w:pPr>
            <w:hyperlink w:anchor="page112">
              <w:r>
                <w:rPr>
                  <w:rFonts w:ascii="Arial" w:cs="Arial" w:eastAsia="Arial" w:hAnsi="Arial"/>
                  <w:sz w:val="18"/>
                  <w:szCs w:val="18"/>
                  <w:color w:val="0000EE"/>
                </w:rPr>
                <w:t>108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20" w:type="dxa"/>
            <w:vAlign w:val="bottom"/>
            <w:gridSpan w:val="3"/>
            <w:shd w:val="clear" w:color="auto" w:fill="CCEEFF"/>
          </w:tcPr>
          <w:p>
            <w:pPr>
              <w:spacing w:after="0"/>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Item 9.</w:t>
              </w:r>
            </w:hyperlink>
          </w:p>
        </w:tc>
        <w:tc>
          <w:tcPr>
            <w:tcW w:w="1820" w:type="dxa"/>
            <w:vAlign w:val="bottom"/>
            <w:gridSpan w:val="18"/>
            <w:shd w:val="clear" w:color="auto" w:fill="CCEEFF"/>
          </w:tcPr>
          <w:p>
            <w:pPr>
              <w:ind w:left="120"/>
              <w:spacing w:after="0"/>
              <w:rPr>
                <w:rFonts w:ascii="Arial" w:cs="Arial" w:eastAsia="Arial" w:hAnsi="Arial"/>
                <w:sz w:val="18"/>
                <w:szCs w:val="18"/>
                <w:b w:val="1"/>
                <w:bCs w:val="1"/>
                <w:color w:val="0000EE"/>
                <w:w w:val="92"/>
              </w:rPr>
            </w:pPr>
            <w:hyperlink w:anchor="page113">
              <w:r>
                <w:rPr>
                  <w:rFonts w:ascii="Arial" w:cs="Arial" w:eastAsia="Arial" w:hAnsi="Arial"/>
                  <w:sz w:val="18"/>
                  <w:szCs w:val="18"/>
                  <w:b w:val="1"/>
                  <w:bCs w:val="1"/>
                  <w:color w:val="0000EE"/>
                  <w:w w:val="92"/>
                </w:rPr>
                <w:t>The Offer and Listing</w:t>
              </w:r>
            </w:hyperlink>
          </w:p>
        </w:tc>
        <w:tc>
          <w:tcPr>
            <w:tcW w:w="5420" w:type="dxa"/>
            <w:vAlign w:val="bottom"/>
            <w:gridSpan w:val="19"/>
            <w:shd w:val="clear" w:color="auto" w:fill="CCEEFF"/>
          </w:tcPr>
          <w:p>
            <w:pPr>
              <w:spacing w:after="0"/>
              <w:rPr>
                <w:sz w:val="24"/>
                <w:szCs w:val="24"/>
                <w:color w:val="auto"/>
              </w:rPr>
            </w:pPr>
          </w:p>
        </w:tc>
        <w:tc>
          <w:tcPr>
            <w:tcW w:w="3180" w:type="dxa"/>
            <w:vAlign w:val="bottom"/>
            <w:gridSpan w:val="5"/>
            <w:shd w:val="clear" w:color="auto" w:fill="CCEEFF"/>
          </w:tcPr>
          <w:p>
            <w:pPr>
              <w:jc w:val="right"/>
              <w:spacing w:after="0"/>
              <w:rPr>
                <w:rFonts w:ascii="Arial" w:cs="Arial" w:eastAsia="Arial" w:hAnsi="Arial"/>
                <w:sz w:val="18"/>
                <w:szCs w:val="18"/>
                <w:b w:val="1"/>
                <w:bCs w:val="1"/>
                <w:color w:val="0000EE"/>
              </w:rPr>
            </w:pPr>
            <w:hyperlink w:anchor="page113">
              <w:r>
                <w:rPr>
                  <w:rFonts w:ascii="Arial" w:cs="Arial" w:eastAsia="Arial" w:hAnsi="Arial"/>
                  <w:sz w:val="18"/>
                  <w:szCs w:val="18"/>
                  <w:b w:val="1"/>
                  <w:bCs w:val="1"/>
                  <w:color w:val="0000EE"/>
                </w:rPr>
                <w:t>109</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A.</w:t>
              </w:r>
            </w:hyperlink>
          </w:p>
        </w:tc>
        <w:tc>
          <w:tcPr>
            <w:tcW w:w="2280" w:type="dxa"/>
            <w:vAlign w:val="bottom"/>
            <w:gridSpan w:val="20"/>
          </w:tcPr>
          <w:p>
            <w:pPr>
              <w:ind w:left="180"/>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Offer and Listing Details</w:t>
              </w:r>
            </w:hyperlink>
          </w:p>
        </w:tc>
        <w:tc>
          <w:tcPr>
            <w:tcW w:w="5420" w:type="dxa"/>
            <w:vAlign w:val="bottom"/>
            <w:gridSpan w:val="19"/>
          </w:tcPr>
          <w:p>
            <w:pPr>
              <w:spacing w:after="0"/>
              <w:rPr>
                <w:sz w:val="15"/>
                <w:szCs w:val="15"/>
                <w:color w:val="auto"/>
              </w:rPr>
            </w:pPr>
          </w:p>
        </w:tc>
        <w:tc>
          <w:tcPr>
            <w:tcW w:w="3180" w:type="dxa"/>
            <w:vAlign w:val="bottom"/>
            <w:gridSpan w:val="5"/>
          </w:tcPr>
          <w:p>
            <w:pPr>
              <w:jc w:val="right"/>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109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B.</w:t>
              </w:r>
            </w:hyperlink>
          </w:p>
        </w:tc>
        <w:tc>
          <w:tcPr>
            <w:tcW w:w="7700" w:type="dxa"/>
            <w:vAlign w:val="bottom"/>
            <w:gridSpan w:val="39"/>
            <w:shd w:val="clear" w:color="auto" w:fill="CCEEFF"/>
          </w:tcPr>
          <w:p>
            <w:pPr>
              <w:ind w:left="220"/>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Plan of Distribution</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109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C.</w:t>
              </w:r>
            </w:hyperlink>
          </w:p>
        </w:tc>
        <w:tc>
          <w:tcPr>
            <w:tcW w:w="1640" w:type="dxa"/>
            <w:vAlign w:val="bottom"/>
            <w:gridSpan w:val="13"/>
          </w:tcPr>
          <w:p>
            <w:pPr>
              <w:ind w:left="220"/>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Markets</w:t>
              </w:r>
            </w:hyperlink>
          </w:p>
        </w:tc>
        <w:tc>
          <w:tcPr>
            <w:tcW w:w="6060" w:type="dxa"/>
            <w:vAlign w:val="bottom"/>
            <w:gridSpan w:val="26"/>
          </w:tcPr>
          <w:p>
            <w:pPr>
              <w:spacing w:after="0"/>
              <w:rPr>
                <w:sz w:val="15"/>
                <w:szCs w:val="15"/>
                <w:color w:val="auto"/>
              </w:rPr>
            </w:pPr>
          </w:p>
        </w:tc>
        <w:tc>
          <w:tcPr>
            <w:tcW w:w="3180" w:type="dxa"/>
            <w:vAlign w:val="bottom"/>
            <w:gridSpan w:val="5"/>
          </w:tcPr>
          <w:p>
            <w:pPr>
              <w:jc w:val="right"/>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109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340" w:type="dxa"/>
            <w:vAlign w:val="bottom"/>
            <w:tcBorders>
              <w:top w:val="single" w:sz="8" w:color="0000E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D.</w:t>
              </w:r>
            </w:hyperlink>
          </w:p>
        </w:tc>
        <w:tc>
          <w:tcPr>
            <w:tcW w:w="7700" w:type="dxa"/>
            <w:vAlign w:val="bottom"/>
            <w:gridSpan w:val="39"/>
            <w:shd w:val="clear" w:color="auto" w:fill="CCEEFF"/>
          </w:tcPr>
          <w:p>
            <w:pPr>
              <w:ind w:left="220"/>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Selling Shareholders</w:t>
              </w:r>
            </w:hyperlink>
          </w:p>
        </w:tc>
        <w:tc>
          <w:tcPr>
            <w:tcW w:w="3180" w:type="dxa"/>
            <w:vAlign w:val="bottom"/>
            <w:gridSpan w:val="5"/>
            <w:shd w:val="clear" w:color="auto" w:fill="CCEEFF"/>
          </w:tcPr>
          <w:p>
            <w:pPr>
              <w:jc w:val="right"/>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109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34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 w:type="dxa"/>
            <w:vAlign w:val="bottom"/>
            <w:tcBorders>
              <w:top w:val="single" w:sz="8" w:color="CCEEFF"/>
            </w:tcBorders>
            <w:shd w:val="clear" w:color="auto" w:fill="CCEEFF"/>
          </w:tcPr>
          <w:p>
            <w:pPr>
              <w:spacing w:after="0" w:line="20" w:lineRule="exact"/>
              <w:rPr>
                <w:sz w:val="1"/>
                <w:szCs w:val="1"/>
                <w:color w:val="auto"/>
              </w:rPr>
            </w:pPr>
          </w:p>
        </w:tc>
        <w:tc>
          <w:tcPr>
            <w:tcW w:w="2800" w:type="dxa"/>
            <w:vAlign w:val="bottom"/>
            <w:tcBorders>
              <w:top w:val="single" w:sz="8" w:color="CCEEFF"/>
            </w:tcBorders>
            <w:shd w:val="clear" w:color="auto" w:fill="CCEEFF"/>
          </w:tcPr>
          <w:p>
            <w:pPr>
              <w:spacing w:after="0" w:line="20" w:lineRule="exact"/>
              <w:rPr>
                <w:sz w:val="1"/>
                <w:szCs w:val="1"/>
                <w:color w:val="auto"/>
              </w:rPr>
            </w:pPr>
          </w:p>
        </w:tc>
        <w:tc>
          <w:tcPr>
            <w:tcW w:w="28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E.</w:t>
              </w:r>
            </w:hyperlink>
          </w:p>
        </w:tc>
        <w:tc>
          <w:tcPr>
            <w:tcW w:w="1720" w:type="dxa"/>
            <w:vAlign w:val="bottom"/>
            <w:gridSpan w:val="15"/>
          </w:tcPr>
          <w:p>
            <w:pPr>
              <w:ind w:left="200"/>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Dilution</w:t>
              </w:r>
            </w:hyperlink>
          </w:p>
        </w:tc>
        <w:tc>
          <w:tcPr>
            <w:tcW w:w="5980" w:type="dxa"/>
            <w:vAlign w:val="bottom"/>
            <w:gridSpan w:val="24"/>
          </w:tcPr>
          <w:p>
            <w:pPr>
              <w:spacing w:after="0"/>
              <w:rPr>
                <w:sz w:val="15"/>
                <w:szCs w:val="15"/>
                <w:color w:val="auto"/>
              </w:rPr>
            </w:pPr>
          </w:p>
        </w:tc>
        <w:tc>
          <w:tcPr>
            <w:tcW w:w="3180" w:type="dxa"/>
            <w:vAlign w:val="bottom"/>
            <w:gridSpan w:val="5"/>
          </w:tcPr>
          <w:p>
            <w:pPr>
              <w:jc w:val="right"/>
              <w:spacing w:after="0" w:line="176" w:lineRule="exact"/>
              <w:rPr>
                <w:rFonts w:ascii="Arial" w:cs="Arial" w:eastAsia="Arial" w:hAnsi="Arial"/>
                <w:sz w:val="18"/>
                <w:szCs w:val="18"/>
                <w:color w:val="0000EE"/>
              </w:rPr>
            </w:pPr>
            <w:hyperlink w:anchor="page113">
              <w:r>
                <w:rPr>
                  <w:rFonts w:ascii="Arial" w:cs="Arial" w:eastAsia="Arial" w:hAnsi="Arial"/>
                  <w:sz w:val="18"/>
                  <w:szCs w:val="18"/>
                  <w:color w:val="0000EE"/>
                </w:rPr>
                <w:t>109</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722"/>
        </w:trPr>
        <w:tc>
          <w:tcPr>
            <w:tcW w:w="360" w:type="dxa"/>
            <w:vAlign w:val="bottom"/>
            <w:tcBorders>
              <w:top w:val="single" w:sz="8" w:color="0000EE"/>
              <w:bottom w:val="single" w:sz="8" w:color="auto"/>
            </w:tcBorders>
          </w:tcPr>
          <w:p>
            <w:pPr>
              <w:spacing w:after="0"/>
              <w:rPr>
                <w:sz w:val="24"/>
                <w:szCs w:val="24"/>
                <w:color w:val="auto"/>
              </w:rPr>
            </w:pPr>
          </w:p>
        </w:tc>
        <w:tc>
          <w:tcPr>
            <w:tcW w:w="240" w:type="dxa"/>
            <w:vAlign w:val="bottom"/>
            <w:tcBorders>
              <w:top w:val="single" w:sz="8" w:color="0000EE"/>
              <w:bottom w:val="single" w:sz="8" w:color="auto"/>
            </w:tcBorders>
          </w:tcPr>
          <w:p>
            <w:pPr>
              <w:spacing w:after="0"/>
              <w:rPr>
                <w:sz w:val="24"/>
                <w:szCs w:val="24"/>
                <w:color w:val="auto"/>
              </w:rPr>
            </w:pPr>
          </w:p>
        </w:tc>
        <w:tc>
          <w:tcPr>
            <w:tcW w:w="220" w:type="dxa"/>
            <w:vAlign w:val="bottom"/>
            <w:tcBorders>
              <w:top w:val="single" w:sz="8" w:color="0000EE"/>
              <w:bottom w:val="single" w:sz="8" w:color="auto"/>
            </w:tcBorders>
          </w:tcPr>
          <w:p>
            <w:pPr>
              <w:spacing w:after="0"/>
              <w:rPr>
                <w:sz w:val="24"/>
                <w:szCs w:val="24"/>
                <w:color w:val="auto"/>
              </w:rPr>
            </w:pPr>
          </w:p>
        </w:tc>
        <w:tc>
          <w:tcPr>
            <w:tcW w:w="340" w:type="dxa"/>
            <w:vAlign w:val="bottom"/>
            <w:tcBorders>
              <w:top w:val="single" w:sz="8" w:color="0000EE"/>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60" w:type="dxa"/>
            <w:vAlign w:val="bottom"/>
            <w:shd w:val="clear" w:color="auto" w:fill="CCEEFF"/>
          </w:tcPr>
          <w:p>
            <w:pPr>
              <w:spacing w:after="0"/>
              <w:rPr>
                <w:rFonts w:ascii="Arial" w:cs="Arial" w:eastAsia="Arial" w:hAnsi="Arial"/>
                <w:sz w:val="18"/>
                <w:szCs w:val="18"/>
                <w:color w:val="0000EE"/>
              </w:rPr>
            </w:pPr>
            <w:hyperlink w:anchor="page114">
              <w:r>
                <w:rPr>
                  <w:rFonts w:ascii="Arial" w:cs="Arial" w:eastAsia="Arial" w:hAnsi="Arial"/>
                  <w:sz w:val="18"/>
                  <w:szCs w:val="18"/>
                  <w:color w:val="0000EE"/>
                </w:rPr>
                <w:t>F.</w:t>
              </w:r>
            </w:hyperlink>
          </w:p>
        </w:tc>
        <w:tc>
          <w:tcPr>
            <w:tcW w:w="1740" w:type="dxa"/>
            <w:vAlign w:val="bottom"/>
            <w:gridSpan w:val="11"/>
            <w:shd w:val="clear" w:color="auto" w:fill="CCEEFF"/>
          </w:tcPr>
          <w:p>
            <w:pPr>
              <w:ind w:left="180"/>
              <w:spacing w:after="0"/>
              <w:rPr>
                <w:rFonts w:ascii="Arial" w:cs="Arial" w:eastAsia="Arial" w:hAnsi="Arial"/>
                <w:sz w:val="18"/>
                <w:szCs w:val="18"/>
                <w:color w:val="0000EE"/>
                <w:w w:val="86"/>
              </w:rPr>
            </w:pPr>
            <w:hyperlink w:anchor="page114">
              <w:r>
                <w:rPr>
                  <w:rFonts w:ascii="Arial" w:cs="Arial" w:eastAsia="Arial" w:hAnsi="Arial"/>
                  <w:sz w:val="18"/>
                  <w:szCs w:val="18"/>
                  <w:color w:val="0000EE"/>
                  <w:w w:val="86"/>
                </w:rPr>
                <w:t>Expenses of the Issue</w:t>
              </w:r>
            </w:hyperlink>
          </w:p>
        </w:tc>
        <w:tc>
          <w:tcPr>
            <w:tcW w:w="6820" w:type="dxa"/>
            <w:vAlign w:val="bottom"/>
            <w:gridSpan w:val="19"/>
            <w:shd w:val="clear" w:color="auto" w:fill="CCEEFF"/>
          </w:tcPr>
          <w:p>
            <w:pPr>
              <w:spacing w:after="0"/>
              <w:rPr>
                <w:sz w:val="17"/>
                <w:szCs w:val="17"/>
                <w:color w:val="auto"/>
              </w:rPr>
            </w:pPr>
          </w:p>
        </w:tc>
        <w:tc>
          <w:tcPr>
            <w:tcW w:w="2320" w:type="dxa"/>
            <w:vAlign w:val="bottom"/>
            <w:gridSpan w:val="2"/>
            <w:shd w:val="clear" w:color="auto" w:fill="CCEEFF"/>
          </w:tcPr>
          <w:p>
            <w:pPr>
              <w:jc w:val="right"/>
              <w:spacing w:after="0"/>
              <w:rPr>
                <w:rFonts w:ascii="Arial" w:cs="Arial" w:eastAsia="Arial" w:hAnsi="Arial"/>
                <w:sz w:val="18"/>
                <w:szCs w:val="18"/>
                <w:color w:val="0000EE"/>
              </w:rPr>
            </w:pPr>
            <w:hyperlink w:anchor="page114">
              <w:r>
                <w:rPr>
                  <w:rFonts w:ascii="Arial" w:cs="Arial" w:eastAsia="Arial" w:hAnsi="Arial"/>
                  <w:sz w:val="18"/>
                  <w:szCs w:val="18"/>
                  <w:color w:val="0000EE"/>
                </w:rPr>
                <w:t>110</w:t>
              </w:r>
            </w:hyperlink>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4"/>
        </w:trPr>
        <w:tc>
          <w:tcPr>
            <w:tcW w:w="840" w:type="dxa"/>
            <w:vAlign w:val="bottom"/>
            <w:gridSpan w:val="4"/>
          </w:tcPr>
          <w:p>
            <w:pPr>
              <w:spacing w:after="0"/>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Item 10.</w:t>
              </w:r>
            </w:hyperlink>
          </w:p>
        </w:tc>
        <w:tc>
          <w:tcPr>
            <w:tcW w:w="8080" w:type="dxa"/>
            <w:vAlign w:val="bottom"/>
            <w:gridSpan w:val="27"/>
          </w:tcPr>
          <w:p>
            <w:pPr>
              <w:ind w:left="100"/>
              <w:spacing w:after="0"/>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Additional Information</w:t>
              </w:r>
            </w:hyperlink>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14">
              <w:r>
                <w:rPr>
                  <w:rFonts w:ascii="Arial" w:cs="Arial" w:eastAsia="Arial" w:hAnsi="Arial"/>
                  <w:sz w:val="18"/>
                  <w:szCs w:val="18"/>
                  <w:b w:val="1"/>
                  <w:bCs w:val="1"/>
                  <w:color w:val="0000EE"/>
                </w:rPr>
                <w:t>110</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A.</w:t>
              </w:r>
            </w:hyperlink>
          </w:p>
        </w:tc>
        <w:tc>
          <w:tcPr>
            <w:tcW w:w="1160" w:type="dxa"/>
            <w:vAlign w:val="bottom"/>
            <w:gridSpan w:val="5"/>
            <w:shd w:val="clear" w:color="auto" w:fill="CCEEFF"/>
          </w:tcPr>
          <w:p>
            <w:pPr>
              <w:ind w:left="180"/>
              <w:spacing w:after="0" w:line="176" w:lineRule="exact"/>
              <w:rPr>
                <w:rFonts w:ascii="Arial" w:cs="Arial" w:eastAsia="Arial" w:hAnsi="Arial"/>
                <w:sz w:val="18"/>
                <w:szCs w:val="18"/>
                <w:color w:val="0000EE"/>
                <w:w w:val="87"/>
              </w:rPr>
            </w:pPr>
            <w:hyperlink w:anchor="page114">
              <w:r>
                <w:rPr>
                  <w:rFonts w:ascii="Arial" w:cs="Arial" w:eastAsia="Arial" w:hAnsi="Arial"/>
                  <w:sz w:val="18"/>
                  <w:szCs w:val="18"/>
                  <w:color w:val="0000EE"/>
                  <w:w w:val="87"/>
                </w:rPr>
                <w:t>Share Capital</w:t>
              </w:r>
            </w:hyperlink>
          </w:p>
        </w:tc>
        <w:tc>
          <w:tcPr>
            <w:tcW w:w="7400" w:type="dxa"/>
            <w:vAlign w:val="bottom"/>
            <w:gridSpan w:val="25"/>
            <w:shd w:val="clear" w:color="auto" w:fill="CCEEFF"/>
          </w:tcPr>
          <w:p>
            <w:pPr>
              <w:spacing w:after="0"/>
              <w:rPr>
                <w:sz w:val="15"/>
                <w:szCs w:val="15"/>
                <w:color w:val="auto"/>
              </w:rPr>
            </w:pPr>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110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B.</w:t>
              </w:r>
            </w:hyperlink>
          </w:p>
        </w:tc>
        <w:tc>
          <w:tcPr>
            <w:tcW w:w="8560" w:type="dxa"/>
            <w:vAlign w:val="bottom"/>
            <w:gridSpan w:val="30"/>
          </w:tcPr>
          <w:p>
            <w:pPr>
              <w:ind w:left="220"/>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Memorandum and Articles of Association</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14">
              <w:r>
                <w:rPr>
                  <w:rFonts w:ascii="Arial" w:cs="Arial" w:eastAsia="Arial" w:hAnsi="Arial"/>
                  <w:sz w:val="18"/>
                  <w:szCs w:val="18"/>
                  <w:color w:val="0000EE"/>
                </w:rPr>
                <w:t>110</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C.</w:t>
              </w:r>
            </w:hyperlink>
          </w:p>
        </w:tc>
        <w:tc>
          <w:tcPr>
            <w:tcW w:w="8560" w:type="dxa"/>
            <w:vAlign w:val="bottom"/>
            <w:gridSpan w:val="30"/>
            <w:shd w:val="clear" w:color="auto" w:fill="CCEEFF"/>
          </w:tcPr>
          <w:p>
            <w:pPr>
              <w:ind w:left="220"/>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Material Contracts</w:t>
              </w:r>
            </w:hyperlink>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112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D.</w:t>
              </w:r>
            </w:hyperlink>
          </w:p>
        </w:tc>
        <w:tc>
          <w:tcPr>
            <w:tcW w:w="8560" w:type="dxa"/>
            <w:vAlign w:val="bottom"/>
            <w:gridSpan w:val="30"/>
          </w:tcPr>
          <w:p>
            <w:pPr>
              <w:ind w:left="220"/>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Exchange Controls</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112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E.</w:t>
              </w:r>
            </w:hyperlink>
          </w:p>
        </w:tc>
        <w:tc>
          <w:tcPr>
            <w:tcW w:w="840" w:type="dxa"/>
            <w:vAlign w:val="bottom"/>
            <w:gridSpan w:val="4"/>
            <w:shd w:val="clear" w:color="auto" w:fill="CCEEFF"/>
          </w:tcPr>
          <w:p>
            <w:pPr>
              <w:ind w:left="200"/>
              <w:spacing w:after="0" w:line="176" w:lineRule="exact"/>
              <w:rPr>
                <w:rFonts w:ascii="Arial" w:cs="Arial" w:eastAsia="Arial" w:hAnsi="Arial"/>
                <w:sz w:val="18"/>
                <w:szCs w:val="18"/>
                <w:color w:val="0000EE"/>
                <w:w w:val="89"/>
              </w:rPr>
            </w:pPr>
            <w:hyperlink w:anchor="page116">
              <w:r>
                <w:rPr>
                  <w:rFonts w:ascii="Arial" w:cs="Arial" w:eastAsia="Arial" w:hAnsi="Arial"/>
                  <w:sz w:val="18"/>
                  <w:szCs w:val="18"/>
                  <w:color w:val="0000EE"/>
                  <w:w w:val="89"/>
                </w:rPr>
                <w:t>Taxation</w:t>
              </w:r>
            </w:hyperlink>
          </w:p>
        </w:tc>
        <w:tc>
          <w:tcPr>
            <w:tcW w:w="7720" w:type="dxa"/>
            <w:vAlign w:val="bottom"/>
            <w:gridSpan w:val="26"/>
            <w:shd w:val="clear" w:color="auto" w:fill="CCEEFF"/>
          </w:tcPr>
          <w:p>
            <w:pPr>
              <w:spacing w:after="0"/>
              <w:rPr>
                <w:sz w:val="15"/>
                <w:szCs w:val="15"/>
                <w:color w:val="auto"/>
              </w:rPr>
            </w:pPr>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16">
              <w:r>
                <w:rPr>
                  <w:rFonts w:ascii="Arial" w:cs="Arial" w:eastAsia="Arial" w:hAnsi="Arial"/>
                  <w:sz w:val="18"/>
                  <w:szCs w:val="18"/>
                  <w:color w:val="0000EE"/>
                </w:rPr>
                <w:t>112</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tcPr>
          <w:p>
            <w:pPr>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F.</w:t>
              </w:r>
            </w:hyperlink>
          </w:p>
        </w:tc>
        <w:tc>
          <w:tcPr>
            <w:tcW w:w="8560" w:type="dxa"/>
            <w:vAlign w:val="bottom"/>
            <w:gridSpan w:val="30"/>
          </w:tcPr>
          <w:p>
            <w:pPr>
              <w:ind w:left="180"/>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Dividends and Paying Agents</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117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G.</w:t>
              </w:r>
            </w:hyperlink>
          </w:p>
        </w:tc>
        <w:tc>
          <w:tcPr>
            <w:tcW w:w="8560" w:type="dxa"/>
            <w:vAlign w:val="bottom"/>
            <w:gridSpan w:val="30"/>
            <w:shd w:val="clear" w:color="auto" w:fill="CCEEFF"/>
          </w:tcPr>
          <w:p>
            <w:pPr>
              <w:ind w:left="220"/>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Statement by Experts</w:t>
              </w:r>
            </w:hyperlink>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21">
              <w:r>
                <w:rPr>
                  <w:rFonts w:ascii="Arial" w:cs="Arial" w:eastAsia="Arial" w:hAnsi="Arial"/>
                  <w:sz w:val="18"/>
                  <w:szCs w:val="18"/>
                  <w:color w:val="0000EE"/>
                </w:rPr>
                <w:t>117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tcPr>
          <w:p>
            <w:pPr>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H.</w:t>
              </w:r>
            </w:hyperlink>
          </w:p>
        </w:tc>
        <w:tc>
          <w:tcPr>
            <w:tcW w:w="8560" w:type="dxa"/>
            <w:vAlign w:val="bottom"/>
            <w:gridSpan w:val="30"/>
          </w:tcPr>
          <w:p>
            <w:pPr>
              <w:ind w:left="220"/>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Documents on Display</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118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60" w:type="dxa"/>
            <w:vAlign w:val="bottom"/>
            <w:shd w:val="clear" w:color="auto" w:fill="CCEEFF"/>
          </w:tcPr>
          <w:p>
            <w:pPr>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I.</w:t>
              </w:r>
            </w:hyperlink>
          </w:p>
        </w:tc>
        <w:tc>
          <w:tcPr>
            <w:tcW w:w="1880" w:type="dxa"/>
            <w:vAlign w:val="bottom"/>
            <w:gridSpan w:val="13"/>
            <w:shd w:val="clear" w:color="auto" w:fill="CCEEFF"/>
          </w:tcPr>
          <w:p>
            <w:pPr>
              <w:ind w:left="200"/>
              <w:spacing w:after="0" w:line="176" w:lineRule="exact"/>
              <w:rPr>
                <w:rFonts w:ascii="Arial" w:cs="Arial" w:eastAsia="Arial" w:hAnsi="Arial"/>
                <w:sz w:val="18"/>
                <w:szCs w:val="18"/>
                <w:color w:val="0000EE"/>
                <w:w w:val="92"/>
              </w:rPr>
            </w:pPr>
            <w:hyperlink w:anchor="page122">
              <w:r>
                <w:rPr>
                  <w:rFonts w:ascii="Arial" w:cs="Arial" w:eastAsia="Arial" w:hAnsi="Arial"/>
                  <w:sz w:val="18"/>
                  <w:szCs w:val="18"/>
                  <w:color w:val="0000EE"/>
                  <w:w w:val="92"/>
                </w:rPr>
                <w:t>Subsidiary Information</w:t>
              </w:r>
            </w:hyperlink>
          </w:p>
        </w:tc>
        <w:tc>
          <w:tcPr>
            <w:tcW w:w="6680" w:type="dxa"/>
            <w:vAlign w:val="bottom"/>
            <w:gridSpan w:val="17"/>
            <w:shd w:val="clear" w:color="auto" w:fill="CCEEFF"/>
          </w:tcPr>
          <w:p>
            <w:pPr>
              <w:spacing w:after="0"/>
              <w:rPr>
                <w:sz w:val="15"/>
                <w:szCs w:val="15"/>
                <w:color w:val="auto"/>
              </w:rPr>
            </w:pPr>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22">
              <w:r>
                <w:rPr>
                  <w:rFonts w:ascii="Arial" w:cs="Arial" w:eastAsia="Arial" w:hAnsi="Arial"/>
                  <w:sz w:val="18"/>
                  <w:szCs w:val="18"/>
                  <w:color w:val="0000EE"/>
                </w:rPr>
                <w:t>118</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tcPr>
          <w:p>
            <w:pPr>
              <w:spacing w:after="0"/>
              <w:rPr>
                <w:rFonts w:ascii="Arial" w:cs="Arial" w:eastAsia="Arial" w:hAnsi="Arial"/>
                <w:sz w:val="18"/>
                <w:szCs w:val="18"/>
                <w:b w:val="1"/>
                <w:bCs w:val="1"/>
                <w:color w:val="0000EE"/>
              </w:rPr>
            </w:pPr>
            <w:hyperlink w:anchor="page122">
              <w:r>
                <w:rPr>
                  <w:rFonts w:ascii="Arial" w:cs="Arial" w:eastAsia="Arial" w:hAnsi="Arial"/>
                  <w:sz w:val="18"/>
                  <w:szCs w:val="18"/>
                  <w:b w:val="1"/>
                  <w:bCs w:val="1"/>
                  <w:color w:val="0000EE"/>
                </w:rPr>
                <w:t>Item 11.</w:t>
              </w:r>
            </w:hyperlink>
          </w:p>
        </w:tc>
        <w:tc>
          <w:tcPr>
            <w:tcW w:w="8080" w:type="dxa"/>
            <w:vAlign w:val="bottom"/>
            <w:gridSpan w:val="27"/>
          </w:tcPr>
          <w:p>
            <w:pPr>
              <w:ind w:left="100"/>
              <w:spacing w:after="0"/>
              <w:rPr>
                <w:rFonts w:ascii="Arial" w:cs="Arial" w:eastAsia="Arial" w:hAnsi="Arial"/>
                <w:sz w:val="18"/>
                <w:szCs w:val="18"/>
                <w:b w:val="1"/>
                <w:bCs w:val="1"/>
                <w:color w:val="0000EE"/>
              </w:rPr>
            </w:pPr>
            <w:hyperlink w:anchor="page122">
              <w:r>
                <w:rPr>
                  <w:rFonts w:ascii="Arial" w:cs="Arial" w:eastAsia="Arial" w:hAnsi="Arial"/>
                  <w:sz w:val="18"/>
                  <w:szCs w:val="18"/>
                  <w:b w:val="1"/>
                  <w:bCs w:val="1"/>
                  <w:color w:val="0000EE"/>
                </w:rPr>
                <w:t>Quantitative and Qualitative Disclosure About Market Risk</w:t>
              </w:r>
            </w:hyperlink>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22">
              <w:r>
                <w:rPr>
                  <w:rFonts w:ascii="Arial" w:cs="Arial" w:eastAsia="Arial" w:hAnsi="Arial"/>
                  <w:sz w:val="18"/>
                  <w:szCs w:val="18"/>
                  <w:b w:val="1"/>
                  <w:bCs w:val="1"/>
                  <w:color w:val="0000EE"/>
                </w:rPr>
                <w:t>118</w:t>
              </w:r>
            </w:hyperlink>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shd w:val="clear" w:color="auto" w:fill="CCEEFF"/>
          </w:tcPr>
          <w:p>
            <w:pPr>
              <w:spacing w:after="0"/>
              <w:rPr>
                <w:rFonts w:ascii="Arial" w:cs="Arial" w:eastAsia="Arial" w:hAnsi="Arial"/>
                <w:sz w:val="18"/>
                <w:szCs w:val="18"/>
                <w:b w:val="1"/>
                <w:bCs w:val="1"/>
                <w:color w:val="0000EE"/>
              </w:rPr>
            </w:pPr>
            <w:hyperlink w:anchor="page126">
              <w:r>
                <w:rPr>
                  <w:rFonts w:ascii="Arial" w:cs="Arial" w:eastAsia="Arial" w:hAnsi="Arial"/>
                  <w:sz w:val="18"/>
                  <w:szCs w:val="18"/>
                  <w:b w:val="1"/>
                  <w:bCs w:val="1"/>
                  <w:color w:val="0000EE"/>
                </w:rPr>
                <w:t>Item 12.</w:t>
              </w:r>
            </w:hyperlink>
          </w:p>
        </w:tc>
        <w:tc>
          <w:tcPr>
            <w:tcW w:w="4260" w:type="dxa"/>
            <w:vAlign w:val="bottom"/>
            <w:gridSpan w:val="22"/>
            <w:shd w:val="clear" w:color="auto" w:fill="CCEEFF"/>
          </w:tcPr>
          <w:p>
            <w:pPr>
              <w:ind w:left="120"/>
              <w:spacing w:after="0"/>
              <w:rPr>
                <w:rFonts w:ascii="Arial" w:cs="Arial" w:eastAsia="Arial" w:hAnsi="Arial"/>
                <w:sz w:val="18"/>
                <w:szCs w:val="18"/>
                <w:b w:val="1"/>
                <w:bCs w:val="1"/>
                <w:color w:val="0000EE"/>
                <w:w w:val="89"/>
              </w:rPr>
            </w:pPr>
            <w:hyperlink w:anchor="page126">
              <w:r>
                <w:rPr>
                  <w:rFonts w:ascii="Arial" w:cs="Arial" w:eastAsia="Arial" w:hAnsi="Arial"/>
                  <w:sz w:val="18"/>
                  <w:szCs w:val="18"/>
                  <w:b w:val="1"/>
                  <w:bCs w:val="1"/>
                  <w:color w:val="0000EE"/>
                  <w:w w:val="89"/>
                </w:rPr>
                <w:t>Description of Securities Other than Equity Securities</w:t>
              </w:r>
            </w:hyperlink>
          </w:p>
        </w:tc>
        <w:tc>
          <w:tcPr>
            <w:tcW w:w="3820" w:type="dxa"/>
            <w:vAlign w:val="bottom"/>
            <w:gridSpan w:val="5"/>
            <w:shd w:val="clear" w:color="auto" w:fill="CCEEFF"/>
          </w:tcPr>
          <w:p>
            <w:pPr>
              <w:spacing w:after="0"/>
              <w:rPr>
                <w:sz w:val="24"/>
                <w:szCs w:val="24"/>
                <w:color w:val="auto"/>
              </w:rPr>
            </w:pPr>
          </w:p>
        </w:tc>
        <w:tc>
          <w:tcPr>
            <w:tcW w:w="2320" w:type="dxa"/>
            <w:vAlign w:val="bottom"/>
            <w:gridSpan w:val="2"/>
            <w:shd w:val="clear" w:color="auto" w:fill="CCEEFF"/>
          </w:tcPr>
          <w:p>
            <w:pPr>
              <w:jc w:val="right"/>
              <w:spacing w:after="0"/>
              <w:rPr>
                <w:rFonts w:ascii="Arial" w:cs="Arial" w:eastAsia="Arial" w:hAnsi="Arial"/>
                <w:sz w:val="18"/>
                <w:szCs w:val="18"/>
                <w:b w:val="1"/>
                <w:bCs w:val="1"/>
                <w:color w:val="0000EE"/>
              </w:rPr>
            </w:pPr>
            <w:hyperlink w:anchor="page126">
              <w:r>
                <w:rPr>
                  <w:rFonts w:ascii="Arial" w:cs="Arial" w:eastAsia="Arial" w:hAnsi="Arial"/>
                  <w:sz w:val="18"/>
                  <w:szCs w:val="18"/>
                  <w:b w:val="1"/>
                  <w:bCs w:val="1"/>
                  <w:color w:val="0000EE"/>
                </w:rPr>
                <w:t>122</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4"/>
        </w:trPr>
        <w:tc>
          <w:tcPr>
            <w:tcW w:w="840" w:type="dxa"/>
            <w:vAlign w:val="bottom"/>
            <w:gridSpan w:val="4"/>
          </w:tcPr>
          <w:p>
            <w:pPr>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PART II</w:t>
              </w:r>
            </w:hyperlink>
          </w:p>
        </w:tc>
        <w:tc>
          <w:tcPr>
            <w:tcW w:w="3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123</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shd w:val="clear" w:color="auto" w:fill="CCEEFF"/>
          </w:tcPr>
          <w:p>
            <w:pPr>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Item 13.</w:t>
              </w:r>
            </w:hyperlink>
          </w:p>
        </w:tc>
        <w:tc>
          <w:tcPr>
            <w:tcW w:w="8080" w:type="dxa"/>
            <w:vAlign w:val="bottom"/>
            <w:gridSpan w:val="27"/>
            <w:shd w:val="clear" w:color="auto" w:fill="CCEEFF"/>
          </w:tcPr>
          <w:p>
            <w:pPr>
              <w:ind w:left="120"/>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Defaults, Dividend Arrearages and Delinquencies</w:t>
              </w:r>
            </w:hyperlink>
          </w:p>
        </w:tc>
        <w:tc>
          <w:tcPr>
            <w:tcW w:w="2320" w:type="dxa"/>
            <w:vAlign w:val="bottom"/>
            <w:gridSpan w:val="2"/>
            <w:shd w:val="clear" w:color="auto" w:fill="CCEEFF"/>
          </w:tcPr>
          <w:p>
            <w:pPr>
              <w:jc w:val="right"/>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123</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tcPr>
          <w:p>
            <w:pPr>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Item 14.</w:t>
              </w:r>
            </w:hyperlink>
          </w:p>
        </w:tc>
        <w:tc>
          <w:tcPr>
            <w:tcW w:w="8080" w:type="dxa"/>
            <w:vAlign w:val="bottom"/>
            <w:gridSpan w:val="27"/>
          </w:tcPr>
          <w:p>
            <w:pPr>
              <w:ind w:left="120"/>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Material Modifications to the Rights of Security Holders and Use of Proceeds</w:t>
              </w:r>
            </w:hyperlink>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123</w:t>
              </w:r>
            </w:hyperlink>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860" w:type="dxa"/>
            <w:vAlign w:val="bottom"/>
            <w:tcBorders>
              <w:top w:val="single" w:sz="8" w:color="0000EE"/>
            </w:tcBorders>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shd w:val="clear" w:color="auto" w:fill="CCEEFF"/>
          </w:tcPr>
          <w:p>
            <w:pPr>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Item 15.</w:t>
              </w:r>
            </w:hyperlink>
          </w:p>
        </w:tc>
        <w:tc>
          <w:tcPr>
            <w:tcW w:w="8080" w:type="dxa"/>
            <w:vAlign w:val="bottom"/>
            <w:gridSpan w:val="27"/>
            <w:shd w:val="clear" w:color="auto" w:fill="CCEEFF"/>
          </w:tcPr>
          <w:p>
            <w:pPr>
              <w:ind w:left="120"/>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Controls and Procedures</w:t>
              </w:r>
            </w:hyperlink>
          </w:p>
        </w:tc>
        <w:tc>
          <w:tcPr>
            <w:tcW w:w="2320" w:type="dxa"/>
            <w:vAlign w:val="bottom"/>
            <w:gridSpan w:val="2"/>
            <w:shd w:val="clear" w:color="auto" w:fill="CCEEFF"/>
          </w:tcPr>
          <w:p>
            <w:pPr>
              <w:jc w:val="right"/>
              <w:spacing w:after="0"/>
              <w:rPr>
                <w:rFonts w:ascii="Arial" w:cs="Arial" w:eastAsia="Arial" w:hAnsi="Arial"/>
                <w:sz w:val="18"/>
                <w:szCs w:val="18"/>
                <w:b w:val="1"/>
                <w:bCs w:val="1"/>
                <w:color w:val="0000EE"/>
              </w:rPr>
            </w:pPr>
            <w:hyperlink w:anchor="page127">
              <w:r>
                <w:rPr>
                  <w:rFonts w:ascii="Arial" w:cs="Arial" w:eastAsia="Arial" w:hAnsi="Arial"/>
                  <w:sz w:val="18"/>
                  <w:szCs w:val="18"/>
                  <w:b w:val="1"/>
                  <w:bCs w:val="1"/>
                  <w:color w:val="0000EE"/>
                </w:rPr>
                <w:t>123</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tcPr>
          <w:p>
            <w:pPr>
              <w:spacing w:after="0"/>
              <w:rPr>
                <w:rFonts w:ascii="Arial" w:cs="Arial" w:eastAsia="Arial" w:hAnsi="Arial"/>
                <w:sz w:val="18"/>
                <w:szCs w:val="18"/>
                <w:b w:val="1"/>
                <w:bCs w:val="1"/>
                <w:color w:val="0000EE"/>
              </w:rPr>
            </w:pPr>
            <w:hyperlink w:anchor="page129">
              <w:r>
                <w:rPr>
                  <w:rFonts w:ascii="Arial" w:cs="Arial" w:eastAsia="Arial" w:hAnsi="Arial"/>
                  <w:sz w:val="18"/>
                  <w:szCs w:val="18"/>
                  <w:b w:val="1"/>
                  <w:bCs w:val="1"/>
                  <w:color w:val="0000EE"/>
                </w:rPr>
                <w:t>Item 16.</w:t>
              </w:r>
            </w:hyperlink>
          </w:p>
        </w:tc>
        <w:tc>
          <w:tcPr>
            <w:tcW w:w="2020" w:type="dxa"/>
            <w:vAlign w:val="bottom"/>
            <w:gridSpan w:val="16"/>
          </w:tcPr>
          <w:p>
            <w:pPr>
              <w:ind w:left="120"/>
              <w:spacing w:after="0"/>
              <w:rPr>
                <w:rFonts w:ascii="Arial" w:cs="Arial" w:eastAsia="Arial" w:hAnsi="Arial"/>
                <w:sz w:val="18"/>
                <w:szCs w:val="18"/>
                <w:b w:val="1"/>
                <w:bCs w:val="1"/>
                <w:color w:val="0000EE"/>
              </w:rPr>
            </w:pPr>
            <w:hyperlink w:anchor="page129">
              <w:r>
                <w:rPr>
                  <w:rFonts w:ascii="Arial" w:cs="Arial" w:eastAsia="Arial" w:hAnsi="Arial"/>
                  <w:sz w:val="18"/>
                  <w:szCs w:val="18"/>
                  <w:b w:val="1"/>
                  <w:bCs w:val="1"/>
                  <w:color w:val="0000EE"/>
                </w:rPr>
                <w:t>[Reserved]</w:t>
              </w:r>
            </w:hyperlink>
          </w:p>
        </w:tc>
        <w:tc>
          <w:tcPr>
            <w:tcW w:w="6060" w:type="dxa"/>
            <w:vAlign w:val="bottom"/>
            <w:gridSpan w:val="11"/>
          </w:tcPr>
          <w:p>
            <w:pPr>
              <w:spacing w:after="0"/>
              <w:rPr>
                <w:sz w:val="24"/>
                <w:szCs w:val="24"/>
                <w:color w:val="auto"/>
              </w:rPr>
            </w:pPr>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29">
              <w:r>
                <w:rPr>
                  <w:rFonts w:ascii="Arial" w:cs="Arial" w:eastAsia="Arial" w:hAnsi="Arial"/>
                  <w:sz w:val="18"/>
                  <w:szCs w:val="18"/>
                  <w:b w:val="1"/>
                  <w:bCs w:val="1"/>
                  <w:color w:val="0000EE"/>
                </w:rPr>
                <w:t>125</w:t>
              </w:r>
            </w:hyperlink>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8920" w:type="dxa"/>
            <w:vAlign w:val="bottom"/>
            <w:gridSpan w:val="31"/>
            <w:shd w:val="clear" w:color="auto" w:fill="CCEEFF"/>
          </w:tcPr>
          <w:p>
            <w:pPr>
              <w:spacing w:after="0" w:line="176" w:lineRule="exact"/>
              <w:rPr>
                <w:rFonts w:ascii="Arial" w:cs="Arial" w:eastAsia="Arial" w:hAnsi="Arial"/>
                <w:sz w:val="18"/>
                <w:szCs w:val="18"/>
                <w:color w:val="0000EE"/>
              </w:rPr>
            </w:pPr>
            <w:hyperlink w:anchor="page129">
              <w:r>
                <w:rPr>
                  <w:rFonts w:ascii="Arial" w:cs="Arial" w:eastAsia="Arial" w:hAnsi="Arial"/>
                  <w:sz w:val="18"/>
                  <w:szCs w:val="18"/>
                  <w:color w:val="0000EE"/>
                </w:rPr>
                <w:t>Item 16A.   Audit Committee Financial Expert</w:t>
              </w:r>
            </w:hyperlink>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29">
              <w:r>
                <w:rPr>
                  <w:rFonts w:ascii="Arial" w:cs="Arial" w:eastAsia="Arial" w:hAnsi="Arial"/>
                  <w:sz w:val="18"/>
                  <w:szCs w:val="18"/>
                  <w:color w:val="0000EE"/>
                </w:rPr>
                <w:t>125</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3440" w:type="dxa"/>
            <w:vAlign w:val="bottom"/>
            <w:gridSpan w:val="21"/>
          </w:tcPr>
          <w:p>
            <w:pPr>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Item 16B.   Code of Ethics</w:t>
              </w:r>
            </w:hyperlink>
          </w:p>
        </w:tc>
        <w:tc>
          <w:tcPr>
            <w:tcW w:w="5480" w:type="dxa"/>
            <w:vAlign w:val="bottom"/>
            <w:gridSpan w:val="10"/>
          </w:tcPr>
          <w:p>
            <w:pPr>
              <w:spacing w:after="0"/>
              <w:rPr>
                <w:sz w:val="15"/>
                <w:szCs w:val="15"/>
                <w:color w:val="auto"/>
              </w:rPr>
            </w:pPr>
          </w:p>
        </w:tc>
        <w:tc>
          <w:tcPr>
            <w:tcW w:w="2320" w:type="dxa"/>
            <w:vAlign w:val="bottom"/>
            <w:gridSpan w:val="2"/>
          </w:tcPr>
          <w:p>
            <w:pPr>
              <w:jc w:val="right"/>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126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3820" w:type="dxa"/>
            <w:vAlign w:val="bottom"/>
            <w:gridSpan w:val="23"/>
            <w:shd w:val="clear" w:color="auto" w:fill="CCEEFF"/>
          </w:tcPr>
          <w:p>
            <w:pPr>
              <w:spacing w:after="0" w:line="176" w:lineRule="exact"/>
              <w:rPr>
                <w:rFonts w:ascii="Arial" w:cs="Arial" w:eastAsia="Arial" w:hAnsi="Arial"/>
                <w:sz w:val="18"/>
                <w:szCs w:val="18"/>
                <w:color w:val="0000EE"/>
                <w:w w:val="92"/>
              </w:rPr>
            </w:pPr>
            <w:hyperlink w:anchor="page130">
              <w:r>
                <w:rPr>
                  <w:rFonts w:ascii="Arial" w:cs="Arial" w:eastAsia="Arial" w:hAnsi="Arial"/>
                  <w:sz w:val="18"/>
                  <w:szCs w:val="18"/>
                  <w:color w:val="0000EE"/>
                  <w:w w:val="92"/>
                </w:rPr>
                <w:t>Item 16C.   Principal Accountant Fees and Services</w:t>
              </w:r>
            </w:hyperlink>
          </w:p>
        </w:tc>
        <w:tc>
          <w:tcPr>
            <w:tcW w:w="5100" w:type="dxa"/>
            <w:vAlign w:val="bottom"/>
            <w:gridSpan w:val="8"/>
            <w:shd w:val="clear" w:color="auto" w:fill="CCEEFF"/>
          </w:tcPr>
          <w:p>
            <w:pPr>
              <w:spacing w:after="0"/>
              <w:rPr>
                <w:sz w:val="15"/>
                <w:szCs w:val="15"/>
                <w:color w:val="auto"/>
              </w:rPr>
            </w:pPr>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126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8920" w:type="dxa"/>
            <w:vAlign w:val="bottom"/>
            <w:gridSpan w:val="31"/>
          </w:tcPr>
          <w:p>
            <w:pPr>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Item 16D.   Exemptions from the Listing Standards for Audit Committees</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126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8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6020" w:type="dxa"/>
            <w:vAlign w:val="bottom"/>
            <w:gridSpan w:val="29"/>
            <w:shd w:val="clear" w:color="auto" w:fill="CCEEFF"/>
          </w:tcPr>
          <w:p>
            <w:pPr>
              <w:spacing w:after="0" w:line="176" w:lineRule="exact"/>
              <w:rPr>
                <w:rFonts w:ascii="Arial" w:cs="Arial" w:eastAsia="Arial" w:hAnsi="Arial"/>
                <w:sz w:val="18"/>
                <w:szCs w:val="18"/>
                <w:color w:val="0000EE"/>
                <w:w w:val="92"/>
              </w:rPr>
            </w:pPr>
            <w:hyperlink w:anchor="page130">
              <w:r>
                <w:rPr>
                  <w:rFonts w:ascii="Arial" w:cs="Arial" w:eastAsia="Arial" w:hAnsi="Arial"/>
                  <w:sz w:val="18"/>
                  <w:szCs w:val="18"/>
                  <w:color w:val="0000EE"/>
                  <w:w w:val="92"/>
                </w:rPr>
                <w:t>Item 16E.   Purchases of Equity Securities by the Issuer and Affiliated Purchasers</w:t>
              </w:r>
            </w:hyperlink>
          </w:p>
        </w:tc>
        <w:tc>
          <w:tcPr>
            <w:tcW w:w="2900" w:type="dxa"/>
            <w:vAlign w:val="bottom"/>
            <w:gridSpan w:val="2"/>
            <w:shd w:val="clear" w:color="auto" w:fill="CCEEFF"/>
          </w:tcPr>
          <w:p>
            <w:pPr>
              <w:spacing w:after="0"/>
              <w:rPr>
                <w:sz w:val="15"/>
                <w:szCs w:val="15"/>
                <w:color w:val="auto"/>
              </w:rPr>
            </w:pPr>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30">
              <w:r>
                <w:rPr>
                  <w:rFonts w:ascii="Arial" w:cs="Arial" w:eastAsia="Arial" w:hAnsi="Arial"/>
                  <w:sz w:val="18"/>
                  <w:szCs w:val="18"/>
                  <w:color w:val="0000EE"/>
                </w:rPr>
                <w:t>126</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6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580" w:type="dxa"/>
            <w:vAlign w:val="bottom"/>
            <w:tcBorders>
              <w:top w:val="single" w:sz="8" w:color="0000EE"/>
            </w:tcBorders>
            <w:shd w:val="clear" w:color="auto" w:fill="CCEEFF"/>
          </w:tcPr>
          <w:p>
            <w:pPr>
              <w:spacing w:after="0" w:line="20" w:lineRule="exact"/>
              <w:rPr>
                <w:sz w:val="1"/>
                <w:szCs w:val="1"/>
                <w:color w:val="auto"/>
              </w:rPr>
            </w:pPr>
          </w:p>
        </w:tc>
        <w:tc>
          <w:tcPr>
            <w:tcW w:w="160" w:type="dxa"/>
            <w:vAlign w:val="bottom"/>
            <w:tcBorders>
              <w:top w:val="single" w:sz="8" w:color="0000EE"/>
            </w:tcBorders>
            <w:shd w:val="clear" w:color="auto" w:fill="CCEEFF"/>
          </w:tcPr>
          <w:p>
            <w:pPr>
              <w:spacing w:after="0" w:line="20" w:lineRule="exact"/>
              <w:rPr>
                <w:sz w:val="1"/>
                <w:szCs w:val="1"/>
                <w:color w:val="auto"/>
              </w:rPr>
            </w:pPr>
          </w:p>
        </w:tc>
        <w:tc>
          <w:tcPr>
            <w:tcW w:w="220" w:type="dxa"/>
            <w:vAlign w:val="bottom"/>
            <w:tcBorders>
              <w:top w:val="single" w:sz="8" w:color="0000EE"/>
            </w:tcBorders>
            <w:shd w:val="clear" w:color="auto" w:fill="CCEEFF"/>
          </w:tcPr>
          <w:p>
            <w:pPr>
              <w:spacing w:after="0" w:line="20" w:lineRule="exact"/>
              <w:rPr>
                <w:sz w:val="1"/>
                <w:szCs w:val="1"/>
                <w:color w:val="auto"/>
              </w:rPr>
            </w:pPr>
          </w:p>
        </w:tc>
        <w:tc>
          <w:tcPr>
            <w:tcW w:w="44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480" w:type="dxa"/>
            <w:vAlign w:val="bottom"/>
            <w:tcBorders>
              <w:top w:val="single" w:sz="8" w:color="0000EE"/>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840" w:type="dxa"/>
            <w:vAlign w:val="bottom"/>
            <w:gridSpan w:val="4"/>
          </w:tcPr>
          <w:p>
            <w:pPr>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Item 16F.</w:t>
              </w:r>
            </w:hyperlink>
          </w:p>
        </w:tc>
        <w:tc>
          <w:tcPr>
            <w:tcW w:w="5180" w:type="dxa"/>
            <w:vAlign w:val="bottom"/>
            <w:gridSpan w:val="25"/>
          </w:tcPr>
          <w:p>
            <w:pPr>
              <w:ind w:left="120"/>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Change in Registrant’s Certifying Accountant</w:t>
              </w:r>
            </w:hyperlink>
          </w:p>
        </w:tc>
        <w:tc>
          <w:tcPr>
            <w:tcW w:w="2900" w:type="dxa"/>
            <w:vAlign w:val="bottom"/>
            <w:gridSpan w:val="2"/>
          </w:tcPr>
          <w:p>
            <w:pPr>
              <w:spacing w:after="0"/>
              <w:rPr>
                <w:sz w:val="15"/>
                <w:szCs w:val="15"/>
                <w:color w:val="auto"/>
              </w:rPr>
            </w:pPr>
          </w:p>
        </w:tc>
        <w:tc>
          <w:tcPr>
            <w:tcW w:w="2320" w:type="dxa"/>
            <w:vAlign w:val="bottom"/>
            <w:gridSpan w:val="2"/>
          </w:tcPr>
          <w:p>
            <w:pPr>
              <w:jc w:val="right"/>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127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8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440" w:type="dxa"/>
            <w:vAlign w:val="bottom"/>
            <w:tcBorders>
              <w:top w:val="single" w:sz="8" w:color="0000EE"/>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840" w:type="dxa"/>
            <w:vAlign w:val="bottom"/>
            <w:gridSpan w:val="4"/>
            <w:shd w:val="clear" w:color="auto" w:fill="CCEEFF"/>
          </w:tcPr>
          <w:p>
            <w:pPr>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Item 16G.</w:t>
              </w:r>
            </w:hyperlink>
          </w:p>
        </w:tc>
        <w:tc>
          <w:tcPr>
            <w:tcW w:w="8080" w:type="dxa"/>
            <w:vAlign w:val="bottom"/>
            <w:gridSpan w:val="27"/>
            <w:shd w:val="clear" w:color="auto" w:fill="CCEEFF"/>
          </w:tcPr>
          <w:p>
            <w:pPr>
              <w:ind w:left="160"/>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Corporate Governance</w:t>
              </w:r>
            </w:hyperlink>
          </w:p>
        </w:tc>
        <w:tc>
          <w:tcPr>
            <w:tcW w:w="2320" w:type="dxa"/>
            <w:vAlign w:val="bottom"/>
            <w:gridSpan w:val="2"/>
            <w:shd w:val="clear" w:color="auto" w:fill="CCEEFF"/>
          </w:tcPr>
          <w:p>
            <w:pPr>
              <w:jc w:val="right"/>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127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8920" w:type="dxa"/>
            <w:vAlign w:val="bottom"/>
            <w:gridSpan w:val="31"/>
          </w:tcPr>
          <w:p>
            <w:pPr>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Item 16H.   Mine Safety Disclosure</w:t>
              </w:r>
            </w:hyperlink>
          </w:p>
        </w:tc>
        <w:tc>
          <w:tcPr>
            <w:tcW w:w="2320" w:type="dxa"/>
            <w:vAlign w:val="bottom"/>
            <w:gridSpan w:val="2"/>
          </w:tcPr>
          <w:p>
            <w:pPr>
              <w:jc w:val="right"/>
              <w:spacing w:after="0" w:line="176" w:lineRule="exact"/>
              <w:rPr>
                <w:rFonts w:ascii="Arial" w:cs="Arial" w:eastAsia="Arial" w:hAnsi="Arial"/>
                <w:sz w:val="18"/>
                <w:szCs w:val="18"/>
                <w:color w:val="0000EE"/>
              </w:rPr>
            </w:pPr>
            <w:hyperlink w:anchor="page131">
              <w:r>
                <w:rPr>
                  <w:rFonts w:ascii="Arial" w:cs="Arial" w:eastAsia="Arial" w:hAnsi="Arial"/>
                  <w:sz w:val="18"/>
                  <w:szCs w:val="18"/>
                  <w:color w:val="0000EE"/>
                </w:rPr>
                <w:t>127</w:t>
              </w:r>
            </w:hyperlink>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4"/>
        </w:trPr>
        <w:tc>
          <w:tcPr>
            <w:tcW w:w="740" w:type="dxa"/>
            <w:vAlign w:val="bottom"/>
            <w:gridSpan w:val="3"/>
            <w:shd w:val="clear" w:color="auto" w:fill="CCEEFF"/>
          </w:tcPr>
          <w:p>
            <w:pPr>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PART III</w:t>
              </w:r>
            </w:hyperlink>
          </w:p>
        </w:tc>
        <w:tc>
          <w:tcPr>
            <w:tcW w:w="100" w:type="dxa"/>
            <w:vAlign w:val="bottom"/>
            <w:shd w:val="clear" w:color="auto" w:fill="CCEEFF"/>
          </w:tcPr>
          <w:p>
            <w:pPr>
              <w:spacing w:after="0"/>
              <w:rPr>
                <w:sz w:val="24"/>
                <w:szCs w:val="24"/>
                <w:color w:val="auto"/>
              </w:rPr>
            </w:pPr>
          </w:p>
        </w:tc>
        <w:tc>
          <w:tcPr>
            <w:tcW w:w="360" w:type="dxa"/>
            <w:vAlign w:val="bottom"/>
            <w:shd w:val="clear" w:color="auto" w:fill="CCEEFF"/>
          </w:tcPr>
          <w:p>
            <w:pPr>
              <w:spacing w:after="0"/>
              <w:rPr>
                <w:sz w:val="24"/>
                <w:szCs w:val="24"/>
                <w:color w:val="auto"/>
              </w:rPr>
            </w:pPr>
          </w:p>
        </w:tc>
        <w:tc>
          <w:tcPr>
            <w:tcW w:w="320" w:type="dxa"/>
            <w:vAlign w:val="bottom"/>
            <w:shd w:val="clear" w:color="auto" w:fill="CCEEFF"/>
          </w:tcPr>
          <w:p>
            <w:pPr>
              <w:spacing w:after="0"/>
              <w:rPr>
                <w:sz w:val="24"/>
                <w:szCs w:val="24"/>
                <w:color w:val="auto"/>
              </w:rPr>
            </w:pPr>
          </w:p>
        </w:tc>
        <w:tc>
          <w:tcPr>
            <w:tcW w:w="80" w:type="dxa"/>
            <w:vAlign w:val="bottom"/>
            <w:shd w:val="clear" w:color="auto" w:fill="CCEEFF"/>
          </w:tcPr>
          <w:p>
            <w:pPr>
              <w:spacing w:after="0"/>
              <w:rPr>
                <w:sz w:val="24"/>
                <w:szCs w:val="24"/>
                <w:color w:val="auto"/>
              </w:rPr>
            </w:pPr>
          </w:p>
        </w:tc>
        <w:tc>
          <w:tcPr>
            <w:tcW w:w="18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4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320" w:type="dxa"/>
            <w:vAlign w:val="bottom"/>
            <w:shd w:val="clear" w:color="auto" w:fill="CCEEFF"/>
          </w:tcPr>
          <w:p>
            <w:pPr>
              <w:spacing w:after="0"/>
              <w:rPr>
                <w:sz w:val="24"/>
                <w:szCs w:val="24"/>
                <w:color w:val="auto"/>
              </w:rPr>
            </w:pPr>
          </w:p>
        </w:tc>
        <w:tc>
          <w:tcPr>
            <w:tcW w:w="8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6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580" w:type="dxa"/>
            <w:vAlign w:val="bottom"/>
            <w:shd w:val="clear" w:color="auto" w:fill="CCEEFF"/>
          </w:tcPr>
          <w:p>
            <w:pPr>
              <w:spacing w:after="0"/>
              <w:rPr>
                <w:sz w:val="24"/>
                <w:szCs w:val="24"/>
                <w:color w:val="auto"/>
              </w:rPr>
            </w:pPr>
          </w:p>
        </w:tc>
        <w:tc>
          <w:tcPr>
            <w:tcW w:w="160" w:type="dxa"/>
            <w:vAlign w:val="bottom"/>
            <w:shd w:val="clear" w:color="auto" w:fill="CCEEFF"/>
          </w:tcPr>
          <w:p>
            <w:pPr>
              <w:spacing w:after="0"/>
              <w:rPr>
                <w:sz w:val="24"/>
                <w:szCs w:val="24"/>
                <w:color w:val="auto"/>
              </w:rPr>
            </w:pPr>
          </w:p>
        </w:tc>
        <w:tc>
          <w:tcPr>
            <w:tcW w:w="220" w:type="dxa"/>
            <w:vAlign w:val="bottom"/>
            <w:shd w:val="clear" w:color="auto" w:fill="CCEEFF"/>
          </w:tcPr>
          <w:p>
            <w:pPr>
              <w:spacing w:after="0"/>
              <w:rPr>
                <w:sz w:val="24"/>
                <w:szCs w:val="24"/>
                <w:color w:val="auto"/>
              </w:rPr>
            </w:pPr>
          </w:p>
        </w:tc>
        <w:tc>
          <w:tcPr>
            <w:tcW w:w="440" w:type="dxa"/>
            <w:vAlign w:val="bottom"/>
            <w:shd w:val="clear" w:color="auto" w:fill="CCEEFF"/>
          </w:tcPr>
          <w:p>
            <w:pPr>
              <w:spacing w:after="0"/>
              <w:rPr>
                <w:sz w:val="24"/>
                <w:szCs w:val="24"/>
                <w:color w:val="auto"/>
              </w:rPr>
            </w:pPr>
          </w:p>
        </w:tc>
        <w:tc>
          <w:tcPr>
            <w:tcW w:w="480" w:type="dxa"/>
            <w:vAlign w:val="bottom"/>
            <w:shd w:val="clear" w:color="auto" w:fill="CCEEFF"/>
          </w:tcPr>
          <w:p>
            <w:pPr>
              <w:spacing w:after="0"/>
              <w:rPr>
                <w:sz w:val="24"/>
                <w:szCs w:val="24"/>
                <w:color w:val="auto"/>
              </w:rPr>
            </w:pPr>
          </w:p>
        </w:tc>
        <w:tc>
          <w:tcPr>
            <w:tcW w:w="360" w:type="dxa"/>
            <w:vAlign w:val="bottom"/>
            <w:shd w:val="clear" w:color="auto" w:fill="CCEEFF"/>
          </w:tcPr>
          <w:p>
            <w:pPr>
              <w:spacing w:after="0"/>
              <w:rPr>
                <w:sz w:val="24"/>
                <w:szCs w:val="24"/>
                <w:color w:val="auto"/>
              </w:rPr>
            </w:pPr>
          </w:p>
        </w:tc>
        <w:tc>
          <w:tcPr>
            <w:tcW w:w="320" w:type="dxa"/>
            <w:vAlign w:val="bottom"/>
            <w:shd w:val="clear" w:color="auto" w:fill="CCEEFF"/>
          </w:tcPr>
          <w:p>
            <w:pPr>
              <w:spacing w:after="0"/>
              <w:rPr>
                <w:sz w:val="24"/>
                <w:szCs w:val="24"/>
                <w:color w:val="auto"/>
              </w:rPr>
            </w:pPr>
          </w:p>
        </w:tc>
        <w:tc>
          <w:tcPr>
            <w:tcW w:w="120" w:type="dxa"/>
            <w:vAlign w:val="bottom"/>
            <w:shd w:val="clear" w:color="auto" w:fill="CCEEFF"/>
          </w:tcPr>
          <w:p>
            <w:pPr>
              <w:spacing w:after="0"/>
              <w:rPr>
                <w:sz w:val="24"/>
                <w:szCs w:val="24"/>
                <w:color w:val="auto"/>
              </w:rPr>
            </w:pPr>
          </w:p>
        </w:tc>
        <w:tc>
          <w:tcPr>
            <w:tcW w:w="480" w:type="dxa"/>
            <w:vAlign w:val="bottom"/>
            <w:shd w:val="clear" w:color="auto" w:fill="CCEEFF"/>
          </w:tcPr>
          <w:p>
            <w:pPr>
              <w:spacing w:after="0"/>
              <w:rPr>
                <w:sz w:val="24"/>
                <w:szCs w:val="24"/>
                <w:color w:val="auto"/>
              </w:rPr>
            </w:pPr>
          </w:p>
        </w:tc>
        <w:tc>
          <w:tcPr>
            <w:tcW w:w="860" w:type="dxa"/>
            <w:vAlign w:val="bottom"/>
            <w:shd w:val="clear" w:color="auto" w:fill="CCEEFF"/>
          </w:tcPr>
          <w:p>
            <w:pPr>
              <w:spacing w:after="0"/>
              <w:rPr>
                <w:sz w:val="24"/>
                <w:szCs w:val="24"/>
                <w:color w:val="auto"/>
              </w:rPr>
            </w:pPr>
          </w:p>
        </w:tc>
        <w:tc>
          <w:tcPr>
            <w:tcW w:w="2040" w:type="dxa"/>
            <w:vAlign w:val="bottom"/>
            <w:shd w:val="clear" w:color="auto" w:fill="CCEEFF"/>
          </w:tcPr>
          <w:p>
            <w:pPr>
              <w:spacing w:after="0"/>
              <w:rPr>
                <w:sz w:val="24"/>
                <w:szCs w:val="24"/>
                <w:color w:val="auto"/>
              </w:rPr>
            </w:pPr>
          </w:p>
        </w:tc>
        <w:tc>
          <w:tcPr>
            <w:tcW w:w="2320" w:type="dxa"/>
            <w:vAlign w:val="bottom"/>
            <w:gridSpan w:val="2"/>
            <w:shd w:val="clear" w:color="auto" w:fill="CCEEFF"/>
          </w:tcPr>
          <w:p>
            <w:pPr>
              <w:jc w:val="right"/>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128</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4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740" w:type="dxa"/>
            <w:vAlign w:val="bottom"/>
            <w:gridSpan w:val="3"/>
          </w:tcPr>
          <w:p>
            <w:pPr>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Item 17.</w:t>
              </w:r>
            </w:hyperlink>
          </w:p>
        </w:tc>
        <w:tc>
          <w:tcPr>
            <w:tcW w:w="100" w:type="dxa"/>
            <w:vAlign w:val="bottom"/>
          </w:tcPr>
          <w:p>
            <w:pPr>
              <w:spacing w:after="0"/>
              <w:rPr>
                <w:sz w:val="24"/>
                <w:szCs w:val="24"/>
                <w:color w:val="auto"/>
              </w:rPr>
            </w:pPr>
          </w:p>
        </w:tc>
        <w:tc>
          <w:tcPr>
            <w:tcW w:w="8080" w:type="dxa"/>
            <w:vAlign w:val="bottom"/>
            <w:gridSpan w:val="27"/>
          </w:tcPr>
          <w:p>
            <w:pPr>
              <w:ind w:left="120"/>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Financial Statements</w:t>
              </w:r>
            </w:hyperlink>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128</w:t>
              </w:r>
            </w:hyperlink>
          </w:p>
        </w:tc>
        <w:tc>
          <w:tcPr>
            <w:tcW w:w="0" w:type="dxa"/>
            <w:vAlign w:val="bottom"/>
          </w:tcPr>
          <w:p>
            <w:pPr>
              <w:spacing w:after="0"/>
              <w:rPr>
                <w:sz w:val="1"/>
                <w:szCs w:val="1"/>
                <w:color w:val="auto"/>
              </w:rPr>
            </w:pPr>
          </w:p>
        </w:tc>
      </w:tr>
      <w:tr>
        <w:trPr>
          <w:trHeight w:val="21"/>
        </w:trPr>
        <w:tc>
          <w:tcPr>
            <w:tcW w:w="3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18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shd w:val="clear" w:color="auto" w:fill="CCEEFF"/>
          </w:tcPr>
          <w:p>
            <w:pPr>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Item 18.</w:t>
              </w:r>
            </w:hyperlink>
          </w:p>
        </w:tc>
        <w:tc>
          <w:tcPr>
            <w:tcW w:w="8080" w:type="dxa"/>
            <w:vAlign w:val="bottom"/>
            <w:gridSpan w:val="27"/>
            <w:shd w:val="clear" w:color="auto" w:fill="CCEEFF"/>
          </w:tcPr>
          <w:p>
            <w:pPr>
              <w:ind w:left="120"/>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Financial Statements</w:t>
              </w:r>
            </w:hyperlink>
          </w:p>
        </w:tc>
        <w:tc>
          <w:tcPr>
            <w:tcW w:w="2320" w:type="dxa"/>
            <w:vAlign w:val="bottom"/>
            <w:gridSpan w:val="2"/>
            <w:shd w:val="clear" w:color="auto" w:fill="CCEEFF"/>
          </w:tcPr>
          <w:p>
            <w:pPr>
              <w:jc w:val="right"/>
              <w:spacing w:after="0"/>
              <w:rPr>
                <w:rFonts w:ascii="Arial" w:cs="Arial" w:eastAsia="Arial" w:hAnsi="Arial"/>
                <w:sz w:val="18"/>
                <w:szCs w:val="18"/>
                <w:b w:val="1"/>
                <w:bCs w:val="1"/>
                <w:color w:val="0000EE"/>
              </w:rPr>
            </w:pPr>
            <w:hyperlink w:anchor="page132">
              <w:r>
                <w:rPr>
                  <w:rFonts w:ascii="Arial" w:cs="Arial" w:eastAsia="Arial" w:hAnsi="Arial"/>
                  <w:sz w:val="18"/>
                  <w:szCs w:val="18"/>
                  <w:b w:val="1"/>
                  <w:bCs w:val="1"/>
                  <w:color w:val="0000EE"/>
                </w:rPr>
                <w:t>128</w:t>
              </w:r>
            </w:hyperlink>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360" w:type="dxa"/>
            <w:vAlign w:val="bottom"/>
            <w:tcBorders>
              <w:top w:val="single" w:sz="8" w:color="0000EE"/>
            </w:tcBorders>
            <w:shd w:val="clear" w:color="auto" w:fill="CCEEFF"/>
          </w:tcPr>
          <w:p>
            <w:pPr>
              <w:spacing w:after="0" w:line="20" w:lineRule="exact"/>
              <w:rPr>
                <w:sz w:val="1"/>
                <w:szCs w:val="1"/>
                <w:color w:val="auto"/>
              </w:rPr>
            </w:pPr>
          </w:p>
        </w:tc>
        <w:tc>
          <w:tcPr>
            <w:tcW w:w="30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36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0000EE"/>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14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4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shd w:val="clear" w:color="auto" w:fill="CCEEFF"/>
          </w:tcPr>
          <w:p>
            <w:pPr>
              <w:spacing w:after="0" w:line="20" w:lineRule="exact"/>
              <w:rPr>
                <w:sz w:val="1"/>
                <w:szCs w:val="1"/>
                <w:color w:val="auto"/>
              </w:rPr>
            </w:pPr>
          </w:p>
        </w:tc>
        <w:tc>
          <w:tcPr>
            <w:tcW w:w="120" w:type="dxa"/>
            <w:vAlign w:val="bottom"/>
            <w:tcBorders>
              <w:top w:val="single" w:sz="8" w:color="0000EE"/>
            </w:tcBorders>
            <w:shd w:val="clear" w:color="auto" w:fill="CCEEFF"/>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Borders>
              <w:top w:val="single" w:sz="8" w:color="CCEEFF"/>
            </w:tcBorders>
            <w:shd w:val="clear" w:color="auto" w:fill="CCEEFF"/>
          </w:tcPr>
          <w:p>
            <w:pPr>
              <w:spacing w:after="0" w:line="20" w:lineRule="exact"/>
              <w:rPr>
                <w:sz w:val="1"/>
                <w:szCs w:val="1"/>
                <w:color w:val="auto"/>
              </w:rPr>
            </w:pPr>
          </w:p>
        </w:tc>
        <w:tc>
          <w:tcPr>
            <w:tcW w:w="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580" w:type="dxa"/>
            <w:vAlign w:val="bottom"/>
            <w:tcBorders>
              <w:top w:val="single" w:sz="8" w:color="CCEEFF"/>
            </w:tcBorders>
            <w:shd w:val="clear" w:color="auto" w:fill="CCEEFF"/>
          </w:tcPr>
          <w:p>
            <w:pPr>
              <w:spacing w:after="0" w:line="20" w:lineRule="exact"/>
              <w:rPr>
                <w:sz w:val="1"/>
                <w:szCs w:val="1"/>
                <w:color w:val="auto"/>
              </w:rPr>
            </w:pPr>
          </w:p>
        </w:tc>
        <w:tc>
          <w:tcPr>
            <w:tcW w:w="16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36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860" w:type="dxa"/>
            <w:vAlign w:val="bottom"/>
            <w:tcBorders>
              <w:top w:val="single" w:sz="8" w:color="CCEEFF"/>
            </w:tcBorders>
            <w:shd w:val="clear" w:color="auto" w:fill="CCEEFF"/>
          </w:tcPr>
          <w:p>
            <w:pPr>
              <w:spacing w:after="0" w:line="20" w:lineRule="exact"/>
              <w:rPr>
                <w:sz w:val="1"/>
                <w:szCs w:val="1"/>
                <w:color w:val="auto"/>
              </w:rPr>
            </w:pPr>
          </w:p>
        </w:tc>
        <w:tc>
          <w:tcPr>
            <w:tcW w:w="2040" w:type="dxa"/>
            <w:vAlign w:val="bottom"/>
            <w:tcBorders>
              <w:top w:val="single" w:sz="8" w:color="CCEEFF"/>
            </w:tcBorders>
            <w:shd w:val="clear" w:color="auto" w:fill="CCEEFF"/>
          </w:tcPr>
          <w:p>
            <w:pPr>
              <w:spacing w:after="0" w:line="20" w:lineRule="exact"/>
              <w:rPr>
                <w:sz w:val="1"/>
                <w:szCs w:val="1"/>
                <w:color w:val="auto"/>
              </w:rPr>
            </w:pPr>
          </w:p>
        </w:tc>
        <w:tc>
          <w:tcPr>
            <w:tcW w:w="206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840" w:type="dxa"/>
            <w:vAlign w:val="bottom"/>
            <w:gridSpan w:val="4"/>
          </w:tcPr>
          <w:p>
            <w:pPr>
              <w:spacing w:after="0"/>
              <w:rPr>
                <w:rFonts w:ascii="Arial" w:cs="Arial" w:eastAsia="Arial" w:hAnsi="Arial"/>
                <w:sz w:val="18"/>
                <w:szCs w:val="18"/>
                <w:b w:val="1"/>
                <w:bCs w:val="1"/>
                <w:color w:val="0000EE"/>
              </w:rPr>
            </w:pPr>
            <w:hyperlink w:anchor="page133">
              <w:r>
                <w:rPr>
                  <w:rFonts w:ascii="Arial" w:cs="Arial" w:eastAsia="Arial" w:hAnsi="Arial"/>
                  <w:sz w:val="18"/>
                  <w:szCs w:val="18"/>
                  <w:b w:val="1"/>
                  <w:bCs w:val="1"/>
                  <w:color w:val="0000EE"/>
                </w:rPr>
                <w:t>Item 19.</w:t>
              </w:r>
            </w:hyperlink>
          </w:p>
        </w:tc>
        <w:tc>
          <w:tcPr>
            <w:tcW w:w="760" w:type="dxa"/>
            <w:vAlign w:val="bottom"/>
            <w:gridSpan w:val="3"/>
          </w:tcPr>
          <w:p>
            <w:pPr>
              <w:ind w:left="120"/>
              <w:spacing w:after="0"/>
              <w:rPr>
                <w:rFonts w:ascii="Arial" w:cs="Arial" w:eastAsia="Arial" w:hAnsi="Arial"/>
                <w:sz w:val="18"/>
                <w:szCs w:val="18"/>
                <w:b w:val="1"/>
                <w:bCs w:val="1"/>
                <w:color w:val="0000EE"/>
                <w:w w:val="88"/>
              </w:rPr>
            </w:pPr>
            <w:hyperlink w:anchor="page133">
              <w:r>
                <w:rPr>
                  <w:rFonts w:ascii="Arial" w:cs="Arial" w:eastAsia="Arial" w:hAnsi="Arial"/>
                  <w:sz w:val="18"/>
                  <w:szCs w:val="18"/>
                  <w:b w:val="1"/>
                  <w:bCs w:val="1"/>
                  <w:color w:val="0000EE"/>
                  <w:w w:val="88"/>
                </w:rPr>
                <w:t>Exhibits</w:t>
              </w:r>
            </w:hyperlink>
          </w:p>
        </w:tc>
        <w:tc>
          <w:tcPr>
            <w:tcW w:w="960" w:type="dxa"/>
            <w:vAlign w:val="bottom"/>
            <w:gridSpan w:val="8"/>
          </w:tcPr>
          <w:p>
            <w:pPr>
              <w:spacing w:after="0"/>
              <w:rPr>
                <w:sz w:val="24"/>
                <w:szCs w:val="24"/>
                <w:color w:val="auto"/>
              </w:rPr>
            </w:pPr>
          </w:p>
        </w:tc>
        <w:tc>
          <w:tcPr>
            <w:tcW w:w="6360" w:type="dxa"/>
            <w:vAlign w:val="bottom"/>
            <w:gridSpan w:val="16"/>
          </w:tcPr>
          <w:p>
            <w:pPr>
              <w:spacing w:after="0"/>
              <w:rPr>
                <w:sz w:val="24"/>
                <w:szCs w:val="24"/>
                <w:color w:val="auto"/>
              </w:rPr>
            </w:pPr>
          </w:p>
        </w:tc>
        <w:tc>
          <w:tcPr>
            <w:tcW w:w="2340" w:type="dxa"/>
            <w:vAlign w:val="bottom"/>
            <w:gridSpan w:val="3"/>
          </w:tcPr>
          <w:p>
            <w:pPr>
              <w:jc w:val="right"/>
              <w:ind w:right="20"/>
              <w:spacing w:after="0"/>
              <w:rPr>
                <w:rFonts w:ascii="Arial" w:cs="Arial" w:eastAsia="Arial" w:hAnsi="Arial"/>
                <w:sz w:val="18"/>
                <w:szCs w:val="18"/>
                <w:b w:val="1"/>
                <w:bCs w:val="1"/>
                <w:color w:val="0000EE"/>
              </w:rPr>
            </w:pPr>
            <w:hyperlink w:anchor="page133">
              <w:r>
                <w:rPr>
                  <w:rFonts w:ascii="Arial" w:cs="Arial" w:eastAsia="Arial" w:hAnsi="Arial"/>
                  <w:sz w:val="18"/>
                  <w:szCs w:val="18"/>
                  <w:b w:val="1"/>
                  <w:bCs w:val="1"/>
                  <w:color w:val="0000EE"/>
                </w:rPr>
                <w:t>129</w:t>
              </w:r>
            </w:hyperlink>
          </w:p>
        </w:tc>
        <w:tc>
          <w:tcPr>
            <w:tcW w:w="0" w:type="dxa"/>
            <w:vAlign w:val="bottom"/>
          </w:tcPr>
          <w:p>
            <w:pPr>
              <w:spacing w:after="0"/>
              <w:rPr>
                <w:sz w:val="1"/>
                <w:szCs w:val="1"/>
                <w:color w:val="auto"/>
              </w:rPr>
            </w:pPr>
          </w:p>
        </w:tc>
      </w:tr>
      <w:tr>
        <w:trPr>
          <w:trHeight w:val="669"/>
        </w:trPr>
        <w:tc>
          <w:tcPr>
            <w:tcW w:w="360" w:type="dxa"/>
            <w:vAlign w:val="bottom"/>
            <w:tcBorders>
              <w:top w:val="single" w:sz="8" w:color="0000EE"/>
              <w:bottom w:val="single" w:sz="8" w:color="auto"/>
            </w:tcBorders>
          </w:tcPr>
          <w:p>
            <w:pPr>
              <w:spacing w:after="0"/>
              <w:rPr>
                <w:sz w:val="24"/>
                <w:szCs w:val="24"/>
                <w:color w:val="auto"/>
              </w:rPr>
            </w:pPr>
          </w:p>
        </w:tc>
        <w:tc>
          <w:tcPr>
            <w:tcW w:w="300" w:type="dxa"/>
            <w:vAlign w:val="bottom"/>
            <w:tcBorders>
              <w:top w:val="single" w:sz="8" w:color="0000EE"/>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100" w:type="dxa"/>
            <w:vAlign w:val="bottom"/>
            <w:tcBorders>
              <w:top w:val="single" w:sz="8" w:color="0000EE"/>
              <w:bottom w:val="single" w:sz="8" w:color="auto"/>
            </w:tcBorders>
          </w:tcPr>
          <w:p>
            <w:pPr>
              <w:spacing w:after="0"/>
              <w:rPr>
                <w:sz w:val="24"/>
                <w:szCs w:val="24"/>
                <w:color w:val="auto"/>
              </w:rPr>
            </w:pPr>
          </w:p>
        </w:tc>
        <w:tc>
          <w:tcPr>
            <w:tcW w:w="760" w:type="dxa"/>
            <w:vAlign w:val="bottom"/>
            <w:tcBorders>
              <w:top w:val="single" w:sz="8" w:color="0000EE"/>
              <w:bottom w:val="single" w:sz="8" w:color="auto"/>
            </w:tcBorders>
            <w:gridSpan w:val="3"/>
          </w:tcPr>
          <w:p>
            <w:pPr>
              <w:spacing w:after="0"/>
              <w:rPr>
                <w:sz w:val="24"/>
                <w:szCs w:val="24"/>
                <w:color w:val="auto"/>
              </w:rPr>
            </w:pPr>
          </w:p>
        </w:tc>
        <w:tc>
          <w:tcPr>
            <w:tcW w:w="4420" w:type="dxa"/>
            <w:vAlign w:val="bottom"/>
            <w:tcBorders>
              <w:bottom w:val="single" w:sz="8" w:color="auto"/>
            </w:tcBorders>
            <w:gridSpan w:val="22"/>
          </w:tcPr>
          <w:p>
            <w:pPr>
              <w:jc w:val="right"/>
              <w:ind w:right="360"/>
              <w:spacing w:after="0"/>
              <w:rPr>
                <w:sz w:val="20"/>
                <w:szCs w:val="20"/>
                <w:color w:val="auto"/>
              </w:rPr>
            </w:pPr>
            <w:r>
              <w:rPr>
                <w:rFonts w:ascii="Arial" w:cs="Arial" w:eastAsia="Arial" w:hAnsi="Arial"/>
                <w:sz w:val="18"/>
                <w:szCs w:val="18"/>
                <w:color w:val="auto"/>
              </w:rPr>
              <w:t>2</w:t>
            </w:r>
          </w:p>
        </w:tc>
        <w:tc>
          <w:tcPr>
            <w:tcW w:w="86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spacing w:after="0"/>
              <w:rPr>
                <w:sz w:val="24"/>
                <w:szCs w:val="24"/>
                <w:color w:val="auto"/>
              </w:rPr>
            </w:pPr>
          </w:p>
        </w:tc>
        <w:tc>
          <w:tcPr>
            <w:tcW w:w="260" w:type="dxa"/>
            <w:vAlign w:val="bottom"/>
            <w:tcBorders>
              <w:top w:val="single" w:sz="8" w:color="0000EE"/>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18" w:right="339" w:bottom="1440" w:gutter="0" w:footer="0" w:header="0"/>
        </w:sectPr>
      </w:pPr>
    </w:p>
    <w:bookmarkStart w:id="4" w:name="page5"/>
    <w:bookmarkEnd w:id="4"/>
    <w:p>
      <w:pPr>
        <w:jc w:val="both"/>
        <w:spacing w:after="0" w:line="286" w:lineRule="auto"/>
        <w:rPr>
          <w:sz w:val="20"/>
          <w:szCs w:val="20"/>
          <w:color w:val="auto"/>
        </w:rPr>
      </w:pPr>
      <w:r>
        <w:rPr>
          <w:rFonts w:ascii="Arial" w:cs="Arial" w:eastAsia="Arial" w:hAnsi="Arial"/>
          <w:sz w:val="16"/>
          <w:szCs w:val="16"/>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Bladex’s loan portfolio (the “Loan Portfolio”) are to the Bank’s loans at amortized cost, gross of interest receivable, allowance for loan losses, unearned interest and deferred fees. References to Bladex’s commercial portfolio (the “Commercial Portfolio”) are to the Bank’s Loan Portfolio plus customers’ liabilities under acceptances, and loan commitments and financial guarantee contracts, such as confirmed and stand-by letters of credit, and guarantees covering commercial risk. References to Bladex’s credit portfolio (the “Credit Portfolio”) are to the Bank’s Commercial Portfolio plus Bladex’s investment portfolio (the “Investment Portfolio”) consisting of securities at fair value through other comprehensive income (“FVOCI”) and securities at amortized cost, gross of interest receivable and the allowance for expected credit losses.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71"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7"/>
          <w:szCs w:val="17"/>
          <w:u w:val="single" w:color="auto"/>
          <w:color w:val="auto"/>
        </w:rPr>
        <w:t>amendez@bladex.com</w:t>
      </w:r>
      <w:r>
        <w:rPr>
          <w:rFonts w:ascii="Arial" w:cs="Arial" w:eastAsia="Arial" w:hAnsi="Arial"/>
          <w:sz w:val="17"/>
          <w:szCs w:val="17"/>
          <w:color w:val="auto"/>
        </w:rPr>
        <w:t xml:space="preserve"> or </w:t>
      </w:r>
      <w:r>
        <w:rPr>
          <w:rFonts w:ascii="Arial" w:cs="Arial" w:eastAsia="Arial" w:hAnsi="Arial"/>
          <w:sz w:val="17"/>
          <w:szCs w:val="17"/>
          <w:u w:val="single" w:color="auto"/>
          <w:color w:val="auto"/>
        </w:rPr>
        <w:t>ir@bladex.com.</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Forward-Looking Statements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Factors or events that could cause the Bank’s actual results to differ may emerge from time to time, and it is not possible for the Bank to predict all such factors or results. The Bank undertakes no obligation to publicly update any forward-looking statement, whether as a result of new information, future developments or otherwise, except as may be required by applicable law or regulation. Forward-looking statements include statements regarding:</w:t>
      </w:r>
    </w:p>
    <w:p>
      <w:pPr>
        <w:spacing w:after="0" w:line="182" w:lineRule="exact"/>
        <w:rPr>
          <w:sz w:val="20"/>
          <w:szCs w:val="20"/>
          <w:color w:val="auto"/>
        </w:rPr>
      </w:pPr>
    </w:p>
    <w:p>
      <w:pPr>
        <w:jc w:val="both"/>
        <w:ind w:left="340" w:hanging="332"/>
        <w:spacing w:after="0" w:line="263" w:lineRule="auto"/>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emergence of widespread health emergencies or pandemics, including the magnitude and duration of the COVID-19 pandemic and its impact on financial market and economic conditions both in the Region and globally, as well as on the Bank’s business, results of operations, financial condition and prospects;</w:t>
      </w:r>
    </w:p>
    <w:p>
      <w:pPr>
        <w:spacing w:after="0" w:line="21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7"/>
        </w:numPr>
        <w:rPr>
          <w:rFonts w:ascii="Arial" w:cs="Arial" w:eastAsia="Arial" w:hAnsi="Arial"/>
          <w:sz w:val="18"/>
          <w:szCs w:val="18"/>
          <w:color w:val="auto"/>
        </w:rPr>
      </w:pPr>
      <w:r>
        <w:rPr>
          <w:rFonts w:ascii="Arial" w:cs="Arial" w:eastAsia="Arial" w:hAnsi="Arial"/>
          <w:sz w:val="18"/>
          <w:szCs w:val="18"/>
          <w:color w:val="auto"/>
        </w:rPr>
        <w:t>general economic, political and business conditions in North America, Central America, South America and the jurisdictions in which the Bank or its customers operate;</w:t>
      </w: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 w:name="page6"/>
    <w:bookmarkEnd w:id="5"/>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grow its Credit Portfolio, including its trade finance portfolio;</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increase the number of its clients;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maintain its investment-grade credit ratings and preferred creditor status;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6"/>
          <w:szCs w:val="16"/>
          <w:color w:val="auto"/>
        </w:rPr>
      </w:pPr>
      <w:r>
        <w:rPr>
          <w:rFonts w:ascii="Arial" w:cs="Arial" w:eastAsia="Arial" w:hAnsi="Arial"/>
          <w:sz w:val="16"/>
          <w:szCs w:val="16"/>
          <w:color w:val="auto"/>
        </w:rPr>
        <w:t>the effects of changing interest rates, inflation, exchange rates and the macroeconomic environment in the Region on the Bank’s financial condition;</w:t>
      </w:r>
    </w:p>
    <w:p>
      <w:pPr>
        <w:spacing w:after="0" w:line="275" w:lineRule="exact"/>
        <w:rPr>
          <w:rFonts w:ascii="Arial" w:cs="Arial" w:eastAsia="Arial" w:hAnsi="Arial"/>
          <w:sz w:val="16"/>
          <w:szCs w:val="16"/>
          <w:color w:val="auto"/>
        </w:rPr>
      </w:pPr>
    </w:p>
    <w:p>
      <w:pPr>
        <w:ind w:left="340" w:right="20" w:hanging="332"/>
        <w:spacing w:after="0" w:line="277"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risks related to the discontinuation of the London Interbank Offered Rate (“LIBOR”) and other reference rates, including increased expenses and litigation and the effectiveness of any hedging strategies;</w:t>
      </w:r>
    </w:p>
    <w:p>
      <w:pPr>
        <w:spacing w:after="0" w:line="197"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execution of the Bank’s strategies and initiatives, including its revenue diversification strategy;</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anticipated profits and return on equity in future periods;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level of capitalization and debt;</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implied volatility of the Bank’s Treasury profits;</w:t>
      </w:r>
    </w:p>
    <w:p>
      <w:pPr>
        <w:spacing w:after="0" w:line="252"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levels of defaults by borrowers and the adequacy of the Bank’s allowance for losses on financial instruments and the measure of its expected credit loss model;</w:t>
      </w:r>
    </w:p>
    <w:p>
      <w:pPr>
        <w:spacing w:after="0" w:line="197"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availability and mix of future sources of funding for the Bank’s lending operations;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adequacy of the Bank’s sources of liquidity to cover large deposit withdrawals;</w:t>
      </w:r>
    </w:p>
    <w:p>
      <w:pPr>
        <w:spacing w:after="0" w:line="252"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management’s expectations and estimates concerning the Bank’s future financial performance, financing, plans and programs, and the effects of competition;</w:t>
      </w:r>
    </w:p>
    <w:p>
      <w:pPr>
        <w:spacing w:after="0" w:line="197"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government regulations and tax laws and changes therein;</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increases in appilcable compulsory reserve and deposit requirements;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effectiveness of the Bank’s risk management policies;</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failure in, or breach of, the Bank’s operational or security systems or infrastructure;</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regulation of the Bank’s business and operations on a consolidated basis;</w:t>
      </w:r>
    </w:p>
    <w:p>
      <w:pPr>
        <w:spacing w:after="0" w:line="252"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effects of possible changes in economic or financial sanctions, requirements, or trade embargoes, changes in international trade, tariffs, restrictions or policies;</w:t>
      </w:r>
    </w:p>
    <w:p>
      <w:pPr>
        <w:spacing w:after="0" w:line="197"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credit and other risks of lending and investment activities; and</w:t>
      </w:r>
    </w:p>
    <w:p>
      <w:pPr>
        <w:spacing w:after="0" w:line="252" w:lineRule="exact"/>
        <w:rPr>
          <w:rFonts w:ascii="Arial" w:cs="Arial" w:eastAsia="Arial" w:hAnsi="Arial"/>
          <w:sz w:val="18"/>
          <w:szCs w:val="18"/>
          <w:color w:val="auto"/>
        </w:rPr>
      </w:pPr>
    </w:p>
    <w:p>
      <w:pPr>
        <w:ind w:left="340" w:hanging="332"/>
        <w:spacing w:after="0"/>
        <w:tabs>
          <w:tab w:leader="none" w:pos="3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Bank’s ability to sustain or improve its operating performance.</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the statements included under the headings “Item 4.B. Business Overview—Strategies for 2021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35" w:right="339" w:bottom="1440" w:gutter="0" w:footer="0" w:header="0"/>
        </w:sectPr>
      </w:pPr>
    </w:p>
    <w:bookmarkStart w:id="6" w:name="page7"/>
    <w:bookmarkEnd w:id="6"/>
    <w:p>
      <w:pPr>
        <w:ind w:left="5340"/>
        <w:spacing w:after="0"/>
        <w:rPr>
          <w:sz w:val="20"/>
          <w:szCs w:val="20"/>
          <w:color w:val="auto"/>
        </w:rPr>
      </w:pPr>
      <w:r>
        <w:rPr>
          <w:rFonts w:ascii="Arial" w:cs="Arial" w:eastAsia="Arial" w:hAnsi="Arial"/>
          <w:sz w:val="18"/>
          <w:szCs w:val="18"/>
          <w:b w:val="1"/>
          <w:bCs w:val="1"/>
          <w:color w:val="auto"/>
        </w:rPr>
        <w:t>PART 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w:t>
      </w:r>
      <w:r>
        <w:rPr>
          <w:sz w:val="20"/>
          <w:szCs w:val="20"/>
          <w:color w:val="auto"/>
        </w:rPr>
        <w:tab/>
      </w:r>
      <w:r>
        <w:rPr>
          <w:rFonts w:ascii="Arial" w:cs="Arial" w:eastAsia="Arial" w:hAnsi="Arial"/>
          <w:sz w:val="16"/>
          <w:szCs w:val="16"/>
          <w:b w:val="1"/>
          <w:bCs w:val="1"/>
          <w:color w:val="auto"/>
        </w:rPr>
        <w:t>Identity of Directors, Senior Management and Advisers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6"/>
          <w:szCs w:val="16"/>
          <w:b w:val="1"/>
          <w:bCs w:val="1"/>
          <w:color w:val="auto"/>
        </w:rPr>
        <w:t>Offer Statistics and Expected Timetable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7"/>
          <w:szCs w:val="17"/>
          <w:b w:val="1"/>
          <w:bCs w:val="1"/>
          <w:color w:val="auto"/>
        </w:rPr>
        <w:t>Key Information</w:t>
      </w:r>
    </w:p>
    <w:p>
      <w:pPr>
        <w:spacing w:after="0" w:line="225" w:lineRule="exact"/>
        <w:rPr>
          <w:sz w:val="20"/>
          <w:szCs w:val="20"/>
          <w:color w:val="auto"/>
        </w:rPr>
      </w:pPr>
    </w:p>
    <w:p>
      <w:pPr>
        <w:ind w:left="540" w:hanging="532"/>
        <w:spacing w:after="0"/>
        <w:tabs>
          <w:tab w:leader="none" w:pos="5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Selected Financial Data</w:t>
      </w:r>
    </w:p>
    <w:p>
      <w:pPr>
        <w:spacing w:after="0" w:line="22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The following table presents selected consolidated financial data for the Bank. The Consolidated Financial Statements were prepared and presented in accordance with International Financial Reporting Standards (“IFRS”) as issued by the International Accounting Standards Board (“IASB”). The following selected financial data as of December 31, 2020 and 2019, and for the years ended December 31, 2020, December 31, 2019 and December 31, 2018 has been derived from the Consolidated Financial Statements, and are included in this Annual Report beginning on page F-1, together with the reports of the independent registered public accounting firms KPMG LLP (“KPMG”). The following selected financial data as of December 31, 2018, 2017 and 2016, and for the years ended December 31, 2017 and 2016, are derived from the Forms 20-F for the years 2018 and 2017 already filed with the SEC. The Consolidated Financial Statements as of, and for the years ended December 31, 2020, 2019 and 2018 were audited by the independent registered public accounting firm KPMG, and the Consolidated Financial Statements as of, and for the years ended, December 31, 2017 and 2016 were audited by the independent registered public accounting firm Deloitte, Inc. The information below is qualified in its entirety by reference to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6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0" w:type="dxa"/>
            <w:vAlign w:val="bottom"/>
          </w:tcPr>
          <w:p>
            <w:pPr>
              <w:spacing w:after="0"/>
              <w:rPr>
                <w:sz w:val="20"/>
                <w:szCs w:val="20"/>
                <w:color w:val="auto"/>
              </w:rPr>
            </w:pPr>
            <w:r>
              <w:rPr>
                <w:rFonts w:ascii="Arial" w:cs="Arial" w:eastAsia="Arial" w:hAnsi="Arial"/>
                <w:sz w:val="18"/>
                <w:szCs w:val="18"/>
                <w:b w:val="1"/>
                <w:bCs w:val="1"/>
                <w:color w:val="auto"/>
              </w:rPr>
              <w:t>Consolidated Selected Financial Information</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5"/>
        </w:trPr>
        <w:tc>
          <w:tcPr>
            <w:tcW w:w="4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4"/>
          </w:tcPr>
          <w:p>
            <w:pPr>
              <w:jc w:val="right"/>
              <w:ind w:right="120"/>
              <w:spacing w:after="0"/>
              <w:rPr>
                <w:sz w:val="20"/>
                <w:szCs w:val="20"/>
                <w:color w:val="auto"/>
              </w:rPr>
            </w:pPr>
            <w:r>
              <w:rPr>
                <w:rFonts w:ascii="Arial" w:cs="Arial" w:eastAsia="Arial" w:hAnsi="Arial"/>
                <w:sz w:val="18"/>
                <w:szCs w:val="18"/>
                <w:b w:val="1"/>
                <w:bCs w:val="1"/>
                <w:color w:val="auto"/>
                <w:w w:val="89"/>
              </w:rPr>
              <w:t>As of December 31,</w:t>
            </w: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40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2017</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2016</w:t>
            </w:r>
          </w:p>
        </w:tc>
        <w:tc>
          <w:tcPr>
            <w:tcW w:w="100" w:type="dxa"/>
            <w:vAlign w:val="bottom"/>
          </w:tcPr>
          <w:p>
            <w:pPr>
              <w:spacing w:after="0"/>
              <w:rPr>
                <w:sz w:val="19"/>
                <w:szCs w:val="19"/>
                <w:color w:val="auto"/>
              </w:rPr>
            </w:pPr>
          </w:p>
        </w:tc>
      </w:tr>
      <w:tr>
        <w:trPr>
          <w:trHeight w:val="237"/>
        </w:trPr>
        <w:tc>
          <w:tcPr>
            <w:tcW w:w="4000" w:type="dxa"/>
            <w:vAlign w:val="bottom"/>
          </w:tcPr>
          <w:p>
            <w:pPr>
              <w:spacing w:after="0"/>
              <w:rPr>
                <w:sz w:val="20"/>
                <w:szCs w:val="20"/>
                <w:color w:val="auto"/>
              </w:rPr>
            </w:pPr>
            <w:r>
              <w:rPr>
                <w:rFonts w:ascii="Arial" w:cs="Arial" w:eastAsia="Arial" w:hAnsi="Arial"/>
                <w:sz w:val="18"/>
                <w:szCs w:val="18"/>
                <w:b w:val="1"/>
                <w:bCs w:val="1"/>
                <w:color w:val="auto"/>
                <w:w w:val="91"/>
              </w:rPr>
              <w:t>Consolidated Statement of Financial Position Data:</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40" w:type="dxa"/>
            <w:vAlign w:val="bottom"/>
            <w:gridSpan w:val="4"/>
          </w:tcPr>
          <w:p>
            <w:pPr>
              <w:jc w:val="right"/>
              <w:ind w:right="240"/>
              <w:spacing w:after="0"/>
              <w:rPr>
                <w:sz w:val="20"/>
                <w:szCs w:val="20"/>
                <w:color w:val="auto"/>
              </w:rPr>
            </w:pPr>
            <w:r>
              <w:rPr>
                <w:rFonts w:ascii="Arial" w:cs="Arial" w:eastAsia="Arial" w:hAnsi="Arial"/>
                <w:sz w:val="18"/>
                <w:szCs w:val="18"/>
                <w:b w:val="1"/>
                <w:bCs w:val="1"/>
                <w:color w:val="auto"/>
                <w:w w:val="99"/>
              </w:rPr>
              <w:t>(in $ thousands)</w:t>
            </w: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4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Cash and due from banks</w:t>
            </w:r>
          </w:p>
        </w:tc>
        <w:tc>
          <w:tcPr>
            <w:tcW w:w="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863,812</w:t>
            </w: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79"/>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1,178,170</w:t>
            </w:r>
          </w:p>
        </w:tc>
        <w:tc>
          <w:tcPr>
            <w:tcW w:w="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1,745,652</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672,048</w:t>
            </w:r>
          </w:p>
        </w:tc>
        <w:tc>
          <w:tcPr>
            <w:tcW w:w="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1,069,538</w:t>
            </w:r>
          </w:p>
        </w:tc>
      </w:tr>
      <w:tr>
        <w:trPr>
          <w:trHeight w:val="216"/>
        </w:trPr>
        <w:tc>
          <w:tcPr>
            <w:tcW w:w="4000" w:type="dxa"/>
            <w:vAlign w:val="bottom"/>
          </w:tcPr>
          <w:p>
            <w:pPr>
              <w:ind w:left="180"/>
              <w:spacing w:after="0"/>
              <w:rPr>
                <w:sz w:val="20"/>
                <w:szCs w:val="20"/>
                <w:color w:val="auto"/>
              </w:rPr>
            </w:pPr>
            <w:r>
              <w:rPr>
                <w:rFonts w:ascii="Arial" w:cs="Arial" w:eastAsia="Arial" w:hAnsi="Arial"/>
                <w:sz w:val="18"/>
                <w:szCs w:val="18"/>
                <w:color w:val="auto"/>
              </w:rPr>
              <w:t>Securities and other financial assets, net</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398,068</w:t>
            </w:r>
          </w:p>
        </w:tc>
        <w:tc>
          <w:tcPr>
            <w:tcW w:w="2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88,794</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123,598</w:t>
            </w: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95,484</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107,821</w:t>
            </w:r>
          </w:p>
        </w:tc>
      </w:tr>
      <w:tr>
        <w:trPr>
          <w:trHeight w:val="216"/>
        </w:trPr>
        <w:tc>
          <w:tcPr>
            <w:tcW w:w="4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Loans, net</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4,896,647</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5,823,333</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5,702,258</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5,448,788</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5,949,984</w:t>
            </w:r>
          </w:p>
        </w:tc>
      </w:tr>
      <w:tr>
        <w:trPr>
          <w:trHeight w:val="216"/>
        </w:trPr>
        <w:tc>
          <w:tcPr>
            <w:tcW w:w="4000" w:type="dxa"/>
            <w:vAlign w:val="bottom"/>
          </w:tcPr>
          <w:p>
            <w:pPr>
              <w:ind w:left="180"/>
              <w:spacing w:after="0"/>
              <w:rPr>
                <w:sz w:val="20"/>
                <w:szCs w:val="20"/>
                <w:color w:val="auto"/>
              </w:rPr>
            </w:pPr>
            <w:r>
              <w:rPr>
                <w:rFonts w:ascii="Arial" w:cs="Arial" w:eastAsia="Arial" w:hAnsi="Arial"/>
                <w:sz w:val="18"/>
                <w:szCs w:val="18"/>
                <w:color w:val="auto"/>
              </w:rPr>
              <w:t>Total assets</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6,288,898</w:t>
            </w:r>
          </w:p>
        </w:tc>
        <w:tc>
          <w:tcPr>
            <w:tcW w:w="2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7,249,666</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7,609,185</w:t>
            </w: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6,267,747</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7,180,783</w:t>
            </w:r>
          </w:p>
        </w:tc>
      </w:tr>
      <w:tr>
        <w:trPr>
          <w:trHeight w:val="216"/>
        </w:trPr>
        <w:tc>
          <w:tcPr>
            <w:tcW w:w="4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deposits, less interest payable</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3,138,900</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2,888,336</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2,970,822</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2,928,844</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2,802,852</w:t>
            </w:r>
          </w:p>
        </w:tc>
      </w:tr>
      <w:tr>
        <w:trPr>
          <w:trHeight w:val="216"/>
        </w:trPr>
        <w:tc>
          <w:tcPr>
            <w:tcW w:w="4000" w:type="dxa"/>
            <w:vAlign w:val="bottom"/>
          </w:tcPr>
          <w:p>
            <w:pPr>
              <w:ind w:left="180"/>
              <w:spacing w:after="0"/>
              <w:rPr>
                <w:sz w:val="20"/>
                <w:szCs w:val="20"/>
                <w:color w:val="auto"/>
              </w:rPr>
            </w:pPr>
            <w:r>
              <w:rPr>
                <w:rFonts w:ascii="Arial" w:cs="Arial" w:eastAsia="Arial" w:hAnsi="Arial"/>
                <w:sz w:val="18"/>
                <w:szCs w:val="18"/>
                <w:color w:val="auto"/>
              </w:rPr>
              <w:t>Securities sold under repurchase agreement</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10,663</w:t>
            </w:r>
          </w:p>
        </w:tc>
        <w:tc>
          <w:tcPr>
            <w:tcW w:w="2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40,530</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39,767</w:t>
            </w: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 net</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1,985,070</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3,138,310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3,518,446</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2,211,567</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3,246,813</w:t>
            </w:r>
          </w:p>
        </w:tc>
      </w:tr>
      <w:tr>
        <w:trPr>
          <w:trHeight w:val="216"/>
        </w:trPr>
        <w:tc>
          <w:tcPr>
            <w:tcW w:w="4000" w:type="dxa"/>
            <w:vAlign w:val="bottom"/>
          </w:tcPr>
          <w:p>
            <w:pPr>
              <w:ind w:left="180"/>
              <w:spacing w:after="0"/>
              <w:rPr>
                <w:sz w:val="20"/>
                <w:szCs w:val="20"/>
                <w:color w:val="auto"/>
              </w:rPr>
            </w:pPr>
            <w:r>
              <w:rPr>
                <w:rFonts w:ascii="Arial" w:cs="Arial" w:eastAsia="Arial" w:hAnsi="Arial"/>
                <w:sz w:val="18"/>
                <w:szCs w:val="18"/>
                <w:color w:val="auto"/>
              </w:rPr>
              <w:t>Total liabilities</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5,250,978</w:t>
            </w:r>
          </w:p>
        </w:tc>
        <w:tc>
          <w:tcPr>
            <w:tcW w:w="2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6,233,499</w:t>
            </w:r>
          </w:p>
        </w:tc>
        <w:tc>
          <w:tcPr>
            <w:tcW w:w="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6,615,595</w:t>
            </w:r>
          </w:p>
        </w:tc>
        <w:tc>
          <w:tcPr>
            <w:tcW w:w="26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5,224,935</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6,169,469</w:t>
            </w:r>
          </w:p>
        </w:tc>
      </w:tr>
      <w:tr>
        <w:trPr>
          <w:trHeight w:val="216"/>
        </w:trPr>
        <w:tc>
          <w:tcPr>
            <w:tcW w:w="4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Common stock</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279,980</w:t>
            </w:r>
          </w:p>
        </w:tc>
        <w:tc>
          <w:tcPr>
            <w:tcW w:w="2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279,980</w:t>
            </w:r>
          </w:p>
        </w:tc>
        <w:tc>
          <w:tcPr>
            <w:tcW w:w="2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279,980</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30"/>
        </w:trPr>
        <w:tc>
          <w:tcPr>
            <w:tcW w:w="4000" w:type="dxa"/>
            <w:vAlign w:val="bottom"/>
          </w:tcPr>
          <w:p>
            <w:pPr>
              <w:ind w:left="180"/>
              <w:spacing w:after="0"/>
              <w:rPr>
                <w:sz w:val="20"/>
                <w:szCs w:val="20"/>
                <w:color w:val="auto"/>
              </w:rPr>
            </w:pPr>
            <w:r>
              <w:rPr>
                <w:rFonts w:ascii="Arial" w:cs="Arial" w:eastAsia="Arial" w:hAnsi="Arial"/>
                <w:sz w:val="18"/>
                <w:szCs w:val="18"/>
                <w:color w:val="auto"/>
              </w:rPr>
              <w:t>Total equity</w:t>
            </w:r>
          </w:p>
        </w:tc>
        <w:tc>
          <w:tcPr>
            <w:tcW w:w="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40"/>
              <w:spacing w:after="0"/>
              <w:rPr>
                <w:sz w:val="20"/>
                <w:szCs w:val="20"/>
                <w:color w:val="auto"/>
              </w:rPr>
            </w:pPr>
            <w:r>
              <w:rPr>
                <w:rFonts w:ascii="Arial" w:cs="Arial" w:eastAsia="Arial" w:hAnsi="Arial"/>
                <w:sz w:val="18"/>
                <w:szCs w:val="18"/>
                <w:color w:val="auto"/>
              </w:rPr>
              <w:t>1,037,920</w:t>
            </w:r>
          </w:p>
        </w:tc>
        <w:tc>
          <w:tcPr>
            <w:tcW w:w="280" w:type="dxa"/>
            <w:vAlign w:val="bottom"/>
          </w:tcPr>
          <w:p>
            <w:pPr>
              <w:jc w:val="right"/>
              <w:ind w:right="90"/>
              <w:spacing w:after="0"/>
              <w:rPr>
                <w:sz w:val="20"/>
                <w:szCs w:val="20"/>
                <w:color w:val="auto"/>
              </w:rPr>
            </w:pPr>
            <w:r>
              <w:rPr>
                <w:rFonts w:ascii="Arial" w:cs="Arial" w:eastAsia="Arial" w:hAnsi="Arial"/>
                <w:sz w:val="18"/>
                <w:szCs w:val="18"/>
                <w:color w:val="auto"/>
                <w:w w:val="79"/>
              </w:rPr>
              <w:t>$</w:t>
            </w: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1,016,167</w:t>
            </w:r>
          </w:p>
        </w:tc>
        <w:tc>
          <w:tcPr>
            <w:tcW w:w="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993,590</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1,042,812</w:t>
            </w:r>
          </w:p>
        </w:tc>
        <w:tc>
          <w:tcPr>
            <w:tcW w:w="36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1,011,314</w:t>
            </w:r>
          </w:p>
        </w:tc>
      </w:tr>
      <w:tr>
        <w:trPr>
          <w:trHeight w:val="634"/>
        </w:trPr>
        <w:tc>
          <w:tcPr>
            <w:tcW w:w="4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color w:val="auto"/>
                <w:w w:val="79"/>
              </w:rPr>
              <w:t>5</w:t>
            </w:r>
          </w:p>
        </w:tc>
        <w:tc>
          <w:tcPr>
            <w:tcW w:w="9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7" w:name="page8"/>
    <w:bookmarkEnd w:id="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92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4300" w:type="dxa"/>
            <w:vAlign w:val="bottom"/>
            <w:tcBorders>
              <w:bottom w:val="single" w:sz="8" w:color="auto"/>
            </w:tcBorders>
            <w:gridSpan w:val="8"/>
          </w:tcPr>
          <w:p>
            <w:pPr>
              <w:jc w:val="center"/>
              <w:ind w:right="420"/>
              <w:spacing w:after="0"/>
              <w:rPr>
                <w:sz w:val="20"/>
                <w:szCs w:val="20"/>
                <w:color w:val="auto"/>
              </w:rPr>
            </w:pPr>
            <w:r>
              <w:rPr>
                <w:rFonts w:ascii="Arial" w:cs="Arial" w:eastAsia="Arial" w:hAnsi="Arial"/>
                <w:sz w:val="18"/>
                <w:szCs w:val="18"/>
                <w:b w:val="1"/>
                <w:bCs w:val="1"/>
                <w:color w:val="auto"/>
                <w:w w:val="89"/>
              </w:rPr>
              <w:t>As of and for the Year Ended December 31,</w:t>
            </w:r>
          </w:p>
        </w:tc>
        <w:tc>
          <w:tcPr>
            <w:tcW w:w="2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9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260" w:type="dxa"/>
            <w:vAlign w:val="bottom"/>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center"/>
              <w:ind w:right="170"/>
              <w:spacing w:after="0"/>
              <w:rPr>
                <w:sz w:val="20"/>
                <w:szCs w:val="20"/>
                <w:color w:val="auto"/>
              </w:rPr>
            </w:pPr>
            <w:r>
              <w:rPr>
                <w:rFonts w:ascii="Arial" w:cs="Arial" w:eastAsia="Arial" w:hAnsi="Arial"/>
                <w:sz w:val="18"/>
                <w:szCs w:val="18"/>
                <w:b w:val="1"/>
                <w:bCs w:val="1"/>
                <w:color w:val="auto"/>
                <w:w w:val="89"/>
              </w:rPr>
              <w:t>2018</w:t>
            </w:r>
          </w:p>
        </w:tc>
        <w:tc>
          <w:tcPr>
            <w:tcW w:w="2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2017</w:t>
            </w:r>
          </w:p>
        </w:tc>
        <w:tc>
          <w:tcPr>
            <w:tcW w:w="26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3920" w:type="dxa"/>
            <w:vAlign w:val="bottom"/>
            <w:vMerge w:val="restart"/>
          </w:tcPr>
          <w:p>
            <w:pPr>
              <w:spacing w:after="0"/>
              <w:rPr>
                <w:sz w:val="20"/>
                <w:szCs w:val="20"/>
                <w:color w:val="auto"/>
              </w:rPr>
            </w:pPr>
            <w:r>
              <w:rPr>
                <w:rFonts w:ascii="Arial" w:cs="Arial" w:eastAsia="Arial" w:hAnsi="Arial"/>
                <w:sz w:val="18"/>
                <w:szCs w:val="18"/>
                <w:b w:val="1"/>
                <w:bCs w:val="1"/>
                <w:color w:val="auto"/>
                <w:w w:val="99"/>
              </w:rPr>
              <w:t>Consolidated Statement of profit or loss Data:</w:t>
            </w: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300" w:type="dxa"/>
            <w:vAlign w:val="bottom"/>
            <w:gridSpan w:val="8"/>
          </w:tcPr>
          <w:p>
            <w:pPr>
              <w:jc w:val="center"/>
              <w:ind w:right="400"/>
              <w:spacing w:after="0"/>
              <w:rPr>
                <w:sz w:val="20"/>
                <w:szCs w:val="20"/>
                <w:color w:val="auto"/>
              </w:rPr>
            </w:pPr>
            <w:r>
              <w:rPr>
                <w:rFonts w:ascii="Arial" w:cs="Arial" w:eastAsia="Arial" w:hAnsi="Arial"/>
                <w:sz w:val="18"/>
                <w:szCs w:val="18"/>
                <w:b w:val="1"/>
                <w:bCs w:val="1"/>
                <w:color w:val="auto"/>
                <w:w w:val="88"/>
              </w:rPr>
              <w:t>(in $ thousands, except per share data and ratios)</w:t>
            </w: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920" w:type="dxa"/>
            <w:vAlign w:val="bottom"/>
            <w:vMerge w:val="continue"/>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interest income</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180,973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273,682</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258,490</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226,079</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245,898</w:t>
            </w:r>
          </w:p>
        </w:tc>
        <w:tc>
          <w:tcPr>
            <w:tcW w:w="0" w:type="dxa"/>
            <w:vAlign w:val="bottom"/>
          </w:tcPr>
          <w:p>
            <w:pPr>
              <w:spacing w:after="0"/>
              <w:rPr>
                <w:sz w:val="1"/>
                <w:szCs w:val="1"/>
                <w:color w:val="auto"/>
              </w:rPr>
            </w:pPr>
          </w:p>
        </w:tc>
      </w:tr>
      <w:tr>
        <w:trPr>
          <w:trHeight w:val="230"/>
        </w:trPr>
        <w:tc>
          <w:tcPr>
            <w:tcW w:w="3920" w:type="dxa"/>
            <w:vAlign w:val="bottom"/>
          </w:tcPr>
          <w:p>
            <w:pPr>
              <w:ind w:left="180"/>
              <w:spacing w:after="0"/>
              <w:rPr>
                <w:sz w:val="20"/>
                <w:szCs w:val="20"/>
                <w:color w:val="auto"/>
              </w:rPr>
            </w:pPr>
            <w:r>
              <w:rPr>
                <w:rFonts w:ascii="Arial" w:cs="Arial" w:eastAsia="Arial" w:hAnsi="Arial"/>
                <w:sz w:val="18"/>
                <w:szCs w:val="18"/>
                <w:color w:val="auto"/>
              </w:rPr>
              <w:t>Total interest expense</w:t>
            </w:r>
          </w:p>
        </w:tc>
        <w:tc>
          <w:tcPr>
            <w:tcW w:w="260" w:type="dxa"/>
            <w:vAlign w:val="bottom"/>
          </w:tcPr>
          <w:p>
            <w:pPr>
              <w:spacing w:after="0"/>
              <w:rPr>
                <w:sz w:val="19"/>
                <w:szCs w:val="19"/>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(88,523)</w:t>
            </w:r>
          </w:p>
        </w:tc>
        <w:tc>
          <w:tcPr>
            <w:tcW w:w="160" w:type="dxa"/>
            <w:vAlign w:val="bottom"/>
          </w:tcPr>
          <w:p>
            <w:pPr>
              <w:spacing w:after="0"/>
              <w:rPr>
                <w:sz w:val="19"/>
                <w:szCs w:val="19"/>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(164,167)</w:t>
            </w:r>
          </w:p>
        </w:tc>
        <w:tc>
          <w:tcPr>
            <w:tcW w:w="26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(148,747)</w:t>
            </w:r>
          </w:p>
        </w:tc>
        <w:tc>
          <w:tcPr>
            <w:tcW w:w="260" w:type="dxa"/>
            <w:vAlign w:val="bottom"/>
          </w:tcPr>
          <w:p>
            <w:pPr>
              <w:spacing w:after="0"/>
              <w:rPr>
                <w:sz w:val="19"/>
                <w:szCs w:val="19"/>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(106,264)</w:t>
            </w:r>
          </w:p>
        </w:tc>
        <w:tc>
          <w:tcPr>
            <w:tcW w:w="260" w:type="dxa"/>
            <w:vAlign w:val="bottom"/>
          </w:tcPr>
          <w:p>
            <w:pPr>
              <w:spacing w:after="0"/>
              <w:rPr>
                <w:sz w:val="19"/>
                <w:szCs w:val="19"/>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(90,689)</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92,450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109,515</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109,743</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119,815</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155,209</w:t>
            </w:r>
          </w:p>
        </w:tc>
        <w:tc>
          <w:tcPr>
            <w:tcW w:w="0" w:type="dxa"/>
            <w:vAlign w:val="bottom"/>
          </w:tcPr>
          <w:p>
            <w:pPr>
              <w:spacing w:after="0"/>
              <w:rPr>
                <w:sz w:val="1"/>
                <w:szCs w:val="1"/>
                <w:color w:val="auto"/>
              </w:rPr>
            </w:pPr>
          </w:p>
        </w:tc>
      </w:tr>
      <w:tr>
        <w:trPr>
          <w:trHeight w:val="216"/>
        </w:trPr>
        <w:tc>
          <w:tcPr>
            <w:tcW w:w="39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Fees and commissions, net</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10,418</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15,647</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17,185</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17,514</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14,306</w:t>
            </w: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rPr>
              <w:t>Loss on financial instruments, net</w:t>
            </w:r>
          </w:p>
        </w:tc>
        <w:tc>
          <w:tcPr>
            <w:tcW w:w="26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(4,794)</w:t>
            </w:r>
          </w:p>
        </w:tc>
        <w:tc>
          <w:tcPr>
            <w:tcW w:w="16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(1,379)</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(1,009)</w:t>
            </w:r>
          </w:p>
        </w:tc>
        <w:tc>
          <w:tcPr>
            <w:tcW w:w="26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(739)</w:t>
            </w:r>
          </w:p>
        </w:tc>
        <w:tc>
          <w:tcPr>
            <w:tcW w:w="260" w:type="dxa"/>
            <w:vAlign w:val="bottom"/>
          </w:tcPr>
          <w:p>
            <w:pPr>
              <w:spacing w:after="0"/>
              <w:rPr>
                <w:sz w:val="18"/>
                <w:szCs w:val="18"/>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(2,919)</w:t>
            </w:r>
          </w:p>
        </w:tc>
        <w:tc>
          <w:tcPr>
            <w:tcW w:w="0" w:type="dxa"/>
            <w:vAlign w:val="bottom"/>
          </w:tcPr>
          <w:p>
            <w:pPr>
              <w:spacing w:after="0"/>
              <w:rPr>
                <w:sz w:val="1"/>
                <w:szCs w:val="1"/>
                <w:color w:val="auto"/>
              </w:rPr>
            </w:pPr>
          </w:p>
        </w:tc>
      </w:tr>
      <w:tr>
        <w:trPr>
          <w:trHeight w:val="230"/>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net</w:t>
            </w: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1,083</w:t>
            </w:r>
          </w:p>
        </w:tc>
        <w:tc>
          <w:tcPr>
            <w:tcW w:w="16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2,874</w:t>
            </w: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1,670</w:t>
            </w: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1,723</w:t>
            </w: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1,378</w:t>
            </w:r>
          </w:p>
        </w:tc>
        <w:tc>
          <w:tcPr>
            <w:tcW w:w="0" w:type="dxa"/>
            <w:vAlign w:val="bottom"/>
          </w:tcPr>
          <w:p>
            <w:pPr>
              <w:spacing w:after="0"/>
              <w:rPr>
                <w:sz w:val="1"/>
                <w:szCs w:val="1"/>
                <w:color w:val="auto"/>
              </w:rPr>
            </w:pPr>
          </w:p>
        </w:tc>
      </w:tr>
      <w:tr>
        <w:trPr>
          <w:trHeight w:val="229"/>
        </w:trPr>
        <w:tc>
          <w:tcPr>
            <w:tcW w:w="3920" w:type="dxa"/>
            <w:vAlign w:val="bottom"/>
          </w:tcPr>
          <w:p>
            <w:pPr>
              <w:ind w:left="180"/>
              <w:spacing w:after="0"/>
              <w:rPr>
                <w:sz w:val="20"/>
                <w:szCs w:val="20"/>
                <w:color w:val="auto"/>
              </w:rPr>
            </w:pPr>
            <w:r>
              <w:rPr>
                <w:rFonts w:ascii="Arial" w:cs="Arial" w:eastAsia="Arial" w:hAnsi="Arial"/>
                <w:sz w:val="18"/>
                <w:szCs w:val="18"/>
                <w:color w:val="auto"/>
              </w:rPr>
              <w:t>Total other income, net</w:t>
            </w:r>
          </w:p>
        </w:tc>
        <w:tc>
          <w:tcPr>
            <w:tcW w:w="260" w:type="dxa"/>
            <w:vAlign w:val="bottom"/>
          </w:tcPr>
          <w:p>
            <w:pPr>
              <w:spacing w:after="0"/>
              <w:rPr>
                <w:sz w:val="19"/>
                <w:szCs w:val="19"/>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6,707</w:t>
            </w:r>
          </w:p>
        </w:tc>
        <w:tc>
          <w:tcPr>
            <w:tcW w:w="160" w:type="dxa"/>
            <w:vAlign w:val="bottom"/>
          </w:tcPr>
          <w:p>
            <w:pPr>
              <w:spacing w:after="0"/>
              <w:rPr>
                <w:sz w:val="19"/>
                <w:szCs w:val="19"/>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17,142</w:t>
            </w:r>
          </w:p>
        </w:tc>
        <w:tc>
          <w:tcPr>
            <w:tcW w:w="260" w:type="dxa"/>
            <w:vAlign w:val="bottom"/>
          </w:tcPr>
          <w:p>
            <w:pPr>
              <w:spacing w:after="0"/>
              <w:rPr>
                <w:sz w:val="19"/>
                <w:szCs w:val="19"/>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17,846</w:t>
            </w:r>
          </w:p>
        </w:tc>
        <w:tc>
          <w:tcPr>
            <w:tcW w:w="260" w:type="dxa"/>
            <w:vAlign w:val="bottom"/>
          </w:tcPr>
          <w:p>
            <w:pPr>
              <w:spacing w:after="0"/>
              <w:rPr>
                <w:sz w:val="19"/>
                <w:szCs w:val="19"/>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18,498</w:t>
            </w:r>
          </w:p>
        </w:tc>
        <w:tc>
          <w:tcPr>
            <w:tcW w:w="260" w:type="dxa"/>
            <w:vAlign w:val="bottom"/>
          </w:tcPr>
          <w:p>
            <w:pPr>
              <w:spacing w:after="0"/>
              <w:rPr>
                <w:sz w:val="19"/>
                <w:szCs w:val="19"/>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12,765</w:t>
            </w:r>
          </w:p>
        </w:tc>
        <w:tc>
          <w:tcPr>
            <w:tcW w:w="0" w:type="dxa"/>
            <w:vAlign w:val="bottom"/>
          </w:tcPr>
          <w:p>
            <w:pPr>
              <w:spacing w:after="0"/>
              <w:rPr>
                <w:sz w:val="1"/>
                <w:szCs w:val="1"/>
                <w:color w:val="auto"/>
              </w:rPr>
            </w:pPr>
          </w:p>
        </w:tc>
      </w:tr>
      <w:tr>
        <w:trPr>
          <w:trHeight w:val="209"/>
        </w:trPr>
        <w:tc>
          <w:tcPr>
            <w:tcW w:w="39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revenues</w:t>
            </w: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99,157</w:t>
            </w:r>
          </w:p>
        </w:tc>
        <w:tc>
          <w:tcPr>
            <w:tcW w:w="2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126,657</w:t>
            </w: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127,589</w:t>
            </w:r>
          </w:p>
        </w:tc>
        <w:tc>
          <w:tcPr>
            <w:tcW w:w="2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138,313</w:t>
            </w:r>
          </w:p>
        </w:tc>
        <w:tc>
          <w:tcPr>
            <w:tcW w:w="2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167,974</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rPr>
              <w:t>Reversal (provision) for credit losses</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1,464</w:t>
            </w:r>
          </w:p>
        </w:tc>
        <w:tc>
          <w:tcPr>
            <w:tcW w:w="160" w:type="dxa"/>
            <w:vAlign w:val="bottom"/>
          </w:tcPr>
          <w:p>
            <w:pPr>
              <w:spacing w:after="0"/>
              <w:rPr>
                <w:sz w:val="18"/>
                <w:szCs w:val="18"/>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(430)</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(57,515)</w:t>
            </w:r>
          </w:p>
        </w:tc>
        <w:tc>
          <w:tcPr>
            <w:tcW w:w="260" w:type="dxa"/>
            <w:vAlign w:val="bottom"/>
          </w:tcPr>
          <w:p>
            <w:pPr>
              <w:spacing w:after="0"/>
              <w:rPr>
                <w:sz w:val="18"/>
                <w:szCs w:val="18"/>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(9,439)</w:t>
            </w:r>
          </w:p>
        </w:tc>
        <w:tc>
          <w:tcPr>
            <w:tcW w:w="260" w:type="dxa"/>
            <w:vAlign w:val="bottom"/>
          </w:tcPr>
          <w:p>
            <w:pPr>
              <w:spacing w:after="0"/>
              <w:rPr>
                <w:sz w:val="18"/>
                <w:szCs w:val="18"/>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(35,115)</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(loss) on non-financial assets, net</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296</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500</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(10,018)</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9"/>
        </w:trPr>
        <w:tc>
          <w:tcPr>
            <w:tcW w:w="3920" w:type="dxa"/>
            <w:vAlign w:val="bottom"/>
          </w:tcPr>
          <w:p>
            <w:pPr>
              <w:ind w:left="180"/>
              <w:spacing w:after="0"/>
              <w:rPr>
                <w:sz w:val="20"/>
                <w:szCs w:val="20"/>
                <w:color w:val="auto"/>
              </w:rPr>
            </w:pPr>
            <w:r>
              <w:rPr>
                <w:rFonts w:ascii="Arial" w:cs="Arial" w:eastAsia="Arial" w:hAnsi="Arial"/>
                <w:sz w:val="18"/>
                <w:szCs w:val="18"/>
                <w:color w:val="auto"/>
              </w:rPr>
              <w:t>Total operating expenses</w:t>
            </w:r>
          </w:p>
        </w:tc>
        <w:tc>
          <w:tcPr>
            <w:tcW w:w="260" w:type="dxa"/>
            <w:vAlign w:val="bottom"/>
          </w:tcPr>
          <w:p>
            <w:pPr>
              <w:spacing w:after="0"/>
              <w:rPr>
                <w:sz w:val="19"/>
                <w:szCs w:val="19"/>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(37,324)</w:t>
            </w:r>
          </w:p>
        </w:tc>
        <w:tc>
          <w:tcPr>
            <w:tcW w:w="160" w:type="dxa"/>
            <w:vAlign w:val="bottom"/>
          </w:tcPr>
          <w:p>
            <w:pPr>
              <w:spacing w:after="0"/>
              <w:rPr>
                <w:sz w:val="19"/>
                <w:szCs w:val="19"/>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8"/>
                <w:szCs w:val="18"/>
                <w:color w:val="auto"/>
              </w:rPr>
              <w:t>(40,674)</w:t>
            </w:r>
          </w:p>
        </w:tc>
        <w:tc>
          <w:tcPr>
            <w:tcW w:w="26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(48,918)</w:t>
            </w:r>
          </w:p>
        </w:tc>
        <w:tc>
          <w:tcPr>
            <w:tcW w:w="260" w:type="dxa"/>
            <w:vAlign w:val="bottom"/>
          </w:tcPr>
          <w:p>
            <w:pPr>
              <w:spacing w:after="0"/>
              <w:rPr>
                <w:sz w:val="19"/>
                <w:szCs w:val="19"/>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(46,875)</w:t>
            </w:r>
          </w:p>
        </w:tc>
        <w:tc>
          <w:tcPr>
            <w:tcW w:w="260" w:type="dxa"/>
            <w:vAlign w:val="bottom"/>
          </w:tcPr>
          <w:p>
            <w:pPr>
              <w:spacing w:after="0"/>
              <w:rPr>
                <w:sz w:val="19"/>
                <w:szCs w:val="19"/>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(45,814)</w:t>
            </w:r>
          </w:p>
        </w:tc>
        <w:tc>
          <w:tcPr>
            <w:tcW w:w="0" w:type="dxa"/>
            <w:vAlign w:val="bottom"/>
          </w:tcPr>
          <w:p>
            <w:pPr>
              <w:spacing w:after="0"/>
              <w:rPr>
                <w:sz w:val="1"/>
                <w:szCs w:val="1"/>
                <w:color w:val="auto"/>
              </w:rPr>
            </w:pPr>
          </w:p>
        </w:tc>
      </w:tr>
      <w:tr>
        <w:trPr>
          <w:trHeight w:val="243"/>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year</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63,593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86,053</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11,138</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81,999</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87,045</w:t>
            </w:r>
          </w:p>
        </w:tc>
        <w:tc>
          <w:tcPr>
            <w:tcW w:w="0" w:type="dxa"/>
            <w:vAlign w:val="bottom"/>
          </w:tcPr>
          <w:p>
            <w:pPr>
              <w:spacing w:after="0"/>
              <w:rPr>
                <w:sz w:val="1"/>
                <w:szCs w:val="1"/>
                <w:color w:val="auto"/>
              </w:rPr>
            </w:pPr>
          </w:p>
        </w:tc>
      </w:tr>
      <w:tr>
        <w:trPr>
          <w:trHeight w:val="20"/>
        </w:trPr>
        <w:tc>
          <w:tcPr>
            <w:tcW w:w="39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Weighted average basic shares</w:t>
            </w: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bottom w:val="single" w:sz="8" w:color="CCEEFF"/>
            </w:tcBorders>
            <w:vMerge w:val="restart"/>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92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jc w:val="right"/>
              <w:spacing w:after="0" w:line="196" w:lineRule="exact"/>
              <w:rPr>
                <w:sz w:val="20"/>
                <w:szCs w:val="20"/>
                <w:color w:val="auto"/>
              </w:rPr>
            </w:pPr>
            <w:r>
              <w:rPr>
                <w:rFonts w:ascii="Arial" w:cs="Arial" w:eastAsia="Arial" w:hAnsi="Arial"/>
                <w:sz w:val="18"/>
                <w:szCs w:val="18"/>
                <w:color w:val="auto"/>
              </w:rPr>
              <w:t>39,656</w:t>
            </w:r>
          </w:p>
        </w:tc>
        <w:tc>
          <w:tcPr>
            <w:tcW w:w="260" w:type="dxa"/>
            <w:vAlign w:val="bottom"/>
            <w:vMerge w:val="continue"/>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jc w:val="right"/>
              <w:spacing w:after="0" w:line="196" w:lineRule="exact"/>
              <w:rPr>
                <w:sz w:val="20"/>
                <w:szCs w:val="20"/>
                <w:color w:val="auto"/>
              </w:rPr>
            </w:pPr>
            <w:r>
              <w:rPr>
                <w:rFonts w:ascii="Arial" w:cs="Arial" w:eastAsia="Arial" w:hAnsi="Arial"/>
                <w:sz w:val="18"/>
                <w:szCs w:val="18"/>
                <w:color w:val="auto"/>
              </w:rPr>
              <w:t>39,575</w:t>
            </w:r>
          </w:p>
        </w:tc>
        <w:tc>
          <w:tcPr>
            <w:tcW w:w="28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jc w:val="right"/>
              <w:spacing w:after="0" w:line="196" w:lineRule="exact"/>
              <w:rPr>
                <w:sz w:val="20"/>
                <w:szCs w:val="20"/>
                <w:color w:val="auto"/>
              </w:rPr>
            </w:pPr>
            <w:r>
              <w:rPr>
                <w:rFonts w:ascii="Arial" w:cs="Arial" w:eastAsia="Arial" w:hAnsi="Arial"/>
                <w:sz w:val="18"/>
                <w:szCs w:val="18"/>
                <w:color w:val="auto"/>
              </w:rPr>
              <w:t>39,543</w:t>
            </w:r>
          </w:p>
        </w:tc>
        <w:tc>
          <w:tcPr>
            <w:tcW w:w="28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jc w:val="right"/>
              <w:spacing w:after="0" w:line="196" w:lineRule="exact"/>
              <w:rPr>
                <w:sz w:val="20"/>
                <w:szCs w:val="20"/>
                <w:color w:val="auto"/>
              </w:rPr>
            </w:pPr>
            <w:r>
              <w:rPr>
                <w:rFonts w:ascii="Arial" w:cs="Arial" w:eastAsia="Arial" w:hAnsi="Arial"/>
                <w:sz w:val="18"/>
                <w:szCs w:val="18"/>
                <w:color w:val="auto"/>
              </w:rPr>
              <w:t>39,311</w:t>
            </w:r>
          </w:p>
        </w:tc>
        <w:tc>
          <w:tcPr>
            <w:tcW w:w="26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jc w:val="right"/>
              <w:spacing w:after="0" w:line="196" w:lineRule="exact"/>
              <w:rPr>
                <w:sz w:val="20"/>
                <w:szCs w:val="20"/>
                <w:color w:val="auto"/>
              </w:rPr>
            </w:pPr>
            <w:r>
              <w:rPr>
                <w:rFonts w:ascii="Arial" w:cs="Arial" w:eastAsia="Arial" w:hAnsi="Arial"/>
                <w:sz w:val="18"/>
                <w:szCs w:val="18"/>
                <w:color w:val="auto"/>
              </w:rPr>
              <w:t>39,085</w:t>
            </w:r>
          </w:p>
        </w:tc>
        <w:tc>
          <w:tcPr>
            <w:tcW w:w="1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Weighted average diluted shares</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39,656</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39,575</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39,543</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39,329</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39,210</w:t>
            </w:r>
          </w:p>
        </w:tc>
        <w:tc>
          <w:tcPr>
            <w:tcW w:w="0" w:type="dxa"/>
            <w:vAlign w:val="bottom"/>
          </w:tcPr>
          <w:p>
            <w:pPr>
              <w:spacing w:after="0"/>
              <w:rPr>
                <w:sz w:val="1"/>
                <w:szCs w:val="1"/>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b w:val="1"/>
                <w:bCs w:val="1"/>
                <w:color w:val="auto"/>
              </w:rPr>
              <w:t>Basic shares period end</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39,678</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39,602</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39,539</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39,429</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39,160</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Per Common Share Data:</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rPr>
              <w:t>Basic earnings per share</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1.60</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2.17</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0.28</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2.09</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2.23</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Diluted earnings per share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1.60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2.17</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0.28</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2.08</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2.22</w:t>
            </w:r>
          </w:p>
        </w:tc>
        <w:tc>
          <w:tcPr>
            <w:tcW w:w="0" w:type="dxa"/>
            <w:vAlign w:val="bottom"/>
          </w:tcPr>
          <w:p>
            <w:pPr>
              <w:spacing w:after="0"/>
              <w:rPr>
                <w:sz w:val="1"/>
                <w:szCs w:val="1"/>
                <w:color w:val="auto"/>
              </w:rPr>
            </w:pPr>
          </w:p>
        </w:tc>
      </w:tr>
      <w:tr>
        <w:trPr>
          <w:trHeight w:val="257"/>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Book value per share (period end) </w:t>
            </w:r>
            <w:r>
              <w:rPr>
                <w:rFonts w:ascii="Arial" w:cs="Arial" w:eastAsia="Arial" w:hAnsi="Arial"/>
                <w:sz w:val="29"/>
                <w:szCs w:val="29"/>
                <w:color w:val="auto"/>
                <w:vertAlign w:val="superscript"/>
              </w:rPr>
              <w:t>(1)</w:t>
            </w:r>
          </w:p>
        </w:tc>
        <w:tc>
          <w:tcPr>
            <w:tcW w:w="260" w:type="dxa"/>
            <w:vAlign w:val="bottom"/>
          </w:tcPr>
          <w:p>
            <w:pPr>
              <w:spacing w:after="0"/>
              <w:rPr>
                <w:sz w:val="22"/>
                <w:szCs w:val="22"/>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26.16</w:t>
            </w:r>
          </w:p>
        </w:tc>
        <w:tc>
          <w:tcPr>
            <w:tcW w:w="160" w:type="dxa"/>
            <w:vAlign w:val="bottom"/>
          </w:tcPr>
          <w:p>
            <w:pPr>
              <w:spacing w:after="0"/>
              <w:rPr>
                <w:sz w:val="22"/>
                <w:szCs w:val="22"/>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25.66</w:t>
            </w:r>
          </w:p>
        </w:tc>
        <w:tc>
          <w:tcPr>
            <w:tcW w:w="260" w:type="dxa"/>
            <w:vAlign w:val="bottom"/>
          </w:tcPr>
          <w:p>
            <w:pPr>
              <w:spacing w:after="0"/>
              <w:rPr>
                <w:sz w:val="22"/>
                <w:szCs w:val="22"/>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25.13</w:t>
            </w:r>
          </w:p>
        </w:tc>
        <w:tc>
          <w:tcPr>
            <w:tcW w:w="260" w:type="dxa"/>
            <w:vAlign w:val="bottom"/>
          </w:tcPr>
          <w:p>
            <w:pPr>
              <w:spacing w:after="0"/>
              <w:rPr>
                <w:sz w:val="22"/>
                <w:szCs w:val="22"/>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26.45</w:t>
            </w:r>
          </w:p>
        </w:tc>
        <w:tc>
          <w:tcPr>
            <w:tcW w:w="260" w:type="dxa"/>
            <w:vAlign w:val="bottom"/>
          </w:tcPr>
          <w:p>
            <w:pPr>
              <w:spacing w:after="0"/>
              <w:rPr>
                <w:sz w:val="22"/>
                <w:szCs w:val="22"/>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25.83</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Regular cash dividends declared per share</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1.54</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1.54</w:t>
            </w: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rPr>
              <w:t>Regular cash dividends paid per share</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1.135</w:t>
            </w:r>
          </w:p>
        </w:tc>
        <w:tc>
          <w:tcPr>
            <w:tcW w:w="160" w:type="dxa"/>
            <w:vAlign w:val="bottom"/>
          </w:tcPr>
          <w:p>
            <w:pPr>
              <w:spacing w:after="0"/>
              <w:rPr>
                <w:sz w:val="18"/>
                <w:szCs w:val="18"/>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220" w:type="dxa"/>
            <w:vAlign w:val="bottom"/>
            <w:gridSpan w:val="2"/>
          </w:tcPr>
          <w:p>
            <w:pPr>
              <w:jc w:val="right"/>
              <w:ind w:right="28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color w:val="auto"/>
              </w:rPr>
              <w:t>1.54</w:t>
            </w:r>
          </w:p>
        </w:tc>
        <w:tc>
          <w:tcPr>
            <w:tcW w:w="26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1.54</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Selected Financial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i w:val="1"/>
                <w:iCs w:val="1"/>
                <w:color w:val="auto"/>
              </w:rPr>
              <w:t>Performance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(2)</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0.96%</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1.36%</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0.17%</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1.27%</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57"/>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Return on average total equity </w:t>
            </w:r>
            <w:r>
              <w:rPr>
                <w:rFonts w:ascii="Arial" w:cs="Arial" w:eastAsia="Arial" w:hAnsi="Arial"/>
                <w:sz w:val="29"/>
                <w:szCs w:val="29"/>
                <w:color w:val="auto"/>
                <w:vertAlign w:val="superscript"/>
              </w:rPr>
              <w:t>(3)</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6.19%</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8.56%</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1.08%</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8.02%</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8.76%</w:t>
            </w: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Net interest margin </w:t>
            </w:r>
            <w:r>
              <w:rPr>
                <w:rFonts w:ascii="Arial" w:cs="Arial" w:eastAsia="Arial" w:hAnsi="Arial"/>
                <w:sz w:val="29"/>
                <w:szCs w:val="29"/>
                <w:color w:val="auto"/>
                <w:vertAlign w:val="superscript"/>
              </w:rPr>
              <w:t>(4)</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1.41%</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1.85%</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2.08%</w:t>
            </w:r>
          </w:p>
        </w:tc>
        <w:tc>
          <w:tcPr>
            <w:tcW w:w="0" w:type="dxa"/>
            <w:vAlign w:val="bottom"/>
          </w:tcPr>
          <w:p>
            <w:pPr>
              <w:spacing w:after="0"/>
              <w:rPr>
                <w:sz w:val="1"/>
                <w:szCs w:val="1"/>
                <w:color w:val="auto"/>
              </w:rPr>
            </w:pPr>
          </w:p>
        </w:tc>
      </w:tr>
      <w:tr>
        <w:trPr>
          <w:trHeight w:val="257"/>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Net interest spread </w:t>
            </w:r>
            <w:r>
              <w:rPr>
                <w:rFonts w:ascii="Arial" w:cs="Arial" w:eastAsia="Arial" w:hAnsi="Arial"/>
                <w:sz w:val="29"/>
                <w:szCs w:val="29"/>
                <w:color w:val="auto"/>
                <w:vertAlign w:val="superscript"/>
              </w:rPr>
              <w:t>(4)</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1.13%</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1.21%</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1.48%</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1.84%</w:t>
            </w:r>
          </w:p>
        </w:tc>
        <w:tc>
          <w:tcPr>
            <w:tcW w:w="0" w:type="dxa"/>
            <w:vAlign w:val="bottom"/>
          </w:tcPr>
          <w:p>
            <w:pPr>
              <w:spacing w:after="0"/>
              <w:rPr>
                <w:sz w:val="1"/>
                <w:szCs w:val="1"/>
                <w:color w:val="auto"/>
              </w:rPr>
            </w:pPr>
          </w:p>
        </w:tc>
      </w:tr>
      <w:tr>
        <w:trPr>
          <w:trHeight w:val="257"/>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37.6%</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32.1%</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33.9%</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27.3%</w:t>
            </w: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w w:val="95"/>
              </w:rPr>
              <w:t>Total operating expenses to average total assets</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0.56%</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0.64%</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0.76%</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0.72%</w:t>
            </w:r>
          </w:p>
        </w:tc>
        <w:tc>
          <w:tcPr>
            <w:tcW w:w="26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0.61%</w:t>
            </w: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Regular cash dividend payout ratio </w:t>
            </w:r>
            <w:r>
              <w:rPr>
                <w:rFonts w:ascii="Arial" w:cs="Arial" w:eastAsia="Arial" w:hAnsi="Arial"/>
                <w:sz w:val="29"/>
                <w:szCs w:val="29"/>
                <w:color w:val="auto"/>
                <w:vertAlign w:val="superscript"/>
              </w:rPr>
              <w:t>(6)</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70.8%</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70.8%</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546.7%</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73.8%</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69.1%</w:t>
            </w:r>
          </w:p>
        </w:tc>
        <w:tc>
          <w:tcPr>
            <w:tcW w:w="0" w:type="dxa"/>
            <w:vAlign w:val="bottom"/>
          </w:tcPr>
          <w:p>
            <w:pPr>
              <w:spacing w:after="0"/>
              <w:rPr>
                <w:sz w:val="1"/>
                <w:szCs w:val="1"/>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i w:val="1"/>
                <w:iCs w:val="1"/>
                <w:color w:val="auto"/>
              </w:rPr>
              <w:t>Liquidity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assets</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16.67%</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16.00%</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22.42%</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9.87%</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14.03%</w:t>
            </w:r>
          </w:p>
        </w:tc>
        <w:tc>
          <w:tcPr>
            <w:tcW w:w="0" w:type="dxa"/>
            <w:vAlign w:val="bottom"/>
          </w:tcPr>
          <w:p>
            <w:pPr>
              <w:spacing w:after="0"/>
              <w:rPr>
                <w:sz w:val="1"/>
                <w:szCs w:val="1"/>
                <w:color w:val="auto"/>
              </w:rPr>
            </w:pPr>
          </w:p>
        </w:tc>
      </w:tr>
      <w:tr>
        <w:trPr>
          <w:trHeight w:val="257"/>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Liquid assets </w:t>
            </w:r>
            <w:r>
              <w:rPr>
                <w:rFonts w:ascii="Arial" w:cs="Arial" w:eastAsia="Arial" w:hAnsi="Arial"/>
                <w:sz w:val="29"/>
                <w:szCs w:val="29"/>
                <w:color w:val="auto"/>
                <w:vertAlign w:val="superscript"/>
              </w:rPr>
              <w:t>(7)</w:t>
            </w:r>
            <w:r>
              <w:rPr>
                <w:rFonts w:ascii="Arial" w:cs="Arial" w:eastAsia="Arial" w:hAnsi="Arial"/>
                <w:sz w:val="18"/>
                <w:szCs w:val="18"/>
                <w:color w:val="auto"/>
              </w:rPr>
              <w:t xml:space="preserve"> / total deposits</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33.40%</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40.15%</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57.43%</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21.13%</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35.95%</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Asset Quality Ratios: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Credit-impaired loans </w:t>
            </w:r>
            <w:r>
              <w:rPr>
                <w:rFonts w:ascii="Arial" w:cs="Arial" w:eastAsia="Arial" w:hAnsi="Arial"/>
                <w:sz w:val="29"/>
                <w:szCs w:val="29"/>
                <w:color w:val="auto"/>
                <w:vertAlign w:val="superscript"/>
              </w:rPr>
              <w:t>(8)</w:t>
            </w:r>
            <w:r>
              <w:rPr>
                <w:rFonts w:ascii="Arial" w:cs="Arial" w:eastAsia="Arial" w:hAnsi="Arial"/>
                <w:sz w:val="18"/>
                <w:szCs w:val="18"/>
                <w:color w:val="auto"/>
              </w:rPr>
              <w:t xml:space="preserve"> to Loan Portfolio </w:t>
            </w:r>
            <w:r>
              <w:rPr>
                <w:rFonts w:ascii="Arial" w:cs="Arial" w:eastAsia="Arial" w:hAnsi="Arial"/>
                <w:sz w:val="29"/>
                <w:szCs w:val="29"/>
                <w:color w:val="auto"/>
                <w:vertAlign w:val="superscript"/>
              </w:rPr>
              <w:t>(9)</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0.22%</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1.05%</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1.12%</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1.07%</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1.09%</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Charged-off loans to Loan Portfolio</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1.15%</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0.04%</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0.72%</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0.60%</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0.31%</w:t>
            </w:r>
          </w:p>
        </w:tc>
        <w:tc>
          <w:tcPr>
            <w:tcW w:w="0" w:type="dxa"/>
            <w:vAlign w:val="bottom"/>
          </w:tcPr>
          <w:p>
            <w:pPr>
              <w:spacing w:after="0"/>
              <w:rPr>
                <w:sz w:val="1"/>
                <w:szCs w:val="1"/>
                <w:color w:val="auto"/>
              </w:rPr>
            </w:pPr>
          </w:p>
        </w:tc>
      </w:tr>
      <w:tr>
        <w:trPr>
          <w:trHeight w:val="216"/>
        </w:trPr>
        <w:tc>
          <w:tcPr>
            <w:tcW w:w="3920" w:type="dxa"/>
            <w:vAlign w:val="bottom"/>
          </w:tcPr>
          <w:p>
            <w:pPr>
              <w:ind w:left="180"/>
              <w:spacing w:after="0"/>
              <w:rPr>
                <w:sz w:val="20"/>
                <w:szCs w:val="20"/>
                <w:color w:val="auto"/>
              </w:rPr>
            </w:pPr>
            <w:r>
              <w:rPr>
                <w:rFonts w:ascii="Arial" w:cs="Arial" w:eastAsia="Arial" w:hAnsi="Arial"/>
                <w:sz w:val="18"/>
                <w:szCs w:val="18"/>
                <w:color w:val="auto"/>
              </w:rPr>
              <w:t>Allowance for loan losses to Loan Portfolio</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0.84%</w:t>
            </w:r>
          </w:p>
        </w:tc>
        <w:tc>
          <w:tcPr>
            <w:tcW w:w="160" w:type="dxa"/>
            <w:vAlign w:val="bottom"/>
          </w:tcPr>
          <w:p>
            <w:pPr>
              <w:spacing w:after="0"/>
              <w:rPr>
                <w:sz w:val="18"/>
                <w:szCs w:val="18"/>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1.69%</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1.74%</w:t>
            </w:r>
          </w:p>
        </w:tc>
        <w:tc>
          <w:tcPr>
            <w:tcW w:w="260" w:type="dxa"/>
            <w:vAlign w:val="bottom"/>
          </w:tcPr>
          <w:p>
            <w:pPr>
              <w:spacing w:after="0"/>
              <w:rPr>
                <w:sz w:val="18"/>
                <w:szCs w:val="18"/>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1.48%</w:t>
            </w:r>
          </w:p>
        </w:tc>
        <w:tc>
          <w:tcPr>
            <w:tcW w:w="260" w:type="dxa"/>
            <w:vAlign w:val="bottom"/>
          </w:tcPr>
          <w:p>
            <w:pPr>
              <w:spacing w:after="0"/>
              <w:rPr>
                <w:sz w:val="18"/>
                <w:szCs w:val="18"/>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02"/>
        </w:trPr>
        <w:tc>
          <w:tcPr>
            <w:tcW w:w="392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Allowance for loan commitments and financial</w:t>
            </w: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guarantee contracts losses to total loan</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w w:val="94"/>
              </w:rPr>
              <w:t>commitments and financial guarantee contracts</w:t>
            </w: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9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plus customers’ liabilities under acceptances</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0.45%</w:t>
            </w:r>
          </w:p>
        </w:tc>
        <w:tc>
          <w:tcPr>
            <w:tcW w:w="160" w:type="dxa"/>
            <w:vAlign w:val="bottom"/>
            <w:shd w:val="clear" w:color="auto" w:fill="CCEEFF"/>
          </w:tcPr>
          <w:p>
            <w:pPr>
              <w:spacing w:after="0"/>
              <w:rPr>
                <w:sz w:val="20"/>
                <w:szCs w:val="20"/>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0.50%</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0.64%</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1.39%</w:t>
            </w:r>
          </w:p>
        </w:tc>
        <w:tc>
          <w:tcPr>
            <w:tcW w:w="26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16"/>
        </w:trPr>
        <w:tc>
          <w:tcPr>
            <w:tcW w:w="3920" w:type="dxa"/>
            <w:vAlign w:val="bottom"/>
          </w:tcPr>
          <w:p>
            <w:pPr>
              <w:spacing w:after="0"/>
              <w:rPr>
                <w:sz w:val="20"/>
                <w:szCs w:val="20"/>
                <w:color w:val="auto"/>
              </w:rPr>
            </w:pPr>
            <w:r>
              <w:rPr>
                <w:rFonts w:ascii="Arial" w:cs="Arial" w:eastAsia="Arial" w:hAnsi="Arial"/>
                <w:sz w:val="18"/>
                <w:szCs w:val="18"/>
                <w:i w:val="1"/>
                <w:iCs w:val="1"/>
                <w:color w:val="auto"/>
              </w:rPr>
              <w:t>Capital Ratios:</w:t>
            </w: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equity to total assets</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16.50%</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14.02%</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13.06%</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16.64%</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14.08%</w:t>
            </w:r>
          </w:p>
        </w:tc>
        <w:tc>
          <w:tcPr>
            <w:tcW w:w="0" w:type="dxa"/>
            <w:vAlign w:val="bottom"/>
          </w:tcPr>
          <w:p>
            <w:pPr>
              <w:spacing w:after="0"/>
              <w:rPr>
                <w:sz w:val="1"/>
                <w:szCs w:val="1"/>
                <w:color w:val="auto"/>
              </w:rPr>
            </w:pPr>
          </w:p>
        </w:tc>
      </w:tr>
      <w:tr>
        <w:trPr>
          <w:trHeight w:val="256"/>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w w:val="96"/>
              </w:rPr>
              <w:t xml:space="preserve">Average total equity to average total assets </w:t>
            </w:r>
            <w:r>
              <w:rPr>
                <w:rFonts w:ascii="Arial" w:cs="Arial" w:eastAsia="Arial" w:hAnsi="Arial"/>
                <w:sz w:val="29"/>
                <w:szCs w:val="29"/>
                <w:color w:val="auto"/>
                <w:w w:val="96"/>
                <w:vertAlign w:val="superscript"/>
              </w:rPr>
              <w:t>(10)</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15.54%</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15.84%</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15.98%</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15.80%</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13.28%</w:t>
            </w:r>
          </w:p>
        </w:tc>
        <w:tc>
          <w:tcPr>
            <w:tcW w:w="0" w:type="dxa"/>
            <w:vAlign w:val="bottom"/>
          </w:tcPr>
          <w:p>
            <w:pPr>
              <w:spacing w:after="0"/>
              <w:rPr>
                <w:sz w:val="1"/>
                <w:szCs w:val="1"/>
                <w:color w:val="auto"/>
              </w:rPr>
            </w:pPr>
          </w:p>
        </w:tc>
      </w:tr>
      <w:tr>
        <w:trPr>
          <w:trHeight w:val="216"/>
        </w:trPr>
        <w:tc>
          <w:tcPr>
            <w:tcW w:w="39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Total assets to total equity</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6.1x</w:t>
            </w:r>
          </w:p>
        </w:tc>
        <w:tc>
          <w:tcPr>
            <w:tcW w:w="16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7.1x</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7.7x</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6.0x</w:t>
            </w:r>
          </w:p>
        </w:tc>
        <w:tc>
          <w:tcPr>
            <w:tcW w:w="2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7.1x</w:t>
            </w:r>
          </w:p>
        </w:tc>
        <w:tc>
          <w:tcPr>
            <w:tcW w:w="0" w:type="dxa"/>
            <w:vAlign w:val="bottom"/>
          </w:tcPr>
          <w:p>
            <w:pPr>
              <w:spacing w:after="0"/>
              <w:rPr>
                <w:sz w:val="1"/>
                <w:szCs w:val="1"/>
                <w:color w:val="auto"/>
              </w:rPr>
            </w:pPr>
          </w:p>
        </w:tc>
      </w:tr>
      <w:tr>
        <w:trPr>
          <w:trHeight w:val="205"/>
        </w:trPr>
        <w:tc>
          <w:tcPr>
            <w:tcW w:w="3920" w:type="dxa"/>
            <w:vAlign w:val="bottom"/>
          </w:tcPr>
          <w:p>
            <w:pPr>
              <w:ind w:left="180"/>
              <w:spacing w:after="0" w:line="206" w:lineRule="exact"/>
              <w:rPr>
                <w:sz w:val="20"/>
                <w:szCs w:val="20"/>
                <w:color w:val="auto"/>
              </w:rPr>
            </w:pPr>
            <w:r>
              <w:rPr>
                <w:rFonts w:ascii="Arial" w:cs="Arial" w:eastAsia="Arial" w:hAnsi="Arial"/>
                <w:sz w:val="18"/>
                <w:szCs w:val="18"/>
                <w:color w:val="auto"/>
                <w:w w:val="97"/>
              </w:rPr>
              <w:t>Tier 1 capital to risk-weighted assets (Basel III –</w:t>
            </w: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67"/>
        </w:trPr>
        <w:tc>
          <w:tcPr>
            <w:tcW w:w="3920" w:type="dxa"/>
            <w:vAlign w:val="bottom"/>
          </w:tcPr>
          <w:p>
            <w:pPr>
              <w:ind w:left="180"/>
              <w:spacing w:after="0" w:line="267" w:lineRule="exact"/>
              <w:rPr>
                <w:sz w:val="20"/>
                <w:szCs w:val="20"/>
                <w:color w:val="auto"/>
              </w:rPr>
            </w:pPr>
            <w:r>
              <w:rPr>
                <w:rFonts w:ascii="Arial" w:cs="Arial" w:eastAsia="Arial" w:hAnsi="Arial"/>
                <w:sz w:val="18"/>
                <w:szCs w:val="18"/>
                <w:color w:val="auto"/>
              </w:rPr>
              <w:t xml:space="preserve">IRB) </w:t>
            </w:r>
            <w:r>
              <w:rPr>
                <w:rFonts w:ascii="Arial" w:cs="Arial" w:eastAsia="Arial" w:hAnsi="Arial"/>
                <w:sz w:val="29"/>
                <w:szCs w:val="29"/>
                <w:color w:val="auto"/>
                <w:vertAlign w:val="superscript"/>
              </w:rPr>
              <w:t>(11)</w:t>
            </w:r>
          </w:p>
        </w:tc>
        <w:tc>
          <w:tcPr>
            <w:tcW w:w="260" w:type="dxa"/>
            <w:vAlign w:val="bottom"/>
          </w:tcPr>
          <w:p>
            <w:pPr>
              <w:spacing w:after="0"/>
              <w:rPr>
                <w:sz w:val="23"/>
                <w:szCs w:val="2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26.0%</w:t>
            </w:r>
          </w:p>
        </w:tc>
        <w:tc>
          <w:tcPr>
            <w:tcW w:w="160" w:type="dxa"/>
            <w:vAlign w:val="bottom"/>
          </w:tcPr>
          <w:p>
            <w:pPr>
              <w:spacing w:after="0"/>
              <w:rPr>
                <w:sz w:val="23"/>
                <w:szCs w:val="23"/>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19.8%</w:t>
            </w:r>
          </w:p>
        </w:tc>
        <w:tc>
          <w:tcPr>
            <w:tcW w:w="260" w:type="dxa"/>
            <w:vAlign w:val="bottom"/>
          </w:tcPr>
          <w:p>
            <w:pPr>
              <w:spacing w:after="0"/>
              <w:rPr>
                <w:sz w:val="23"/>
                <w:szCs w:val="2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18.1%</w:t>
            </w:r>
          </w:p>
        </w:tc>
        <w:tc>
          <w:tcPr>
            <w:tcW w:w="260" w:type="dxa"/>
            <w:vAlign w:val="bottom"/>
          </w:tcPr>
          <w:p>
            <w:pPr>
              <w:spacing w:after="0"/>
              <w:rPr>
                <w:sz w:val="23"/>
                <w:szCs w:val="2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21.1%</w:t>
            </w:r>
          </w:p>
        </w:tc>
        <w:tc>
          <w:tcPr>
            <w:tcW w:w="260" w:type="dxa"/>
            <w:vAlign w:val="bottom"/>
          </w:tcPr>
          <w:p>
            <w:pPr>
              <w:spacing w:after="0"/>
              <w:rPr>
                <w:sz w:val="23"/>
                <w:szCs w:val="23"/>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17.9%</w:t>
            </w: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Risk-weighted assets (Basel III – IRB) </w:t>
            </w:r>
            <w:r>
              <w:rPr>
                <w:rFonts w:ascii="Arial" w:cs="Arial" w:eastAsia="Arial" w:hAnsi="Arial"/>
                <w:sz w:val="29"/>
                <w:szCs w:val="29"/>
                <w:color w:val="auto"/>
                <w:vertAlign w:val="superscript"/>
              </w:rPr>
              <w:t>(11)</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3,995,175</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3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5,137,523</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5,494,080</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22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4,931,046</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5,662,453</w:t>
            </w:r>
          </w:p>
        </w:tc>
        <w:tc>
          <w:tcPr>
            <w:tcW w:w="0" w:type="dxa"/>
            <w:vAlign w:val="bottom"/>
          </w:tcPr>
          <w:p>
            <w:pPr>
              <w:spacing w:after="0"/>
              <w:rPr>
                <w:sz w:val="1"/>
                <w:szCs w:val="1"/>
                <w:color w:val="auto"/>
              </w:rPr>
            </w:pPr>
          </w:p>
        </w:tc>
      </w:tr>
      <w:tr>
        <w:trPr>
          <w:trHeight w:val="256"/>
        </w:trPr>
        <w:tc>
          <w:tcPr>
            <w:tcW w:w="3920" w:type="dxa"/>
            <w:vAlign w:val="bottom"/>
          </w:tcPr>
          <w:p>
            <w:pPr>
              <w:ind w:left="180"/>
              <w:spacing w:after="0" w:line="256"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(12)</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20.21%</w:t>
            </w:r>
          </w:p>
        </w:tc>
        <w:tc>
          <w:tcPr>
            <w:tcW w:w="160" w:type="dxa"/>
            <w:vAlign w:val="bottom"/>
          </w:tcPr>
          <w:p>
            <w:pPr>
              <w:spacing w:after="0"/>
              <w:rPr>
                <w:sz w:val="22"/>
                <w:szCs w:val="22"/>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17.28%</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17.08%</w:t>
            </w:r>
          </w:p>
        </w:tc>
        <w:tc>
          <w:tcPr>
            <w:tcW w:w="260" w:type="dxa"/>
            <w:vAlign w:val="bottom"/>
          </w:tcPr>
          <w:p>
            <w:pPr>
              <w:spacing w:after="0"/>
              <w:rPr>
                <w:sz w:val="22"/>
                <w:szCs w:val="22"/>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18.71%</w:t>
            </w:r>
          </w:p>
        </w:tc>
        <w:tc>
          <w:tcPr>
            <w:tcW w:w="260" w:type="dxa"/>
            <w:vAlign w:val="bottom"/>
          </w:tcPr>
          <w:p>
            <w:pPr>
              <w:spacing w:after="0"/>
              <w:rPr>
                <w:sz w:val="22"/>
                <w:szCs w:val="22"/>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16.61%</w:t>
            </w:r>
          </w:p>
        </w:tc>
        <w:tc>
          <w:tcPr>
            <w:tcW w:w="0" w:type="dxa"/>
            <w:vAlign w:val="bottom"/>
          </w:tcPr>
          <w:p>
            <w:pPr>
              <w:spacing w:after="0"/>
              <w:rPr>
                <w:sz w:val="1"/>
                <w:szCs w:val="1"/>
                <w:color w:val="auto"/>
              </w:rPr>
            </w:pPr>
          </w:p>
        </w:tc>
      </w:tr>
      <w:tr>
        <w:trPr>
          <w:trHeight w:val="256"/>
        </w:trPr>
        <w:tc>
          <w:tcPr>
            <w:tcW w:w="3920" w:type="dxa"/>
            <w:vAlign w:val="bottom"/>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Leverage Ratio (Regulatory) </w:t>
            </w:r>
            <w:r>
              <w:rPr>
                <w:rFonts w:ascii="Arial" w:cs="Arial" w:eastAsia="Arial" w:hAnsi="Arial"/>
                <w:sz w:val="29"/>
                <w:szCs w:val="29"/>
                <w:color w:val="auto"/>
                <w:vertAlign w:val="superscript"/>
              </w:rPr>
              <w:t>(13)</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14.08%</w:t>
            </w:r>
          </w:p>
        </w:tc>
        <w:tc>
          <w:tcPr>
            <w:tcW w:w="160" w:type="dxa"/>
            <w:vAlign w:val="bottom"/>
            <w:shd w:val="clear" w:color="auto" w:fill="CCEEFF"/>
          </w:tcPr>
          <w:p>
            <w:pPr>
              <w:spacing w:after="0"/>
              <w:rPr>
                <w:sz w:val="22"/>
                <w:szCs w:val="22"/>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12.15%</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11.05%</w:t>
            </w:r>
          </w:p>
        </w:tc>
        <w:tc>
          <w:tcPr>
            <w:tcW w:w="260" w:type="dxa"/>
            <w:vAlign w:val="bottom"/>
            <w:shd w:val="clear" w:color="auto" w:fill="CCEEFF"/>
          </w:tcPr>
          <w:p>
            <w:pPr>
              <w:spacing w:after="0"/>
              <w:rPr>
                <w:sz w:val="22"/>
                <w:szCs w:val="22"/>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14.50%</w:t>
            </w:r>
          </w:p>
        </w:tc>
        <w:tc>
          <w:tcPr>
            <w:tcW w:w="2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12.63%</w:t>
            </w:r>
          </w:p>
        </w:tc>
        <w:tc>
          <w:tcPr>
            <w:tcW w:w="0" w:type="dxa"/>
            <w:vAlign w:val="bottom"/>
          </w:tcPr>
          <w:p>
            <w:pPr>
              <w:spacing w:after="0"/>
              <w:rPr>
                <w:sz w:val="1"/>
                <w:szCs w:val="1"/>
                <w:color w:val="auto"/>
              </w:rPr>
            </w:pPr>
          </w:p>
        </w:tc>
      </w:tr>
    </w:tbl>
    <w:p>
      <w:pPr>
        <w:spacing w:after="0" w:line="330"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Book value per share refers to the Bank’s total equity divided by the Bank’s outstanding common basic shares at the end of the period.</w:t>
      </w:r>
    </w:p>
    <w:p>
      <w:pPr>
        <w:spacing w:after="0" w:line="228" w:lineRule="exact"/>
        <w:rPr>
          <w:rFonts w:ascii="Arial" w:cs="Arial" w:eastAsia="Arial" w:hAnsi="Arial"/>
          <w:sz w:val="30"/>
          <w:szCs w:val="30"/>
          <w:color w:val="auto"/>
          <w:vertAlign w:val="superscript"/>
        </w:rPr>
      </w:pPr>
    </w:p>
    <w:p>
      <w:pPr>
        <w:ind w:left="340" w:hanging="332"/>
        <w:spacing w:after="0" w:line="194"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the years 2020, 2019, 2018, 2017 and 2016, return on average total assets is calculated as profit for the year divided by average total assets. Average total assets for 2020, 2019, 2018, 2017 and 2016, is calculated on the basis of daily average balances.</w:t>
      </w:r>
    </w:p>
    <w:p>
      <w:pPr>
        <w:spacing w:after="0" w:line="228" w:lineRule="exact"/>
        <w:rPr>
          <w:rFonts w:ascii="Arial" w:cs="Arial" w:eastAsia="Arial" w:hAnsi="Arial"/>
          <w:sz w:val="30"/>
          <w:szCs w:val="30"/>
          <w:color w:val="auto"/>
          <w:vertAlign w:val="superscript"/>
        </w:rPr>
      </w:pPr>
    </w:p>
    <w:p>
      <w:pPr>
        <w:ind w:left="340" w:right="20" w:hanging="332"/>
        <w:spacing w:after="0" w:line="194" w:lineRule="auto"/>
        <w:tabs>
          <w:tab w:leader="none" w:pos="340" w:val="left"/>
        </w:tabs>
        <w:numPr>
          <w:ilvl w:val="0"/>
          <w:numId w:val="10"/>
        </w:numPr>
        <w:rPr>
          <w:rFonts w:ascii="Arial" w:cs="Arial" w:eastAsia="Arial" w:hAnsi="Arial"/>
          <w:sz w:val="30"/>
          <w:szCs w:val="30"/>
          <w:color w:val="auto"/>
          <w:vertAlign w:val="superscript"/>
        </w:rPr>
      </w:pPr>
      <w:r>
        <w:rPr>
          <w:rFonts w:ascii="Arial" w:cs="Arial" w:eastAsia="Arial" w:hAnsi="Arial"/>
          <w:sz w:val="18"/>
          <w:szCs w:val="18"/>
          <w:color w:val="auto"/>
        </w:rPr>
        <w:t>For the years 2020, 2019, 2018, 2017 and 2016, return on average total equity is calculated as profit for the year divided by average total equity. Average total equity for 2020, 2019, 2018, 2017 and 2016, is calculated on the basis of daily average balances.</w:t>
      </w:r>
    </w:p>
    <w:p>
      <w:pPr>
        <w:spacing w:after="0" w:line="228" w:lineRule="exact"/>
        <w:rPr>
          <w:rFonts w:ascii="Arial" w:cs="Arial" w:eastAsia="Arial" w:hAnsi="Arial"/>
          <w:sz w:val="30"/>
          <w:szCs w:val="30"/>
          <w:color w:val="auto"/>
          <w:vertAlign w:val="superscript"/>
        </w:rPr>
      </w:pPr>
    </w:p>
    <w:p>
      <w:pPr>
        <w:jc w:val="both"/>
        <w:ind w:left="340" w:hanging="332"/>
        <w:spacing w:after="0" w:line="234" w:lineRule="auto"/>
        <w:tabs>
          <w:tab w:leader="none" w:pos="340" w:val="left"/>
        </w:tabs>
        <w:numPr>
          <w:ilvl w:val="0"/>
          <w:numId w:val="10"/>
        </w:numPr>
        <w:rPr>
          <w:rFonts w:ascii="Arial" w:cs="Arial" w:eastAsia="Arial" w:hAnsi="Arial"/>
          <w:sz w:val="27"/>
          <w:szCs w:val="27"/>
          <w:color w:val="auto"/>
          <w:vertAlign w:val="superscript"/>
        </w:rPr>
      </w:pPr>
      <w:r>
        <w:rPr>
          <w:rFonts w:ascii="Arial" w:cs="Arial" w:eastAsia="Arial" w:hAnsi="Arial"/>
          <w:sz w:val="16"/>
          <w:szCs w:val="16"/>
          <w:color w:val="auto"/>
        </w:rPr>
        <w:t>For the years 2020, 2019, 2018, 2017 and 2016, net interest margin is calculated as net interest income divided by the average balance of interest-earning assets. Average balance of interest-earning assets for 2020, 2019, 2018, 2017 and 2016, is calculated on the basis of daily average balances. Net interest spread is calculated as average yield earned on interest-earning assets, less the average yield paid on interest-bearing liabilities. For more</w:t>
      </w:r>
    </w:p>
    <w:p>
      <w:pPr>
        <w:sectPr>
          <w:pgSz w:w="11900" w:h="16838" w:orient="portrait"/>
          <w:cols w:equalWidth="0" w:num="1">
            <w:col w:w="11240"/>
          </w:cols>
          <w:pgMar w:left="320" w:top="918" w:right="339" w:bottom="0" w:gutter="0" w:footer="0" w:header="0"/>
        </w:sectPr>
      </w:pPr>
    </w:p>
    <w:bookmarkStart w:id="8" w:name="page9"/>
    <w:bookmarkEnd w:id="8"/>
    <w:p>
      <w:pPr>
        <w:ind w:left="340"/>
        <w:spacing w:after="0" w:line="277" w:lineRule="auto"/>
        <w:rPr>
          <w:sz w:val="20"/>
          <w:szCs w:val="20"/>
          <w:color w:val="auto"/>
        </w:rPr>
      </w:pPr>
      <w:r>
        <w:rPr>
          <w:rFonts w:ascii="Arial" w:cs="Arial" w:eastAsia="Arial" w:hAnsi="Arial"/>
          <w:sz w:val="18"/>
          <w:szCs w:val="18"/>
          <w:color w:val="auto"/>
        </w:rPr>
        <w:t>information regarding calculation of the net interest margin and the net interest spread, see Item 5.A., “Operating and Financial Review and Prospects —Operating Results—Net Interest Income and Margins.”</w:t>
      </w:r>
    </w:p>
    <w:p>
      <w:pPr>
        <w:spacing w:after="0" w:line="83"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Efficiency ratio is total operating expenses as a percentage of total revenues.</w:t>
      </w:r>
    </w:p>
    <w:p>
      <w:pPr>
        <w:spacing w:after="0" w:line="163" w:lineRule="exact"/>
        <w:rPr>
          <w:rFonts w:ascii="Arial" w:cs="Arial" w:eastAsia="Arial" w:hAnsi="Arial"/>
          <w:sz w:val="30"/>
          <w:szCs w:val="30"/>
          <w:color w:val="auto"/>
          <w:vertAlign w:val="superscript"/>
        </w:rPr>
      </w:pPr>
    </w:p>
    <w:p>
      <w:pPr>
        <w:ind w:left="340" w:hanging="332"/>
        <w:spacing w:after="0" w:line="205"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The Bank calculates regular cash dividend payout ratio as regular cash dividends paid per share during the relevant period.</w:t>
      </w:r>
    </w:p>
    <w:p>
      <w:pPr>
        <w:spacing w:after="0" w:line="229" w:lineRule="exact"/>
        <w:rPr>
          <w:rFonts w:ascii="Arial" w:cs="Arial" w:eastAsia="Arial" w:hAnsi="Arial"/>
          <w:sz w:val="30"/>
          <w:szCs w:val="30"/>
          <w:color w:val="auto"/>
          <w:vertAlign w:val="superscript"/>
        </w:rPr>
      </w:pPr>
    </w:p>
    <w:p>
      <w:pPr>
        <w:jc w:val="both"/>
        <w:ind w:left="340" w:hanging="332"/>
        <w:spacing w:after="0" w:line="209" w:lineRule="auto"/>
        <w:tabs>
          <w:tab w:leader="none" w:pos="34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Liquid assets refer to total cash and cash equivalents, consisting of cash and due from banks, and interest-bearing deposits in banks, less pledged deposits, as well as corporate debt securities rated A- or above. See Item 5.B. “Operating and Financial Review and Prospects—Liquidity and Capital Resources—Liquidity” and Item 18, “Financial Statements,” note 5.</w:t>
      </w:r>
    </w:p>
    <w:p>
      <w:pPr>
        <w:spacing w:after="0" w:line="230" w:lineRule="exact"/>
        <w:rPr>
          <w:rFonts w:ascii="Arial" w:cs="Arial" w:eastAsia="Arial" w:hAnsi="Arial"/>
          <w:sz w:val="30"/>
          <w:szCs w:val="30"/>
          <w:color w:val="auto"/>
          <w:vertAlign w:val="superscript"/>
        </w:rPr>
      </w:pPr>
    </w:p>
    <w:p>
      <w:pPr>
        <w:jc w:val="both"/>
        <w:ind w:left="340" w:hanging="332"/>
        <w:spacing w:after="0" w:line="219" w:lineRule="auto"/>
        <w:tabs>
          <w:tab w:leader="none" w:pos="340" w:val="left"/>
        </w:tabs>
        <w:numPr>
          <w:ilvl w:val="0"/>
          <w:numId w:val="11"/>
        </w:numPr>
        <w:rPr>
          <w:rFonts w:ascii="Arial" w:cs="Arial" w:eastAsia="Arial" w:hAnsi="Arial"/>
          <w:sz w:val="29"/>
          <w:szCs w:val="29"/>
          <w:color w:val="auto"/>
          <w:vertAlign w:val="superscript"/>
        </w:rPr>
      </w:pPr>
      <w:r>
        <w:rPr>
          <w:rFonts w:ascii="Arial" w:cs="Arial" w:eastAsia="Arial" w:hAnsi="Arial"/>
          <w:sz w:val="17"/>
          <w:szCs w:val="17"/>
          <w:color w:val="auto"/>
        </w:rPr>
        <w:t>As of December 31, 2020, 2019, 2018, 2017 and 2016, the Bank had credit-impaired loans of $11 million, $62 million, $65 million, $59 million and $65 million, respectively. Impairment factors considered by the Bank’s management include collection status, collateral value, the probability of collecting scheduled principal and interest payments when due, and economic conditions in the borrower’s country of residence.</w:t>
      </w: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9" w:name="page10"/>
    <w:bookmarkEnd w:id="9"/>
    <w:p>
      <w:pPr>
        <w:ind w:left="340" w:hanging="332"/>
        <w:spacing w:after="0"/>
        <w:tabs>
          <w:tab w:leader="none" w:pos="340" w:val="left"/>
        </w:tabs>
        <w:numPr>
          <w:ilvl w:val="0"/>
          <w:numId w:val="12"/>
        </w:numPr>
        <w:rPr>
          <w:rFonts w:ascii="Arial" w:cs="Arial" w:eastAsia="Arial" w:hAnsi="Arial"/>
          <w:sz w:val="27"/>
          <w:szCs w:val="27"/>
          <w:color w:val="auto"/>
          <w:vertAlign w:val="superscript"/>
        </w:rPr>
      </w:pPr>
      <w:r>
        <w:rPr>
          <w:rFonts w:ascii="Arial" w:cs="Arial" w:eastAsia="Arial" w:hAnsi="Arial"/>
          <w:sz w:val="16"/>
          <w:szCs w:val="16"/>
          <w:color w:val="auto"/>
        </w:rPr>
        <w:t>Loan Portfolio refers to loans at amortized cost, gross of the allowance for loan losses, interest receivable and unearned interest and deferred fees.</w:t>
      </w:r>
    </w:p>
    <w:p>
      <w:pPr>
        <w:spacing w:after="0" w:line="163" w:lineRule="exact"/>
        <w:rPr>
          <w:rFonts w:ascii="Arial" w:cs="Arial" w:eastAsia="Arial" w:hAnsi="Arial"/>
          <w:sz w:val="27"/>
          <w:szCs w:val="27"/>
          <w:color w:val="auto"/>
          <w:vertAlign w:val="superscript"/>
        </w:rPr>
      </w:pPr>
    </w:p>
    <w:p>
      <w:pPr>
        <w:ind w:left="340" w:hanging="332"/>
        <w:spacing w:after="0" w:line="228" w:lineRule="auto"/>
        <w:tabs>
          <w:tab w:leader="none" w:pos="340" w:val="left"/>
        </w:tabs>
        <w:numPr>
          <w:ilvl w:val="0"/>
          <w:numId w:val="12"/>
        </w:numPr>
        <w:rPr>
          <w:rFonts w:ascii="Arial" w:cs="Arial" w:eastAsia="Arial" w:hAnsi="Arial"/>
          <w:sz w:val="27"/>
          <w:szCs w:val="27"/>
          <w:color w:val="auto"/>
          <w:vertAlign w:val="superscript"/>
        </w:rPr>
      </w:pPr>
      <w:r>
        <w:rPr>
          <w:rFonts w:ascii="Arial" w:cs="Arial" w:eastAsia="Arial" w:hAnsi="Arial"/>
          <w:sz w:val="16"/>
          <w:szCs w:val="16"/>
          <w:color w:val="auto"/>
        </w:rPr>
        <w:t>For the years 2020, 2019, 2018, 2017 and 2016, average total assets and average total equity are calculated on the basis of daily average balances.</w:t>
      </w:r>
    </w:p>
    <w:p>
      <w:pPr>
        <w:spacing w:after="0" w:line="229" w:lineRule="exact"/>
        <w:rPr>
          <w:rFonts w:ascii="Arial" w:cs="Arial" w:eastAsia="Arial" w:hAnsi="Arial"/>
          <w:sz w:val="27"/>
          <w:szCs w:val="27"/>
          <w:color w:val="auto"/>
          <w:vertAlign w:val="superscript"/>
        </w:rPr>
      </w:pPr>
    </w:p>
    <w:p>
      <w:pPr>
        <w:jc w:val="both"/>
        <w:ind w:left="340" w:hanging="332"/>
        <w:spacing w:after="0" w:line="232"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Tier 1 Capital is calculated according to Basel III capital adequacy guidelines, and is equivalent to total equity excluding certain effects such as accumulated other comprehensive income (loss) (“OCI”) of the securities at fair value through OCI. Tier 1 Capital ratio is calculated as a percentage of risk-weighted assets. Risk-weighted assets are estimated based on Basel III capital adequacy guidelines, utilizing internal-ratings based approach or “IRB” for credit risk and standardized approach for operational risk.</w:t>
      </w:r>
    </w:p>
    <w:p>
      <w:pPr>
        <w:spacing w:after="0" w:line="137" w:lineRule="exact"/>
        <w:rPr>
          <w:rFonts w:ascii="Arial" w:cs="Arial" w:eastAsia="Arial" w:hAnsi="Arial"/>
          <w:sz w:val="28"/>
          <w:szCs w:val="28"/>
          <w:color w:val="auto"/>
          <w:vertAlign w:val="superscript"/>
        </w:rPr>
      </w:pPr>
    </w:p>
    <w:p>
      <w:pPr>
        <w:ind w:left="340" w:hanging="332"/>
        <w:spacing w:after="0"/>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As defined by the Superintendency of Banks of Panama through Rules No. 01-2015 and 03-2016, based on Basel III standardized approach.</w:t>
      </w:r>
    </w:p>
    <w:p>
      <w:pPr>
        <w:spacing w:after="0" w:line="228" w:lineRule="exact"/>
        <w:rPr>
          <w:rFonts w:ascii="Arial" w:cs="Arial" w:eastAsia="Arial" w:hAnsi="Arial"/>
          <w:sz w:val="28"/>
          <w:szCs w:val="28"/>
          <w:color w:val="auto"/>
          <w:vertAlign w:val="superscript"/>
        </w:rPr>
      </w:pPr>
    </w:p>
    <w:p>
      <w:pPr>
        <w:jc w:val="both"/>
        <w:ind w:left="340" w:hanging="332"/>
        <w:spacing w:after="0" w:line="222"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As defined by the Superintendency of Banks of Panama through Article No. 17 of Rule No. 1-2015 that establishes the leverage ratio of a regulated entity by means of the quotient between the ordinary primary capital and the total exposure for non-risk-weighted assets inside and outside the consolidated statement of financial position.</w:t>
      </w:r>
    </w:p>
    <w:p>
      <w:pPr>
        <w:spacing w:after="0" w:line="201" w:lineRule="exact"/>
        <w:rPr>
          <w:sz w:val="20"/>
          <w:szCs w:val="20"/>
          <w:color w:val="auto"/>
        </w:rPr>
      </w:pPr>
    </w:p>
    <w:p>
      <w:pPr>
        <w:ind w:left="540" w:hanging="532"/>
        <w:spacing w:after="0"/>
        <w:tabs>
          <w:tab w:leader="none" w:pos="54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Capitalization and Indebtedness</w:t>
      </w:r>
    </w:p>
    <w:p>
      <w:pPr>
        <w:spacing w:after="0" w:line="22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40" w:hanging="532"/>
        <w:spacing w:after="0"/>
        <w:tabs>
          <w:tab w:leader="none" w:pos="54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Reasons for the Offer and Use of Proceeds</w:t>
      </w:r>
    </w:p>
    <w:p>
      <w:pPr>
        <w:spacing w:after="0" w:line="22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40" w:hanging="532"/>
        <w:spacing w:after="0"/>
        <w:tabs>
          <w:tab w:leader="none" w:pos="540" w:val="left"/>
        </w:tabs>
        <w:numPr>
          <w:ilvl w:val="0"/>
          <w:numId w:val="15"/>
        </w:numPr>
        <w:rPr>
          <w:rFonts w:ascii="Arial" w:cs="Arial" w:eastAsia="Arial" w:hAnsi="Arial"/>
          <w:sz w:val="18"/>
          <w:szCs w:val="18"/>
          <w:b w:val="1"/>
          <w:bCs w:val="1"/>
          <w:color w:val="auto"/>
        </w:rPr>
      </w:pPr>
      <w:r>
        <w:rPr>
          <w:rFonts w:ascii="Arial" w:cs="Arial" w:eastAsia="Arial" w:hAnsi="Arial"/>
          <w:sz w:val="18"/>
          <w:szCs w:val="18"/>
          <w:b w:val="1"/>
          <w:bCs w:val="1"/>
          <w:color w:val="auto"/>
        </w:rPr>
        <w:t>Risk Factors</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i w:val="1"/>
          <w:iCs w:val="1"/>
          <w:color w:val="auto"/>
        </w:rPr>
        <w:t>The Bank’s business, results of operations, financial conditions and cash flows are subject to, and could be materially adversely affected by, various risks and uncertainties, including, without limitation, those set forth below, any one of which could cause the Bank’s actual results to vary materially from recent results or anticipated future results. Investors should consider, among other things, all of the information set out in this Annual Report and particularly the risk factors with respect to Bladex and the Region. In general, investing in financial instruments of issuers in emerging market countries such as Panama involves a higher degree of risk than investing in financial instruments of U.S. and European issuers. Additional risks and uncertainties not presently known to the Bank or that its management currently deems immaterial may also impair the Bank’s business operations.</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Bank’s Business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effects of the COVID-19 pandemic have adversely affected, and are expected to continue to adversely affect, the Bank’s businesses and results of operations, and its duration and future impacts on the economy in the Region and on its businesses, results of operations and financial condition remain uncertain.</w:t>
      </w:r>
    </w:p>
    <w:p>
      <w:pPr>
        <w:spacing w:after="0" w:line="184"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negative economic conditions arising from the pandemic negatively impacted the Bank’s financial results during 2020 in various respects, including requiring it to implement policies focused substantially on maintaining liquidity and therefore not allowing the Bank to grow its Credit Portfolio in line with growth in recent years. While management believes these policies have been prudent in the circumstances and have allowed the Bank to perform well during a challenging year, these policies resulted in a reduction in the Bank’s net interest income during 2020 compared to 2019. The Bank also saw a reduction in 2020 in its income from fees and commissions related to a decline in mandated structured loan transactions, as a result of the negative economic effects caused by the COVID-19 pandemic throughout the Region.</w:t>
      </w:r>
    </w:p>
    <w:p>
      <w:pPr>
        <w:spacing w:after="0" w:line="178"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Overall, 2020 proved to be a very challenging year for the markets in the Region where Bladex operates, as Latin American economic growth was severely impacted by high uncertainty and volatility caused by the negative effects of the COVID-19 pandemic. The borrowers to which the Bank lends operate a wide range of businesses and are active in numerous economic sectors, many of which have faced, and will continue to face, significant challenges and negative impacts as a result of the COVID-19 outbreak. These impacts may include, among others, reduced business volumes, temporary closures of the Bank’s borrowers’ facilities, insufficient liquidity, delayed or defaulted payments from the Bank’s borrowers’ own customers, increased levels of indebtedness or the unavailability of sufficient financing for the Bank’s borrowers, and other factors which are beyond the Bank’s control. To the extent the COVID-19 pandemic adversely affects the business and financial results of the borrowers to whom the Bank lends, it could lead to loan restructurings on terms which may not be as favorable to the Bank, bankruptcies and insolvencies of the Bank’s borrowers, and may increase the level of impaired loans in the Bank’s Commercial Portfolio and its level of allowances for expected credit losses, which could in turn materially and adversely affect the Bank’s business, results of operations and financial condition.</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855" w:right="339" w:bottom="1440" w:gutter="0" w:footer="0" w:header="0"/>
        </w:sectPr>
      </w:pPr>
    </w:p>
    <w:bookmarkStart w:id="10" w:name="page11"/>
    <w:bookmarkEnd w:id="10"/>
    <w:p>
      <w:pPr>
        <w:jc w:val="both"/>
        <w:spacing w:after="0" w:line="257" w:lineRule="auto"/>
        <w:rPr>
          <w:sz w:val="20"/>
          <w:szCs w:val="20"/>
          <w:color w:val="auto"/>
        </w:rPr>
      </w:pPr>
      <w:r>
        <w:rPr>
          <w:rFonts w:ascii="Arial" w:cs="Arial" w:eastAsia="Arial" w:hAnsi="Arial"/>
          <w:sz w:val="18"/>
          <w:szCs w:val="18"/>
          <w:color w:val="auto"/>
        </w:rPr>
        <w:t>The ongoing effects of COVID-19 outbreak may also cause material and adverse impacts on the Bank’s assets, as well as impacts on income due to lower lending and transaction volumes, which may impact the Bank’s assets and capital position. Further expected credit losses could arise, impacted by the disruption to global supply chains, and through the impact that COVID-19 is still having more broadly on economic growth globally. In addition, the COVID-19 pandemic may cause the Bank to continue to institute from time to time office closures and remote working arrangements for its employees and staff, which could have a material adverse effect on productivity.</w:t>
      </w:r>
    </w:p>
    <w:p>
      <w:pPr>
        <w:spacing w:after="0" w:line="18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COVID-19 pandemic has also caused, and is likely to continue to cause, severe economic, market and other disruptions worldwide and in the Region. The Bank cannot assure you that conditions in the bank lending, capital and other financial markets will not continue to deteriorate as a result of the pandemic, or that the Bank’s access to capital and other sources of funding will not become constrained, which could adversely affect the Bank’s Commercial Portfolio volumes and the terms of future loans in the Commercial Portfolio, renewals or refinancings.</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extent of the COVID-19 pandemic’s effect on the Bank’s operational and financial performance will depend on future developments, including the speed and success of the rollout of COVID-19 vaccines both globally and in the Region, and the duration of the eficacy of the vaccines. As of the date hereof, the rollout of vaccines in the Region has proceeded significantly more slowly than in the U.S., Great Britain, the European Union and other countries, and the timing widespread vaccine availability remains uncertain.</w:t>
      </w:r>
    </w:p>
    <w:p>
      <w:pPr>
        <w:spacing w:after="0" w:line="187"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The Bank’s management continues to closely monitor the pandemic and related risks as they evolve globally and in the Region. The magnitude and duration of the pandemic and its future direct and indirect effects on the global and Regional economies and the Bank’s business, results of operations and financial condition are highly uncertain and depend on future developments that cannot be predicted, including the likelihood of further surges of COVID-19 cases and the spread of more easily communicable variants of COVID-19, the timing and availability of effective medical treatments and vaccines, future actions taken by governmental authorities, including any stimulus legislation in the Region, and/or other third parties in response to the pandemic. The pandemic may cause prolonged global or Regional negative economic conditions or longer lasting effects on economic conditions than currently exist, which could have a material adverse effect on the Bank’s business, results of operations and financial condition. In addition, the foregoing factors and conditions could result in potential downgrades to the Bank’s credit ratings, negative impacts to regulatory capital and liquidity and further restrictions on dividends and/or common stock repurchases.</w:t>
      </w:r>
    </w:p>
    <w:p>
      <w:pPr>
        <w:spacing w:after="0" w:line="18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Bladex, like all financial institutions, faces liquidity risk. Liquidity risk is the risk that the Bank will be unable to maintain adequate cash flow to repay its deposits and borrowings and fund its Credit Portfolio on a timely basis. The Bank’s capacity and cost of funding may be impacted by a number of factors, such as changes in market conditions (e.g., in interest rates), credit supply, changes in credit ratings, regulatory changes, systemic shocks and volatility in the banking and financial sectors, and changes in the market’s perception of the Bank, among others. Failure to adequately manage its liquidity risk could produce a shortage of available funds, which may cause the Bank to be unable to repay its obligations as they become due.</w:t>
      </w:r>
    </w:p>
    <w:p>
      <w:pPr>
        <w:spacing w:after="0" w:line="17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Turmoil in the international financial markets, including but not limited to conditions surrounding the ongoing COVID-19 pandemic, could negatively impact liquidity in such financial markets, reducing the Bank’s access to credit or increasing its cost of funding, which could lead to tighter lending standards. The occurrence of such unfavorable market conditions could have a material adverse effect on the Bank’s liquidity, results of operations and financial condition.</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 w:name="page12"/>
    <w:bookmarkEnd w:id="11"/>
    <w:p>
      <w:pPr>
        <w:jc w:val="both"/>
        <w:spacing w:after="0" w:line="270" w:lineRule="auto"/>
        <w:rPr>
          <w:sz w:val="20"/>
          <w:szCs w:val="20"/>
          <w:color w:val="auto"/>
        </w:rPr>
      </w:pPr>
      <w:r>
        <w:rPr>
          <w:rFonts w:ascii="Arial" w:cs="Arial" w:eastAsia="Arial" w:hAnsi="Arial"/>
          <w:sz w:val="17"/>
          <w:szCs w:val="17"/>
          <w:color w:val="auto"/>
        </w:rPr>
        <w:t>As of December 31, 2020, 50% of the Bank’s total deposits represented deposits from central banks or their designees (i.e., the Bank’s Class A shareholders), 25% of the Bank’s deposits represented deposits from private sector commercial banks and financial institutions, 15% of the Bank’s deposits represented deposits from state-owned and private, corporations and international organizations, and 10% of the Bank’s deposits represented deposits from state-owned banks. The Bank does not accept retail deposits from individuals. Any disruption or material decrease in current or historic deposit levels, in particular levels of deposits made by central banks and their designees (i.e., the Bank’s Class A shareholders) due, among other factors, to any change in their U.S. dollar liquidity strategies which currently include making deposits with the Bank, could have a material adverse effect on the Bank’s liquidity, results of operations and financial condition. In addition, if some private or state-owned international banks cease to provide deposits to the Bank or cease to provide funding to the Bank at historically applicable interest rates, the Bank would have to seek funding from other sources, which may not be available, or if available, may be at a higher cost.</w:t>
      </w:r>
    </w:p>
    <w:p>
      <w:pPr>
        <w:spacing w:after="0" w:line="18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Lastly, Panama is a U.S. dollar-based economy. Panama does not have a central bank, and there is no lender of last resort to local financial institutions in the Panamanian banking sector in the event of financial difficulties or system-wide liquidity disruptions, which could adversely affect the banking system in the country.</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of the above factors, either individually or in the aggregate, could adversely affect the Bank’s liquidity, financial condition, results of operations and cash flows.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allowance for losses on financial instruments could be inadequate to cover credit losses mostly related to its loans, loan commitments and financial guarantee contracts.</w:t>
      </w:r>
    </w:p>
    <w:p>
      <w:pPr>
        <w:spacing w:after="0" w:line="170"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The Bank determines the appropriate level of allowances for losses based on a forward-looking process that estimates the probable loss inherent in its Credit Portfolio, which is the result of a statistical analysis supported by the Bank’s historical portfolio performance, external sources, and the judgment of the Bank’s management. The Bank’s level of allowances reflects assumptions and estimates made in the context of changing political and economic conditions in the Region, including, but not limited to, the impact of ongoing turmoil related to the COVID-19 pandemic. The Bank’s allowances for losses could be inadequate to cover losses in its Credit Portfolio due to, among other factors, concentration of exposure or deterioration in certain sectors or countries, including but not limited to the impact of ongoing turmoil related to the COVID-19 pandemic and other factors, which in turn could have a material adverse effect on the Bank’s financial condition, results of operations and cash flows.</w:t>
      </w:r>
    </w:p>
    <w:p>
      <w:pPr>
        <w:spacing w:after="0" w:line="17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Bank’s businesses are subject to market risk inherent in the Bank’s financial instruments, as fluctuations in different metrics may have adverse effects on its financial position.</w:t>
      </w:r>
    </w:p>
    <w:p>
      <w:pPr>
        <w:spacing w:after="0" w:line="170"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Market risk generally represents the risk that the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securities at FVOCI, short-term and long-term borrowings and debt, derivatives and trading positions. This risk may result from fluctuations in different metrics: interest rates, currency exchange rates and changes in the implied volatility of interest rates and changes in securities prices, due to changes in either market perception or actual credit quality of either the relevant issuer or its country of origin. This risk may also result from turmoil in the international financial markets, including but not limited to the ongoing effects of the COVID-19 pandemic, volatility in commodity prices, and other factors. Accordingly, depending on the instruments or activities impacted, market risks can have wide ranging, complex adverse effects on the Bank’s financial condition, results of operations, cash flows and business.</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 w:name="page13"/>
    <w:bookmarkEnd w:id="12"/>
    <w:p>
      <w:pPr>
        <w:jc w:val="both"/>
        <w:spacing w:after="0" w:line="259" w:lineRule="auto"/>
        <w:rPr>
          <w:sz w:val="20"/>
          <w:szCs w:val="20"/>
          <w:color w:val="auto"/>
        </w:rPr>
      </w:pPr>
      <w:r>
        <w:rPr>
          <w:rFonts w:ascii="Arial" w:cs="Arial" w:eastAsia="Arial" w:hAnsi="Arial"/>
          <w:sz w:val="18"/>
          <w:szCs w:val="18"/>
          <w:color w:val="auto"/>
        </w:rPr>
        <w:t>Furthermore, the Bank cannot predict the amount of realized or unrealized gains or losses on its financial instruments for any future period. Gains or losses on the Bank’s Investment Portfolio may not contribute to its net revenue in the future or may cease to contribute to its net revenue at levels consistent with more recent periods. The Bank may not successfully realize the appreciation or depreciation now existing in its consolidated Investment Portfolio or in any assets of such portfolio.</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The Bank faces interest rate risk that may be caused by the mismatch in maturities of interest-earning assets and interest-bearing liabilities. If not properly managed, this mismatch can reduce net interest income as interest rates fluctuate.</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84" w:lineRule="exact"/>
        <w:rPr>
          <w:sz w:val="20"/>
          <w:szCs w:val="20"/>
          <w:color w:val="auto"/>
        </w:rPr>
      </w:pPr>
    </w:p>
    <w:p>
      <w:pPr>
        <w:jc w:val="both"/>
        <w:spacing w:after="0" w:line="308" w:lineRule="auto"/>
        <w:rPr>
          <w:sz w:val="20"/>
          <w:szCs w:val="20"/>
          <w:color w:val="auto"/>
        </w:rPr>
      </w:pPr>
      <w:r>
        <w:rPr>
          <w:rFonts w:ascii="Arial" w:cs="Arial" w:eastAsia="Arial" w:hAnsi="Arial"/>
          <w:sz w:val="17"/>
          <w:szCs w:val="17"/>
          <w:b w:val="1"/>
          <w:bCs w:val="1"/>
          <w:i w:val="1"/>
          <w:iCs w:val="1"/>
          <w:color w:val="auto"/>
        </w:rPr>
        <w:t>The Bank’s Commercial Portfolio may decrease or may not grow as expected. Additionally, growth in the Bank’s Commercial Portfolio or other factors, including those beyond the Bank’s control, may expose the Bank to increases in its allowance for expected credit losses.</w:t>
      </w:r>
    </w:p>
    <w:p>
      <w:pPr>
        <w:spacing w:after="0" w:line="146"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The Bank’s Commercial Portfolio, including its Loan Portfolio, may not grow at anticipated levels or may decrease in future periods due, among other possible factors, to reduced demand for new credits and/or unscheduled voluntary prepayments by clients. For example, the Bank’s Commercial Portfolio decreased by 15% as of December 31, 2020 to $5,551 million, from $6,502 million as of December 31, 2019, as a result of the implementation by management of measures favoring liquidity, emphasizing sectors which management considers defensive in the current economic context (such as oil &amp; gas (downstream), electric power and food and beverage) and stricter credit underwriting standards, in each case in order to confront market conditions related to the ongoing COVID-19 pandemic. A reversal or slowdown in the growth rate of the Region’s economy and trade volumes could adversely affect the Bank’s Commercial Portfolio, and as a result adversely affect the Bank’s results of operations. The negative effects of the COVID-19 virus throughout the world, and in particular the Region, as well as the implementation of restrictive governmental measures to prevent its spread, impacted the Bank’s Commercial Portfolio in a number of ways, including a reduction in Commercial Portfolio balances. In particular, as loans in the Commercial Portfolio were substantially repaid or prepaid in accordance with their terms, the Bank has been lending on a more selective basis, having established stricter credit underwriting criteria with a focus on client segments and industries that the Bank believes are better suited to weather the effects of the COVID-19 pandemic. See Item 3.D., “Key Information--Risk Factors—Risks Relating to the Bank’s Business--The effects of the COVID-19 pandemic have adversely affected, and are expected to continue to adversely affect, the Bank’s businesses and results of operations, and its duration and future impacts on the economy in the Region and on its businesses, results of operations and financial condition remain uncertain,” and Item 5.D., “Operating and Financial Review and Prospects—Trend Information.”</w:t>
      </w:r>
    </w:p>
    <w:p>
      <w:pPr>
        <w:spacing w:after="0" w:line="182"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Furthermore, any future expansion of the Bank’s Commercial Portfolio may expose the Bank to higher levels of potential or actual losses and require an increase in the allowance for expected credit losses, which could negatively impact the Bank’s operating results and financial position. Furthermore, the Bank’s historical loan loss experience may not be indicative of its future loan losses. Credit-impaired or low credit quality loans can also increase the Bank’s allowance for expected credit losses and thereby negatively impact the Bank’s results of operations. The Bank may not be able to effectively control the level of the impaired loans in its total Loan Portfolio. In particular, the amount of its reported credit-impaired loans may increase in the future as a result of growth in its Loan Portfolio, including loans that the Bank may acquire in the future, changes in its business profile or factors beyond the Bank’s control, such as the impact of economic trends and political events affecting the Region, certain industries or financial markets and global economies, or particular clients’ businesses, all of which could be negatively impacted by the effects of the COVID-19 pandemic. These factors, among others, could have a material adverse effect on the Bank’s financial condition, results of operations and cash flows.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3" w:name="page14"/>
    <w:bookmarkEnd w:id="13"/>
    <w:p>
      <w:pPr>
        <w:spacing w:after="0"/>
        <w:rPr>
          <w:sz w:val="20"/>
          <w:szCs w:val="20"/>
          <w:color w:val="auto"/>
        </w:rPr>
      </w:pPr>
      <w:r>
        <w:rPr>
          <w:rFonts w:ascii="Arial" w:cs="Arial" w:eastAsia="Arial" w:hAnsi="Arial"/>
          <w:sz w:val="16"/>
          <w:szCs w:val="16"/>
          <w:b w:val="1"/>
          <w:bCs w:val="1"/>
          <w:i w:val="1"/>
          <w:iCs w:val="1"/>
          <w:color w:val="auto"/>
        </w:rPr>
        <w:t>Increased competition and banking industry consolidation could limit the Bank’s ability to grow and may adversely affect its results of operations.</w:t>
      </w:r>
    </w:p>
    <w:p>
      <w:pPr>
        <w:spacing w:after="0" w:line="24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Most of the competition the Bank faces in the trade finance business comes from domestic and international banks, and in particular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Over time, there has been substantial consolidation among companies in the financial services industry.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Globalization of the capital markets and financial services industries exposes the Bank to further competition. To the extent the Bank expands into new business areas and new markets,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may be affected by these competitive pressures.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both a client and competitor. Additionally, many local financial institutions are able to gain direct access to the capital markets and low cost funding sources, threatening the Bank’s historical role as a provider of U.S. dollar funding.</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a result of the foregoing, increased competition and banking industry consolidation could limit the Bank’s ability to grow and may adversely affect its results of operations.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b w:val="1"/>
          <w:bCs w:val="1"/>
          <w:i w:val="1"/>
          <w:iCs w:val="1"/>
          <w:color w:val="auto"/>
        </w:rPr>
        <w:t>The Bank’s businesses rely heavily on data collection, management and processing, and information systems, several of which are provided by third parties. Operational failures or security breaches with respect to any of the foregoing could adversely affect the Bank, including the effectiveness of its risk management and internal control systems. Additionally, the Bank may experience cyberattacks or system defects and failures (including failures to update systems), viruses, worms, and other malicious software from computer “hackers” or other sources, which could unexpectedly interfere with the operation of the Bank’s systems.</w:t>
      </w:r>
    </w:p>
    <w:p>
      <w:pPr>
        <w:spacing w:after="0" w:line="18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and information systems is critical to the Bank’s businesses and to its ability to compete effectively. A partial or complete failure of any of these primary systems could materially and adversely affect the Bank’s decision-making process, risk management and internal control systems, as well as the Bank’s ability to respond on a timely basis to changing market conditions. If the Bank cannot maintain effective data collection, management and processing and information systems, it may be materially and adversely affected.</w:t>
      </w:r>
    </w:p>
    <w:p>
      <w:pPr>
        <w:spacing w:after="0" w:line="16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relies on third party technology suppliers for many of its core operating systems that are crucial to its business activities. Any issues associated with those suppliers may have a significant impact on the Bank’s capacity to process transactions and conduct its business. Additionally, these suppliers have access to the Bank’s core systems and databases, exposing the Bank to vulnerability from its technology providers. Any security problems and security vulnerabilities of such third parties may have a material adverse effect on the Bank.</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4" w:name="page15"/>
    <w:bookmarkEnd w:id="14"/>
    <w:p>
      <w:pPr>
        <w:jc w:val="both"/>
        <w:spacing w:after="0" w:line="257" w:lineRule="auto"/>
        <w:rPr>
          <w:sz w:val="20"/>
          <w:szCs w:val="20"/>
          <w:color w:val="auto"/>
        </w:rPr>
      </w:pPr>
      <w:r>
        <w:rPr>
          <w:rFonts w:ascii="Arial" w:cs="Arial" w:eastAsia="Arial" w:hAnsi="Arial"/>
          <w:sz w:val="18"/>
          <w:szCs w:val="18"/>
          <w:color w:val="auto"/>
        </w:rPr>
        <w:t>The Bank is also dependent on information systems to operate its website, process transactions, respond to customer inquiries on a timely basis and maintain cost-efficient operations. While the Bank has implemented policies and procedures designed to manage information security, the Bank may experience cyberattacks or operational problems with its information systems as a result of system defects and failures (including failures to update systems), viruses, worms, and other malicious software from computer “hackers” or other sources, which could unexpectedly interfere with the operation of the Bank’s systems.</w:t>
      </w:r>
    </w:p>
    <w:p>
      <w:pPr>
        <w:spacing w:after="0" w:line="18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Furthermore, the Bank manages and stores certain proprietary information and sensitive or confidential data relating to its clients and to its operations. The Bank may be subject to breaches of the information technology systems it uses for these purposes. Additionally, the Bank operates in many geographic locations and is exposed to events outside its control, including the potential proliferation of regulatory requirements regarding local storage of data, use of local services or technology, or sharing of intellectual property. Despite the contingency plans the Bank has in place, its ability to conduct business in any of its locations may be adversely impacted by a disruption to the infrastructure that supports its business.</w:t>
      </w:r>
    </w:p>
    <w:p>
      <w:pPr>
        <w:spacing w:after="0" w:line="176"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In addition, as a result of the COVID-19 pandemic, the Bank has implemented office closures and remote working policies in order to protect the health of its employees and staff. These arrangements have necessitated new and increased reliance on information technology, such as videoconferencing and other infrastructure. Any failure or hacking of these and other systems could materially and adversely affect the Bank’s business and operations.</w:t>
      </w:r>
    </w:p>
    <w:p>
      <w:pPr>
        <w:spacing w:after="0" w:line="14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ability to remain competitive depends in part on its ability to upgrade its information technology on a timely and cost-effective basis. The Bank continually makes investments and improvements in its information technology infrastructure in order to remain competitive.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 The Bank’s reputation could also suffer if the Bank is unable to protect its customers’ information from being used by third parties for illegal or improper purposes.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Operational problems or errors can have a material adverse impact on the Bank’s business, financial condition, reputation, results of operations and cash flows.</w:t>
      </w:r>
    </w:p>
    <w:p>
      <w:pPr>
        <w:spacing w:after="0" w:line="170"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Operating failures, including those that result from human error or fraud, not only may increase the Bank’s costs and cause losses, but may also give rise to conflicts with its clients, lawsuits, regulatory fines, sanctions, interventions, reimbursements and other indemnity costs, all of which may have a material adverse impact on the Bank’s business, financial condition, reputation, results of operations and cash flows. Ethical misconduct or breaches of applicable laws by the Bank’s businesses or its employees could also be damaging to the Bank’s reputation, and could result in litigation, regulatory action or penalties. Operational risk also includes: (i) legal risk associated with inadequacy or deficiency in contracts signed by the Bank; (ii) penalties due to noncompliance with laws, such as anti-money laundering (“AML”) and embargo regulations; and (iii) punitive damages to third parties arising from the activities undertaken by the Bank. Also, the Bank has additional services for the proper functioning of its business and technology infrastructure, such as networks, internet and systems, among others, provided by external or outsourced companies. Impacts on the provision of these services, caused by these companies due to the lack of supply or the poor quality of the contracted services, can affect the conduct of the Bank’s business as well as its clients. Operational problems or errors such as these may have a material adverse impact on the Bank’s business, financial condition, reputation, results of operations and cash flows.</w:t>
      </w:r>
    </w:p>
    <w:p>
      <w:pPr>
        <w:spacing w:after="0" w:line="18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Part of the Bank’s strategy is to diversify income sources through certain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which could adversely affect the Bank’s business, results of operations and growth prospects. Any delays in implementing these business initiatives could prevent the Bank from realizing the anticipated benefits of the initiatives, which could adversely affect the Bank’s business, results of operations and growth prospects.</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i w:val="1"/>
          <w:iCs w:val="1"/>
          <w:color w:val="auto"/>
        </w:rPr>
        <w:t>The Banks hedging strategy may not be able to prevent losses.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diverse instruments and strategies to hedge its exposures to a number of risks associated with its business, but the Bank may incur losses if such hedges are not effective. The Bank may not be able to hedge its positions, or do so only partially, or its hedges may not have the desired effectiveness to mitigate the Bank’s exposure to the diverse risks and market in which it is involved.</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 material adverse effect on the Bank’s business, financial condition and results of operations.</w:t>
      </w:r>
    </w:p>
    <w:p>
      <w:pPr>
        <w:spacing w:after="0" w:line="184"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Bladex has adopted various policies and procedures to promote compliance with applicable laws, including internal controls and “know-your-customer” procedures aimed at preventing money laundering and terrorism financing. However, the participation of multiple parties in any given transaction can increase complexity and require additional time for due diligence.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(including the U.S.) could impose additional compliance burdens on the Bank.</w:t>
      </w:r>
    </w:p>
    <w:p>
      <w:pPr>
        <w:spacing w:after="0" w:line="17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may not be able to detect or prevent money laundering and other financial crimes fully or on a timely basis, which could expose the Bank to additional liability and could have a material adverse effect on the Bank.</w:t>
      </w:r>
    </w:p>
    <w:p>
      <w:pPr>
        <w:spacing w:after="0" w:line="170"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 is required to comply with applicable AML, anti-terrorism, anti-bribery and corruption sanctions, laws and regulations. The Bank has developed policies and procedures aimed at detecting and preventing the use of its banking network for money laundering and other financial crime related activities. Financial crime is continually evolving and is subject to increasingly stringent regulatory oversight and focus. This requires proactive and adaptive responses from the Bank so that it is able to deter threats and criminality effectively. If the Bank is unable to fully comply with applicable laws, regulations and expectations, regulators and relevant law enforcement agencies may impose significant fines and other penalties on the Bank, including a complete review of its business systems, day-to-day supervision by external consultants and ultimately the revocation of the Bank’s banking license.</w:t>
      </w:r>
    </w:p>
    <w:p>
      <w:pPr>
        <w:spacing w:after="0" w:line="164"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 addition, the Bank relies upon its counterparties to maintain and properly apply their own appropriate compliance procedures and internal policies. Such measures, procedures and internal policies may not be completely effective in preventing third parties from using the Bank’s (and its counterparties’) services as a conduit for illicit purposes (including illegal cash operations) without the Bank’s (and its counterparties’) knowledge. If the Bank is associated with, or even accused of having breached AML, anti-terrorism or sanctions requirements, the Bank’s reputation could suffer and/or the Bank could become subject to fines, sanctions and/or legal enforcement (including being added to any blacklists that would prohibit certain parties from engaging in transactions with the Bank). Any of the above consequences could have a material adverse effect on the Bank’s operating results, financial condition and prospects.</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16" w:name="page17"/>
    <w:bookmarkEnd w:id="16"/>
    <w:p>
      <w:pPr>
        <w:jc w:val="both"/>
        <w:spacing w:after="0" w:line="277" w:lineRule="auto"/>
        <w:rPr>
          <w:sz w:val="20"/>
          <w:szCs w:val="20"/>
          <w:color w:val="auto"/>
        </w:rPr>
      </w:pPr>
      <w:r>
        <w:rPr>
          <w:rFonts w:ascii="Arial" w:cs="Arial" w:eastAsia="Arial" w:hAnsi="Arial"/>
          <w:sz w:val="18"/>
          <w:szCs w:val="18"/>
          <w:b w:val="1"/>
          <w:bCs w:val="1"/>
          <w:i w:val="1"/>
          <w:iCs w:val="1"/>
          <w:color w:val="auto"/>
        </w:rPr>
        <w:t>Expansion and/or enforcement of U.S. economic or financial sanctions, requirements or trade embargoes could have a material adverse effect on the Bank.</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requires all subsidiaries, branches, agencies and offices to comply in all material respects with applicable Sanctions (as defined below). The Bank continues to monitor activities relating to those jurisdictions which are subject to Sanctions and periodically updates its global Sanctions policy to promote compliance with the various requirements resulting from these changes in Sanctions.</w:t>
      </w:r>
    </w:p>
    <w:p>
      <w:pPr>
        <w:spacing w:after="0" w:line="184"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U.S. has issued legislation expanding Sanctions on Nicaragua, North Korea, Russia and Venezuela, and issued an executive order modifying Sanctions with respect to Sudan. Furthermore, in recent years, OFAC has designated some notable groups or financial institutions on the Specially Designated Nationals (“SDN”) List in the regions or jurisdictions where the Bank, its counterparties, or its customers are located, have operations, or do business.</w:t>
      </w:r>
    </w:p>
    <w:p>
      <w:pPr>
        <w:spacing w:after="0" w:line="14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For example, since 2015 and through 2021, the U.S. has continued to expand Sanctions in respect of the Government of Venezuela and certain Venezuelan nationals, including certain Venezuelan government officials effectively blocking all property and interests in property of the Government of Venezuela pursuant to Executive Order 13884 of August 5, 2019. With regard to any Sanctions targeting persons who have been added to OFAC’s SDN List or other persons considered blocked persons under OFAC sanctions, U.S. persons may not make to such persons, or receive from such persons, any contribution or provision of funds, goods, or services. These Sanctions also prohibit, with certain limited exceptions, (a) transactions by a U.S. person or within the United States relating to new debt with a maturity greater than 30 days or new equity, of the Government of Venezuela, bonds issued by the Government of Venezuela prior to August 25, 2017, and dividend payments or other distributions of profits to the Government of Venezuela from its controlled entities, and (b) direct or indirect purchases by a U.S. person or within the United States of securities from the Government of Venezuela (other than new debt with a maturity of 30 days or less). These recent Sanctions relating to Venezuela have also resulted in the designation of certain state-owned financial institutions, as SDNs, including Banco De Desarrollo Económico y Social de Venezuela (“BANDES”), Banco Bandes Uruguay S.A., Banco Bicentenario del Pueblo, de la Clase Obrera, Mujer y Comunas, Banco Universal C.A., Banco de Venezuela, S.A. Banco Universal and Banco Prodem S.A.</w:t>
      </w:r>
    </w:p>
    <w:p>
      <w:pPr>
        <w:spacing w:after="0" w:line="17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Beginning in 2018, the U.S. also expanded Sanctions in respect of the Government of Nicaragua and certain Nicaraguan nationals. Like the Venezuela-related Sanctions, these recent Sanctions have also resulted in the designation of certain financial institutions, as SDNs, including Banco Corporativo S.A., a subsidiary to the Venezuelan government-funded Alba de Nicaragua, S.A.</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While the Bank does not consider that its business activities with counterparties with whom transactions are restricted or prohibited under U.S. Sanctions are material to its business, these aforementioned recent developments and any future expansion of Sanctions could have a material adverse impact on the Bank due to, among other things, the following:</w:t>
      </w:r>
    </w:p>
    <w:p>
      <w:pPr>
        <w:spacing w:after="0" w:line="184" w:lineRule="exact"/>
        <w:rPr>
          <w:sz w:val="20"/>
          <w:szCs w:val="20"/>
          <w:color w:val="auto"/>
        </w:rPr>
      </w:pPr>
    </w:p>
    <w:p>
      <w:pPr>
        <w:jc w:val="both"/>
        <w:ind w:left="660" w:hanging="328"/>
        <w:spacing w:after="0" w:line="286" w:lineRule="auto"/>
        <w:tabs>
          <w:tab w:leader="none" w:pos="660" w:val="left"/>
        </w:tabs>
        <w:numPr>
          <w:ilvl w:val="0"/>
          <w:numId w:val="16"/>
        </w:numPr>
        <w:rPr>
          <w:rFonts w:ascii="Arial" w:cs="Arial" w:eastAsia="Arial" w:hAnsi="Arial"/>
          <w:sz w:val="17"/>
          <w:szCs w:val="17"/>
          <w:color w:val="auto"/>
        </w:rPr>
      </w:pPr>
      <w:r>
        <w:rPr>
          <w:rFonts w:ascii="Arial" w:cs="Arial" w:eastAsia="Arial" w:hAnsi="Arial"/>
          <w:sz w:val="17"/>
          <w:szCs w:val="17"/>
          <w:color w:val="auto"/>
        </w:rPr>
        <w:t>Bladex may be owned, directly or indirectly, by, or have shareholders which are, central banks, multilateral development banks or other persons which may be the current or future target of Sanctions. Importantly, no SDN or blocked person currently has any operational or management role in the Bank, or has any authority to negotiate on behalf of the Bank or make binding commitments on behalf of the Bank.</w:t>
      </w:r>
    </w:p>
    <w:p>
      <w:pPr>
        <w:spacing w:after="0" w:line="192" w:lineRule="exact"/>
        <w:rPr>
          <w:rFonts w:ascii="Arial" w:cs="Arial" w:eastAsia="Arial" w:hAnsi="Arial"/>
          <w:sz w:val="17"/>
          <w:szCs w:val="17"/>
          <w:color w:val="auto"/>
        </w:rPr>
      </w:pPr>
    </w:p>
    <w:p>
      <w:pPr>
        <w:ind w:left="660" w:hanging="328"/>
        <w:spacing w:after="0" w:line="277" w:lineRule="auto"/>
        <w:tabs>
          <w:tab w:leader="none" w:pos="660" w:val="left"/>
        </w:tabs>
        <w:numPr>
          <w:ilvl w:val="0"/>
          <w:numId w:val="16"/>
        </w:numPr>
        <w:rPr>
          <w:rFonts w:ascii="Arial" w:cs="Arial" w:eastAsia="Arial" w:hAnsi="Arial"/>
          <w:sz w:val="18"/>
          <w:szCs w:val="18"/>
          <w:color w:val="auto"/>
        </w:rPr>
      </w:pPr>
      <w:r>
        <w:rPr>
          <w:rFonts w:ascii="Arial" w:cs="Arial" w:eastAsia="Arial" w:hAnsi="Arial"/>
          <w:sz w:val="18"/>
          <w:szCs w:val="18"/>
          <w:color w:val="auto"/>
        </w:rPr>
        <w:t>Bladex may maintain counterparties that are organized in, located in or otherwise do business in jurisdictions which may or whose government may be the target of Sanctions.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i w:val="1"/>
          <w:iCs w:val="1"/>
          <w:color w:val="auto"/>
        </w:rPr>
        <w:t>Changes in applicable law and regulation may have a material adverse effect on the Bank</w:t>
      </w:r>
      <w:r>
        <w:rPr>
          <w:rFonts w:ascii="Arial" w:cs="Arial" w:eastAsia="Arial" w:hAnsi="Arial"/>
          <w:sz w:val="18"/>
          <w:szCs w:val="18"/>
          <w:color w:val="auto"/>
        </w:rPr>
        <w: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subject to extensive laws and regulations regarding the Bank’s organization, operations, lending and funding activities, capitalization and other matters. The Bank has no control over applicable law and government regulations, which govern all aspects of its operations, including but not limited to regulations that impose:</w:t>
      </w:r>
    </w:p>
    <w:p>
      <w:pPr>
        <w:spacing w:after="0" w:line="184" w:lineRule="exact"/>
        <w:rPr>
          <w:sz w:val="20"/>
          <w:szCs w:val="20"/>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Minimum capital requirements;</w:t>
      </w:r>
    </w:p>
    <w:p>
      <w:pPr>
        <w:spacing w:after="0" w:line="23"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Reserve and compulsory deposit requirements;</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Funding restrictions;</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Lending limits, earmarked lending and other credit restrictions;</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Limits on investments in fixed assets;</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Corporate governance, financial reporting and employee compensation requirements;</w:t>
      </w:r>
    </w:p>
    <w:p>
      <w:pPr>
        <w:spacing w:after="0" w:line="9" w:lineRule="exact"/>
        <w:rPr>
          <w:rFonts w:ascii="Arial" w:cs="Arial" w:eastAsia="Arial" w:hAnsi="Arial"/>
          <w:sz w:val="18"/>
          <w:szCs w:val="18"/>
          <w:color w:val="auto"/>
        </w:rPr>
      </w:pPr>
    </w:p>
    <w:p>
      <w:pPr>
        <w:ind w:left="560" w:hanging="228"/>
        <w:spacing w:after="0"/>
        <w:tabs>
          <w:tab w:leader="none" w:pos="560" w:val="left"/>
        </w:tabs>
        <w:numPr>
          <w:ilvl w:val="0"/>
          <w:numId w:val="17"/>
        </w:numPr>
        <w:rPr>
          <w:rFonts w:ascii="Arial" w:cs="Arial" w:eastAsia="Arial" w:hAnsi="Arial"/>
          <w:sz w:val="18"/>
          <w:szCs w:val="18"/>
          <w:color w:val="auto"/>
        </w:rPr>
      </w:pPr>
      <w:r>
        <w:rPr>
          <w:rFonts w:ascii="Arial" w:cs="Arial" w:eastAsia="Arial" w:hAnsi="Arial"/>
          <w:sz w:val="18"/>
          <w:szCs w:val="18"/>
          <w:color w:val="auto"/>
        </w:rPr>
        <w:t>Accounting and statistical requirements;</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Competition policy; and</w:t>
      </w:r>
    </w:p>
    <w:p>
      <w:pPr>
        <w:spacing w:after="0" w:line="9" w:lineRule="exact"/>
        <w:rPr>
          <w:rFonts w:ascii="Arial" w:cs="Arial" w:eastAsia="Arial" w:hAnsi="Arial"/>
          <w:sz w:val="18"/>
          <w:szCs w:val="18"/>
          <w:color w:val="auto"/>
        </w:rPr>
      </w:pPr>
    </w:p>
    <w:p>
      <w:pPr>
        <w:ind w:left="580" w:hanging="248"/>
        <w:spacing w:after="0"/>
        <w:tabs>
          <w:tab w:leader="none" w:pos="5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Other requirements or limitations.</w:t>
      </w:r>
    </w:p>
    <w:p>
      <w:pPr>
        <w:spacing w:after="0" w:line="211"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jurisdictions in which the Bank operates to change laws and regulations applicable to financial institutions based on such international developments.</w:t>
      </w:r>
    </w:p>
    <w:p>
      <w:pPr>
        <w:spacing w:after="0" w:line="184"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w:t>
      </w:r>
    </w:p>
    <w:p>
      <w:pPr>
        <w:jc w:val="both"/>
        <w:ind w:firstLine="8"/>
        <w:spacing w:after="0" w:line="267" w:lineRule="auto"/>
        <w:tabs>
          <w:tab w:leader="none" w:pos="240" w:val="left"/>
        </w:tabs>
        <w:numPr>
          <w:ilvl w:val="0"/>
          <w:numId w:val="18"/>
        </w:numPr>
        <w:rPr>
          <w:rFonts w:ascii="Arial" w:cs="Arial" w:eastAsia="Arial" w:hAnsi="Arial"/>
          <w:sz w:val="17"/>
          <w:szCs w:val="17"/>
          <w:color w:val="auto"/>
        </w:rPr>
      </w:pPr>
      <w:r>
        <w:rPr>
          <w:rFonts w:ascii="Arial" w:cs="Arial" w:eastAsia="Arial" w:hAnsi="Arial"/>
          <w:sz w:val="17"/>
          <w:szCs w:val="17"/>
          <w:color w:val="auto"/>
        </w:rPr>
        <w:t>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has determined the Bank’s Tier 1 capital ratio (Basel III – IRB) to be 26.0% as of December 31, 2020. In addition, as of December 31, 2020, the Bank’s Capital Adequacy Ratio, calculated according to the guidelines of the Banking Law (as defined below), was 20.21%.</w:t>
      </w:r>
    </w:p>
    <w:p>
      <w:pPr>
        <w:spacing w:after="0" w:line="18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Based on the Bank’s current regulatory capital ratios, as well as conservative assumptions on expected returns and asset growth, the Bank does not anticipate that additional regulatory capital will be required to support its operations in the near future. However, depending on the effects of the rules that complete the implementation of the Basel III framework on Panamanian banks and particularly on other Bank operations, the Bank may need to reassess its ongoing funding strategy for regulatory capital.</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8" w:name="page19"/>
    <w:bookmarkEnd w:id="18"/>
    <w:p>
      <w:pPr>
        <w:jc w:val="both"/>
        <w:spacing w:after="0" w:line="270" w:lineRule="auto"/>
        <w:rPr>
          <w:sz w:val="20"/>
          <w:szCs w:val="20"/>
          <w:color w:val="auto"/>
        </w:rPr>
      </w:pPr>
      <w:r>
        <w:rPr>
          <w:rFonts w:ascii="Arial" w:cs="Arial" w:eastAsia="Arial" w:hAnsi="Arial"/>
          <w:sz w:val="17"/>
          <w:szCs w:val="17"/>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established a Bureau of Consumer Financial Protection, established a systemic risk regulator, consolidated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181"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test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become applicable as the Bank grows, its U.S. presence or assets increase or if the Dodd-Frank Act is later amended, modified or supplemented with new legislation.</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December 10, 2013, pursuant to the Dodd-Frank Act, federal banking and securities regulators issued final rules to implement Section 619 of the Dodd-Frank Act (the “Volcker Rule”). Generally, subject to certain exceptions, the Volcker Rule restricts banks from: (i) short-term proprietary trading as principal in securities and other financial instruments, and (ii) sponsoring or acquiring or retaining an ownership interest in private equity and hedge funds. The Volcker Rule prohibitions and restrictions generally apply to banking entities, including the Bank, unless an exception applies. Based on analysis of applicable regulations and the Bank’s investment activities, the Bank has determined that its current investment activities are not subject to the Volcker Rule restrictions.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Dodd-Frank Act also will have an impact on the Bank’s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9" w:name="page20"/>
    <w:bookmarkEnd w:id="19"/>
    <w:p>
      <w:pPr>
        <w:jc w:val="both"/>
        <w:spacing w:after="0" w:line="263" w:lineRule="auto"/>
        <w:rPr>
          <w:sz w:val="20"/>
          <w:szCs w:val="20"/>
          <w:color w:val="auto"/>
        </w:rPr>
      </w:pPr>
      <w:r>
        <w:rPr>
          <w:rFonts w:ascii="Arial" w:cs="Arial" w:eastAsia="Arial" w:hAnsi="Arial"/>
          <w:sz w:val="18"/>
          <w:szCs w:val="18"/>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changes in applicable laws and regulations, as well as the volume and complexity of the laws and regulations applicable to the Bank, may have a material adverse effect on the Bank.</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Any failure by the Bank to maintain effective internal control over financial reporting may adversely affect investor confidence and, as a result, the value of investments in our securities.</w:t>
      </w:r>
    </w:p>
    <w:p>
      <w:pPr>
        <w:spacing w:after="0" w:line="170"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 is required under the Sarbanes-Oxley Act of 2002 to furnish a report by the Bank’s management on the effectiveness of its internal control over financial reporting and to include a report by its independent auditors attesting to such effectiveness. Any failure by the Bank to maintain effective internal control over financial reporting could adversely affect its ability to report accurately its financial condition or results of operations. If the Bank is unable to conclude that its internal control over financial reporting is effective, or if its independent auditors determine that Bladex has a material weakness or significant deficiency in its internal control over financial reporting, the Bank could lose investor confidence in the accuracy and completeness of its financial reports, the market prices of its shares could decline, and could be subject to sanctions or investigations by the Securities and Exchange Commission (“SEC”) or other regulatory authorities. Failure to remedy any material weakness in its internal control over financial reporting, or to implement or maintain other effective control systems required of public companies subject to SEC regulation, also could restrict the Bank’s future access to the capital markets.</w:t>
      </w:r>
    </w:p>
    <w:p>
      <w:pPr>
        <w:spacing w:after="0" w:line="19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connection with the preparation of its consolidated financial statements, the Bank uses certain estimates and assumptions based on historical experience and other factors. While the Bank’s management believes that these estimates and assumptions are reasonable under the current circumstances, they are subject to significant uncertainties, some of which are beyond its control. Should any of these estimates and assumptions change or prove to have been incorrect, its reported operating results could be materially adversely affected.</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b w:val="1"/>
          <w:bCs w:val="1"/>
          <w:i w:val="1"/>
          <w:iCs w:val="1"/>
          <w:color w:val="auto"/>
        </w:rPr>
        <w:t>Reforms to and replacement of interbank offered rates (“IBORs”) and certain other rates or indices may adversely affect the Bank’s business, financial condition and results of operations.</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On July 27, 2017, the U.K. Financial Conduct Authority announced that it will no longer compel or persuade banks to contribute to LIBOR rate setting after 2021. Fundamental reform of significant interest rate benchmarks is being undertaken globally, including the replacement of interbank offered rates ("IBORs") with certain alternative reference rates (“ARRs”). Due to the nature of its business, the Bank’s portfolio is mainly constituted of short-term fixed rate assets and liabilities. However, the Bank has exposures to IBORs (USD LIBOR only) on its financial instruments that will be replaced or reformed as part of these market-wide initiatives. There is uncertainty over the timing and the methods of transition. The Bank anticipates that IBOR reform will impact its risk management and hedge accounting.</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0" w:name="page21"/>
    <w:bookmarkEnd w:id="20"/>
    <w:p>
      <w:pPr>
        <w:jc w:val="both"/>
        <w:spacing w:after="0" w:line="286" w:lineRule="auto"/>
        <w:rPr>
          <w:sz w:val="20"/>
          <w:szCs w:val="20"/>
          <w:color w:val="auto"/>
        </w:rPr>
      </w:pPr>
      <w:r>
        <w:rPr>
          <w:rFonts w:ascii="Arial" w:cs="Arial" w:eastAsia="Arial" w:hAnsi="Arial"/>
          <w:sz w:val="16"/>
          <w:szCs w:val="16"/>
          <w:color w:val="auto"/>
        </w:rPr>
        <w:t>Although LIBOR was planned to be discontinued by the end of 2021, consultations have finished and regulatory changes have been announced. Therefore, this means that certain LIBOR tenors will continue until June 30, 2023. It remains unclear what benchmark rate or rates may develop as accepted alternatives to LIBOR, or what the effect of any such changes may have on the markets for LIBOR-based financial instruments. Although certain ARRs have been proposed to replace LIBOR and other IBORs, market and client adoption of alternatives may vary across or within categories of contracts, products and services, resulting in market fragmentation, decreased trading volumes and liquidity, increased complexity and modeling and operational risks. ARRs have compositions and characteristics that differ significantly from the benchmarks they may replace, in some cases have limited history, and may demonstrate less predictable performance over time than the benchmarks they replace. Additionally, most ARRs are calculated on a compounded or weighted-average basis, involve complex billing and reconciliation and, unlike IBORs, do not reflect bank credit risk and therefore may require a spread adjustment. The market transition from IBORs to ARRs is complex and there are important differences between the fallbacks, triggers and calculation methodologies being implemented in cash and derivatives markets (including within cash markets). Any mismatch between the adoption of ARRs in loans, securities and derivatives markets may impact hedging or other financial arrangements the Bank has implemented, and as a result the Bank may experience unanticipated market exposures. There can be no assurance that ARRs will be comparable or adequate alternatives to IBORs or perform in the same way, that existing assets and liabilities based on or linked to IBORs will transition successfully to ARRs, of the timing of adoption and degree of integration and acceptance of ARRs in the financial markets, or of the future availability or representativeness of such ARRs.</w:t>
      </w:r>
    </w:p>
    <w:p>
      <w:pPr>
        <w:spacing w:after="0" w:line="171"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Furthermore, the discontinuation of IBORs, including LIBOR, requires the Bank to transition a significant number of IBOR-based products and contracts, including related hedging arrangements. The transitioning of certain contracts, products and clients will be more complex. Additionally, some outstanding IBOR products may be particularly challenging to modify due to requirements that all impacted parties consent to such modification. There is no guarantee that the Bank and other market participants will be able to successfully modify all outstanding IBOR-based products or be adequately prepared for a discontinuation of an IBOR at the time such IBOR may cease to be published or otherwise discontinued. Also, there can be no assurance that existing or new provisions for successor rates in the Bank’s IBOR-based products will include adequate methodologies for adjustments or that the characteristics of the successor rates will be similar to or produce the economic equivalent of the benchmarks they seek to replace. These changes may adversely affect the yield on loans or securities held by the Bank, amounts paid on securities the Bank has issued, amounts received and paid on derivatives the Bank has entered into, the value of such loans, securities or derivative instruments, the trading market for such products and contracts, and the Bank’s ability to effectively use hedging instruments to manage risk. Furthermore, there is no guarantee that liquidity in ARR-based products will develop, and it is possible that ARR-based products will perform differently to IBOR-based products during times of economic stress, adverse or volatile market conditions and across the credit and economic cycle, which may impact the value, return on and profitability of the Bank’s ARR-based assets. Certain impacted clients, counterparties and other market participants may refuse, delay, or lack operational readiness to transition to ARRs, resulting in the risk that some contracts and products may not transition to an ARR before discontinuation of the relevant IBOR, exposing the Bank to financial, operational, supervisory, conduct and legal risks.</w:t>
      </w:r>
    </w:p>
    <w:p>
      <w:pPr>
        <w:spacing w:after="0" w:line="171"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Bank’s products and contracts that reference IBORs, in particular LIBOR, may contain language that determines when a successor rate including the ARR and/or the applicable spread adjustment to the designated rate (including IBORs) would be selected or determined. If a trigger is satisfied, the Bank’s products and contracts may give the calculation agent (which may be Bladex) discretion over the successor rate to be selected. The Bank may face a risk of litigation, disputes or other actions from clients, counterparties, customers, investors or others regarding the interpretation or enforcement of IBOR-based contract provisions or if the Bank fails to appropriately communicate the effect that the transition to ARRs will have on existing and future products.</w:t>
      </w:r>
    </w:p>
    <w:p>
      <w:pPr>
        <w:spacing w:after="0" w:line="16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Failure to meet industry-wide IBOR transition milestones and to cease issuance of IBOR Products by relevant cessation dates may, subject to certain regulatory exceptions, result in supervisory enforcement by applicable regulators, increase our cost of, and access to, capital and other consequences. In addition, IBOR Products held by the Bank’s may become less liquid as the transition process develops, and other unforeseen consequences may arise if such products are held beyond relevant cessation dates.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1" w:name="page22"/>
    <w:bookmarkEnd w:id="21"/>
    <w:p>
      <w:pPr>
        <w:jc w:val="both"/>
        <w:spacing w:after="0" w:line="254" w:lineRule="auto"/>
        <w:rPr>
          <w:sz w:val="20"/>
          <w:szCs w:val="20"/>
          <w:color w:val="auto"/>
        </w:rPr>
      </w:pPr>
      <w:r>
        <w:rPr>
          <w:rFonts w:ascii="Arial" w:cs="Arial" w:eastAsia="Arial" w:hAnsi="Arial"/>
          <w:sz w:val="18"/>
          <w:szCs w:val="18"/>
          <w:color w:val="auto"/>
        </w:rPr>
        <w:t>Uncertainty as to the nature of potential changes, ARRs or other reforms may adversely affect market liquidity, the pricing of LIBOR-based instruments and the availability and cost of associated hedging instruments and borrowings. Payments under contracts referencing new reference rates may differ from those referencing LIBOR. The transition may change the Bank’s risk profile and require changes to its risk and pricing models, valuation tools, product design and hedging strategies. Although the Bank is unable to quantify the ultimate impact of the transition from LIBOR given the uncertain nature of the potential changes, it continues to monitor the developments related to the future of LIBOR in line with any regulatory or quasi-regulatory guidance. Moreover, the failure to manage any potential transition from LIBOR to a different reference rate, or rates, may adversely affect the Bank’s reputation, business and financial condition, and results of operations.</w:t>
      </w:r>
    </w:p>
    <w:p>
      <w:pPr>
        <w:spacing w:after="0" w:line="195"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The loss of senior management, or the Bank’s ability to attract and maintain key personnel, could have a material adverse effect on it.</w:t>
      </w:r>
    </w:p>
    <w:p>
      <w:pPr>
        <w:spacing w:after="0" w:line="237"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Bank’s ability to maintain its competitive position and implement its strategy depends on its senior management. The loss of some of the members of the Bank’s senior management, or the Bank’s inability to maintain and attract additional personnel, could have a material adverse effect on its operations and ability to implement its strategy. The Bank’s performance and success are largely dependent on the talents and efforts of highly skilled individuals. Talent attraction and retention is one of the key pillars for supporting the results of Bladex, which is focused on client satisfaction and sustainable performance. The Bank’s ability to attract, develop, motivate and retain the right number of appropriately qualified people is critical to its performance and ability to thrive throughout the Region. Concurrently, the Bank faces the challenge of providing a new experience to employees, so that the Bank is able to attract and retain highly-qualified professionals who value environments offering equal opportunities and who wish to build their careers in dynamic, cooperative workplaces, which encourage diversity and meritocracy and are up to date with new work models.</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performance could be adversely affected if it were unable to attract, retain and motivate key talent. As the Bank is highly dependent on the technical skills of its personnel, including successors to crucial leadership positions, as well as their relationships with clients, the loss of key components of the Bank’s workforce could make it difficult to compete, grow and manage the business. A loss of such expertise could have a material adverse effect on the Bank’s financial performance, future prospects and competitive position.</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Risks Relating to the Region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Bank’s credit activities are concentrated in the Region. The Bank also faces borrower concentration. Adverse economic developments in the Region or in the condition of the Bank’s largest borrowers could adversely affect the Bank’s growth, asset quality, prospects, profitability, financial condition and financial results.</w:t>
      </w:r>
    </w:p>
    <w:p>
      <w:pPr>
        <w:spacing w:after="0" w:line="184"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As a reflection of the Bank’s mission and strategy, the Bank’s credit and other activities are concentrated in the Region, and are therefore highly susceptible to macroeconomic factors throughout the Region, as well as in individual countries. Economies in the Region have historically experienced significant volatility evidenced, in some cases, by political uncertainty, including with respect to upcoming elections, slow economic growth or recessions, increases in unemployment and the resulting reduction in consumer purchasing power, declining investments, fluctuations in interest rates and the capital markets, government and private sector debt defaults and restructurings, and significant inflation and/or currency devaluation. Furthermore, since the outbreak of COVID-19 in December 2019, economies in the Region have faced, and continue to face, significant economic difficulties and uncertainties as a result of the spread of the virus and the effects of restrictive governmental measures to prevent its spread. See Item 3.D., “Key Information--Risk Factors—Risks Relating to the Bank’s Business--The effects of the COVID-19 pandemic have adversely affected, and are expected to continue to adversely affect, the Bank’s businesses and results of operations, and its duration and future impacts on the economy in the Region and on its businesses, results of operations and financial condition remain uncertain,” and Item 5.D., “Operating and Financial Review and Prospects—Trend Information.”</w:t>
      </w:r>
    </w:p>
    <w:p>
      <w:pPr>
        <w:spacing w:after="0" w:line="3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2" w:name="page23"/>
    <w:bookmarkEnd w:id="22"/>
    <w:p>
      <w:pPr>
        <w:jc w:val="both"/>
        <w:spacing w:after="0" w:line="272" w:lineRule="auto"/>
        <w:rPr>
          <w:sz w:val="20"/>
          <w:szCs w:val="20"/>
          <w:color w:val="auto"/>
        </w:rPr>
      </w:pPr>
      <w:r>
        <w:rPr>
          <w:rFonts w:ascii="Arial" w:cs="Arial" w:eastAsia="Arial" w:hAnsi="Arial"/>
          <w:sz w:val="17"/>
          <w:szCs w:val="17"/>
          <w:color w:val="auto"/>
        </w:rPr>
        <w:t>Global economic changes, including the effects of the ongoing COVID-19 pandemic, volatility in commodity prices, oil and energy prices, U.S. dollar interest rates and U.S. dollar exchange rates, and slower economic growth in industrialized countries, could have adverse effects on the economic condition of countries in the Region in which the Bank operates. In addition, country risk associated with certain of the most vulnerable countries in the Region, as well as risk associated with the Region as a whole, may deteriorate as a result of potentially disorderly sovereign debt restructurings in certain countries, including Argentina, Costa Rica and El Salvador. Adverse changes affecting the economies in the Region could have a significant adverse impact on the quality of the Bank’s credit exposures, including increased allowance for losses, debt restructurings and loan losses. In turn, these effects could also have an adverse impact on the Bank’s asset growth, asset quality, prospects, profitability and financial condition.</w:t>
      </w:r>
    </w:p>
    <w:p>
      <w:pPr>
        <w:spacing w:after="0" w:line="177"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Banks, including Bladex, that operate in countries considered to be emerging markets may be particularly susceptible to disruptions and reductions in the availability of credit or increases in financing costs, which may have a material adverse impact on their operations. In particular, the availability of credit to financial institutions operating in emerging markets is significantly influenced by an aversion to global risk. In addition, any factor impacting investors’ confidence, such as a downgrade in credit ratings of a particular country or an intervention by a government or monetary authority in any such markets, may affect the price or availability of resources for financial institutions in any of these markets, which may affect the Bank.</w:t>
      </w:r>
    </w:p>
    <w:p>
      <w:pPr>
        <w:spacing w:after="0" w:line="17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also faces borrower concentration, with its credit activities being in a number of countries. Adverse changes affecting one or more of these economies could have a material adverse impact on the Bank’s Credit Portfolio and, as a result, its financial condition, growth, prospects, results of operations and financial condition. As of December 31, 2020, 56% of the Bank’s Credit Portfolio was outstanding to borrowers in the following five countries: Brazil ($1,063 million, or 18%), Colombia ($795 million, or 13%), Mexico ($656 million, or 11%), Chile ($583 million, or 10%), and Peru ($347 million, or 6%).</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In addition, as of December 31, 2020, of the Bank’s total Credit Portfolio balances, 12% were to five borrowers in Brazil, 8% were to five borrowers in Colombia, 6% were to five borrowers in Chile, 5% were to five borrowers in Peru, and 4% were to five borrowers in Mexico. A significant deterioration of the financial or economic condition of any of these countries or borrowers could have a material adverse impact on the Bank’s Credit Portfolio, potentially requiring the Bank to create additional allowances for expected credit losses, or suffer credit losses with the effect accentuated because of this concentration.</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b w:val="1"/>
          <w:bCs w:val="1"/>
          <w:i w:val="1"/>
          <w:iCs w:val="1"/>
          <w:color w:val="auto"/>
        </w:rPr>
        <w:t>The Bank’s mission is focused on supporting trade and regional integration across the Region. As a result, any increases in tariffs or other restrictions on foreign trade, or resulting uncertainty that reduces international trade flows, either throughout the Region or globally, could adversely affect the Bank’s business, results of operations or share price.</w:t>
      </w:r>
    </w:p>
    <w:p>
      <w:pPr>
        <w:spacing w:after="0" w:line="184"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Bank’s mission is focused on supporting trade and regional integration across the Region, and a significant portion of the Bank’s operations is derived from financing trade related transactions. As a result, increases in tariffs, changes in political, regulatory and economic conditions in the U.S. or in the Region, or in policies governing infrastructure, trade and foreign investment in the U.S., or other restrictions on foreign trade throughout the Region or globally could adversely affect the Bank’s business and results of operations. For example, the former Trump administration in the U.S. had increasingly threatened to impose tariffs on a variety of imports from countries throughout the world, including the Region, and did impose certain tariffs on steel and aluminum. China has also imposed tariffs against certain American products. The U.S. and China agreed upon phase one of a trade agreement reducing protectionist measures by both countries. China may not have met certain commitments it made in phase one, which could negatively impact negotiations for a second phase of the agreement.</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3" w:name="page24"/>
    <w:bookmarkEnd w:id="23"/>
    <w:p>
      <w:pPr>
        <w:jc w:val="both"/>
        <w:spacing w:after="0" w:line="253" w:lineRule="auto"/>
        <w:rPr>
          <w:sz w:val="20"/>
          <w:szCs w:val="20"/>
          <w:color w:val="auto"/>
        </w:rPr>
      </w:pPr>
      <w:r>
        <w:rPr>
          <w:rFonts w:ascii="Arial" w:cs="Arial" w:eastAsia="Arial" w:hAnsi="Arial"/>
          <w:sz w:val="18"/>
          <w:szCs w:val="18"/>
          <w:color w:val="auto"/>
        </w:rPr>
        <w:t>Furthermore, on November 3, 2020, the United States held a presidential election in which Joseph R. Biden, Jr. was elected president of the United States. Mr. Biden was inaugurated on January 20, 2021. The full extent of Mr. Biden’s legislative agenda, the relationship between the executive and legislative powers and future U.S. policies with respect to matters of importance to the Region and its economy, particularly trade and migration, remain uncertain and will start to be developed in the coming months. There can be no assurance that the U.S. or China, or other countries, including those in the Region, will not move to implement further tariffs or restrictions on trade, or what the scope and effects of any such restrictions might be. Any such tariffs or restrictions, or uncertainty surrounding any future restrictions, could materially adversely affect international trade flows, which is a core sector underlying the Bank’s business model. Any such disruptions in international trade flows could materially and adversely affect the demand and pricing of the Bank’s trade related lending activities, and therefore have a material adverse effect on the Bank’s business, financial condition, results of operations and share price.</w:t>
      </w:r>
    </w:p>
    <w:p>
      <w:pPr>
        <w:spacing w:after="0" w:line="196"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United Kingdom (the “UK”) left the European Union (the “E.U.”) on January 31, 2020, which was a process commonly referred to as “Brexit”, and entered a transition period until December 31, 2020. During the transition period the UK continued to be bound by E.U. laws and regulations. The UK and the E.U. agreed to the Trade and Cooperation Agreement (the “TCA”) in December 2020, which covers topics such as tariffs and other barriers to trade, among other topics, but does not cover financial services regulation. There is uncertainty on what the future of financial services regulation (and certain other topics not adequately covered by the TCA) between the UK and the E.U. will be. This ongoing lack of certainty has led to uncertainty in international markets. As a result, global markets and currencies may be adversely impacted, including fluctuations in the value of the British pound as compared to the U.S. dollar. Any market disruptions, including, among others, disruptions in financial markets or international trade, as a result of Brexit or otherwise, could have an adverse effect on the Bank’s business, financial conditions and results of operations.</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b w:val="1"/>
          <w:bCs w:val="1"/>
          <w:i w:val="1"/>
          <w:iCs w:val="1"/>
          <w:color w:val="auto"/>
        </w:rPr>
        <w:t>Local country foreign exchange controls or currency devaluation, and rising inflation, may harm the Bank’s borrowers’ ability to pay U.S. dollar-denominated obligations.</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 Asset risks may rise for banks that lend to exporters or high value-added manufacturers, particularly in the automotive supplier and technology sectors in the Region. Any of these factors could harm the Bank’s borrowers’ ability to pay U.S. dollar-denominated obligations, which could adversely affect the Bank’s business and results of operations.</w:t>
      </w:r>
    </w:p>
    <w:p>
      <w:pPr>
        <w:spacing w:after="0" w:line="192"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A significant portion of the Bank’s Loan Portfolio consists of loans made to borrowers in the oil and gas and agribusiness sectors in the Region.</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in these sectors presents unique risks related to commodities pricing.</w:t>
      </w:r>
    </w:p>
    <w:p>
      <w:pPr>
        <w:spacing w:after="0" w:line="211"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As of December 31, 2020, $586 million, or 12% of the Bank’s Loan Portfolio was comprised of oil and gas related loans, and $337 million, or 7% of the Bank’s Loan Portfolio was comprised of agribusiness loans. Repayment of these loans depends substantially, in some cases, on producing, exploring and exporting and also marketing the oil and gas or other commodities. Most of these loans are unsecured and collateral securing some of these loans may be illiquid. In addition, the limited purpose of some agricultural-related collateral affects credit risk because such collateral may have limited or no other uses to support values when loan repayment problems emerge. Many external factors can impact the Bank’s borrowers’ ability to repay their loans, including commodity price volatility (i.e., oil and sugar prices), diseases such as COVID-19, war, adverse weather conditions, water issues, land values, production costs, changing government regulations and subsidy programs, changing tax treatment, technological changes, labor market shortages/increased wages, and changes in consumers’ preferences, over which the Bank’s borrowers may have no control. These factors, as well as volatility in certain commodity prices, including the price of oil, could adversely impact the ability of those to whom the Bank has made loans to perform under the terms of their borrowing arrangements with the Bank, which in turn could result in credit losses and adversely affect the Bank’s business, financial condition and results of operations.</w:t>
      </w:r>
    </w:p>
    <w:p>
      <w:pPr>
        <w:spacing w:after="0" w:line="39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4" w:name="page25"/>
    <w:bookmarkEnd w:id="24"/>
    <w:p>
      <w:pPr>
        <w:jc w:val="both"/>
        <w:spacing w:after="0" w:line="263" w:lineRule="auto"/>
        <w:rPr>
          <w:sz w:val="20"/>
          <w:szCs w:val="20"/>
          <w:color w:val="auto"/>
        </w:rPr>
      </w:pPr>
      <w:r>
        <w:rPr>
          <w:rFonts w:ascii="Arial" w:cs="Arial" w:eastAsia="Arial" w:hAnsi="Arial"/>
          <w:sz w:val="18"/>
          <w:szCs w:val="18"/>
          <w:b w:val="1"/>
          <w:bCs w:val="1"/>
          <w:i w:val="1"/>
          <w:iCs w:val="1"/>
          <w:color w:val="auto"/>
        </w:rPr>
        <w:t>A downgrade in the Bank’s credit ratings may adversely affect its funding costs, access to capital, access to loan and debt capital markets, liquidity and, as a result, its business and results of operations. Increased risk perception in countries in the Region where the Bank has large credit exposures could have an adverse impact on the Bank’s credit ratings.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Credit ratings represent the opinions of independent rating agencies regarding the Bank’s ability to repay its indebtedness, and affect the cost and other terms upon which it is able to obtain funding. Each of the rating agencies reviews its ratings and rating methodologies on a periodic basis and may decide on a grade change at any time, based on factors that affect the Bank’s financial strength, such as liquidity, capitalization, asset quality and profitability. Credit ratings are essential to the Bank’s capability to raise capital and funding through the issuance of debt, loan transactions, as well as to the cost of such financing.</w:t>
      </w:r>
    </w:p>
    <w:p>
      <w:pPr>
        <w:spacing w:after="0" w:line="188"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Among other factors, increased risk perception in any country where the Bank has large exposures could trigger downgrades to the Bank’s credit ratings. Such perception of increased risk could result from events which are beyond the Bank’s control, such as economic or political crises or the macroeconomic deterioration of certain key economic sectors due to the spread of COVID-19 or otherwise, among other factors. A credit rating downgrade would likely increase the Bank’s funding costs, and may create liquidity risk, reduce its deposit base and access to the lending and debt capital markets, trigger additional collateral or funding requirements or decrease the number of investors and counterparties willing or permitted, contractually or otherwise, to do business with or lend to the Bank. As a result, the Bank’s ability to obtain the necessary funding to carry on its financing activities in the Region at meaningful levels could be affected adversely, which could have a negative effect on its business and results of operations.</w:t>
      </w:r>
    </w:p>
    <w:p>
      <w:pPr>
        <w:spacing w:after="0" w:line="16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Information on the Company</w:t>
      </w:r>
    </w:p>
    <w:p>
      <w:pPr>
        <w:spacing w:after="0" w:line="225" w:lineRule="exact"/>
        <w:rPr>
          <w:sz w:val="20"/>
          <w:szCs w:val="20"/>
          <w:color w:val="auto"/>
        </w:rPr>
      </w:pPr>
    </w:p>
    <w:p>
      <w:pPr>
        <w:ind w:left="500" w:hanging="492"/>
        <w:spacing w:after="0"/>
        <w:tabs>
          <w:tab w:leader="none" w:pos="50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History and Development of the Company</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The Bank, a corporation </w:t>
      </w:r>
      <w:r>
        <w:rPr>
          <w:rFonts w:ascii="Arial" w:cs="Arial" w:eastAsia="Arial" w:hAnsi="Arial"/>
          <w:sz w:val="18"/>
          <w:szCs w:val="18"/>
          <w:i w:val="1"/>
          <w:iCs w:val="1"/>
          <w:color w:val="auto"/>
        </w:rPr>
        <w:t>(sociedad anónima)</w:t>
      </w:r>
      <w:r>
        <w:rPr>
          <w:rFonts w:ascii="Arial" w:cs="Arial" w:eastAsia="Arial" w:hAnsi="Arial"/>
          <w:sz w:val="18"/>
          <w:szCs w:val="18"/>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 America, Inc. The commercial name of the Bank is Bladex.</w:t>
      </w:r>
    </w:p>
    <w:p>
      <w:pPr>
        <w:spacing w:after="0" w:line="187"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the Bank was granted certain privileges by the Republic of Panama, including an exemption from payment of income taxes in Panama.</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5" w:name="page26"/>
    <w:bookmarkEnd w:id="25"/>
    <w:p>
      <w:pPr>
        <w:jc w:val="both"/>
        <w:ind w:right="20"/>
        <w:spacing w:after="0" w:line="263" w:lineRule="auto"/>
        <w:rPr>
          <w:sz w:val="20"/>
          <w:szCs w:val="20"/>
          <w:color w:val="auto"/>
        </w:rPr>
      </w:pPr>
      <w:r>
        <w:rPr>
          <w:rFonts w:ascii="Arial" w:cs="Arial" w:eastAsia="Arial" w:hAnsi="Arial"/>
          <w:sz w:val="18"/>
          <w:szCs w:val="18"/>
          <w:color w:val="auto"/>
        </w:rPr>
        <w:t>The Bank offers its services through its head office in Panama City, its agency in New York (the “New York Agency”), its subsidiaries in Brazil and Mexico, its representative offices in Buenos Aires, Argentina; Mexico City, Mexico; Sao Paulo, Brazil; and Bogotá, Colombia, and its representative license in Peru.</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head office is located at Torre V, Business Park, Avenida La Rotonda, Urb. Costa del Este, Panama City, Republic of Panama, and its telephone number is +507 210-8500.</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which began operations on March 27, 1989, is located at 10 Bank Street, Suite 1220, White Plains, NY 10606, and its telephone number is +1 (914) 328-6640. The New York Agency is principally engaged in financing transactions related to international trade, mainly the confirmation and financing of letters of credit for customers in the Region. The New York Agency is also authorized to book transactions through an International Banking Facility (“IBF”).</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Bladex’s shares of Class E common stock are listed on the New York Stock Exchange (“NYSE”) under the symbol “BLX.”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is a description of the Bank’s subsidiaries:</w:t>
      </w:r>
    </w:p>
    <w:p>
      <w:pPr>
        <w:spacing w:after="0" w:line="225" w:lineRule="exact"/>
        <w:rPr>
          <w:sz w:val="20"/>
          <w:szCs w:val="20"/>
          <w:color w:val="auto"/>
        </w:rPr>
      </w:pPr>
    </w:p>
    <w:p>
      <w:pPr>
        <w:ind w:left="660" w:hanging="328"/>
        <w:spacing w:after="0" w:line="277" w:lineRule="auto"/>
        <w:tabs>
          <w:tab w:leader="none" w:pos="660" w:val="left"/>
        </w:tabs>
        <w:numPr>
          <w:ilvl w:val="0"/>
          <w:numId w:val="20"/>
        </w:numPr>
        <w:rPr>
          <w:rFonts w:ascii="Arial" w:cs="Arial" w:eastAsia="Arial" w:hAnsi="Arial"/>
          <w:sz w:val="18"/>
          <w:szCs w:val="18"/>
          <w:color w:val="auto"/>
        </w:rPr>
      </w:pPr>
      <w:r>
        <w:rPr>
          <w:rFonts w:ascii="Arial" w:cs="Arial" w:eastAsia="Arial" w:hAnsi="Arial"/>
          <w:sz w:val="18"/>
          <w:szCs w:val="18"/>
          <w:color w:val="auto"/>
        </w:rPr>
        <w:t>Bladex Holdings Inc. (“Bladex Holdings”) is a wholly owned subsidiary, incorporated under the laws of the State of Delaware, United States, on May 30, 2000. Bladex Holdings maintains ownership in Bladex Representação Ltda.</w:t>
      </w:r>
    </w:p>
    <w:p>
      <w:pPr>
        <w:spacing w:after="0" w:line="170"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20"/>
        </w:numPr>
        <w:rPr>
          <w:rFonts w:ascii="Arial" w:cs="Arial" w:eastAsia="Arial" w:hAnsi="Arial"/>
          <w:sz w:val="18"/>
          <w:szCs w:val="18"/>
          <w:color w:val="auto"/>
        </w:rPr>
      </w:pPr>
      <w:r>
        <w:rPr>
          <w:rFonts w:ascii="Arial" w:cs="Arial" w:eastAsia="Arial" w:hAnsi="Arial"/>
          <w:sz w:val="18"/>
          <w:szCs w:val="18"/>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20"/>
        </w:numPr>
        <w:rPr>
          <w:rFonts w:ascii="Arial" w:cs="Arial" w:eastAsia="Arial" w:hAnsi="Arial"/>
          <w:sz w:val="18"/>
          <w:szCs w:val="18"/>
          <w:color w:val="auto"/>
        </w:rPr>
      </w:pPr>
      <w:r>
        <w:rPr>
          <w:rFonts w:ascii="Arial" w:cs="Arial" w:eastAsia="Arial" w:hAnsi="Arial"/>
          <w:sz w:val="18"/>
          <w:szCs w:val="18"/>
          <w:color w:val="auto"/>
        </w:rPr>
        <w:t>Bladex Development Corp. (“Bladex Development”) was incorporated under the laws of the Republic of Panama on June 5, 2014. Bladex Head Office owns 100% of Bladex Development.</w:t>
      </w:r>
    </w:p>
    <w:p>
      <w:pPr>
        <w:spacing w:after="0" w:line="170"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20"/>
        </w:numPr>
        <w:rPr>
          <w:rFonts w:ascii="Arial" w:cs="Arial" w:eastAsia="Arial" w:hAnsi="Arial"/>
          <w:sz w:val="18"/>
          <w:szCs w:val="18"/>
          <w:color w:val="auto"/>
        </w:rPr>
      </w:pPr>
      <w:r>
        <w:rPr>
          <w:rFonts w:ascii="Arial" w:cs="Arial" w:eastAsia="Arial" w:hAnsi="Arial"/>
          <w:sz w:val="18"/>
          <w:szCs w:val="18"/>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84"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SEC maintains an internet site that contains reports, proxy and information statements, and other information regarding issuers that file electronically with the SEC at http://www.sec.gov. Information is also available on the Bank’s website at: http://www.bladex.com</w:t>
      </w:r>
    </w:p>
    <w:p>
      <w:pPr>
        <w:spacing w:after="0" w:line="166" w:lineRule="exact"/>
        <w:rPr>
          <w:sz w:val="20"/>
          <w:szCs w:val="20"/>
          <w:color w:val="auto"/>
        </w:rPr>
      </w:pPr>
    </w:p>
    <w:p>
      <w:pPr>
        <w:ind w:left="480" w:hanging="472"/>
        <w:spacing w:after="0"/>
        <w:tabs>
          <w:tab w:leader="none" w:pos="48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Overview</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Overview</w:t>
      </w:r>
    </w:p>
    <w:p>
      <w:pPr>
        <w:spacing w:after="0" w:line="225"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Bank’s mission is to provide financial solutions of excellence to financial institutions, companies and investors doing business in Latin America, supporting trade and regional integration across the Region.</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26" w:name="page27"/>
    <w:bookmarkEnd w:id="26"/>
    <w:p>
      <w:pPr>
        <w:jc w:val="both"/>
        <w:spacing w:after="0" w:line="271" w:lineRule="auto"/>
        <w:rPr>
          <w:sz w:val="20"/>
          <w:szCs w:val="20"/>
          <w:color w:val="auto"/>
        </w:rPr>
      </w:pPr>
      <w:r>
        <w:rPr>
          <w:rFonts w:ascii="Arial" w:cs="Arial" w:eastAsia="Arial" w:hAnsi="Arial"/>
          <w:sz w:val="17"/>
          <w:szCs w:val="17"/>
          <w:color w:val="auto"/>
        </w:rPr>
        <w:t>As a multinational bank operating in 23 countries with a strong and historic commitment to Latin America, the Bank possesses extensive knowledge of business practices, risk and regulatory environments, accumulated over forty years of doing business throughout the entire Region. Bladex provides foreign trade solutions to a select client base of premier Latin-American financial institutions and corporations, and has developed an extensive network of correspondent banking institutions with access to the international capital markets. Bladex enjoys a preferred creditor status in many jurisdictions, being recognized by its strong capitalization, prudent risk management and sound corporate governance standards. Bladex fosters long-term relationships with clients, and it has developed over the years a reputation for excellence when responding to its clients’ needs, in addition to having a solid financial track record, which has reinforced its brand recognition and its franchise value in the Region, and contributes to the Bank achieving its vision of being recognized as a leading institution in supporting trade and regional integration across Latin America.</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Bladex participates in the financial and capital markets throughout the Region, through two business segments.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generating activities developed to cater to corporations, financial institutions and investors in Latin America. The array of products and services include the origination of bilateral short-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The majority of the Bank’s short-term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92"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Bank’s investment management activities, consisting of securities at FVOCI and securities at amortized cost. The Treasury Business Segment also manages the Bank’s interest-bearing liabilities, which constitute its funding sources and which consist mainly of deposits, short- and long-term borrowings and debt.</w:t>
      </w:r>
    </w:p>
    <w:p>
      <w:pPr>
        <w:spacing w:after="0" w:line="178"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Historically, trade finance has been afforded favorable treatment in the context of debt restructurings of Latin American borrowers.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participations, it cannot guarantee that such exceptions will be granted in future debt restructurings.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2020, the Bank had 52 employees, or 29% of its total employees, across its offices responsible for marketing the Bank’s financial products and services to existing and potential new customers.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i w:val="1"/>
          <w:iCs w:val="1"/>
          <w:color w:val="auto"/>
        </w:rPr>
        <w:t>Recent Developments during 2020</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2020, Latin American economies faced significant shocks and an environment of great uncertainty. This was primarily due to the effects generated by the COVID-19 pandemic and measures implemented to contain its spread throughout the several countries in the Region. Faced with an adverse and volatile environment, economic activity, inflation and financial conditions in the Region were significantly affected.</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global economic impact of COVID-19 was very difficult to predict, as its shockwaves simultaneously impacted both supply (affecting production processes) and demand (suspension of investment and consumption decisions, and a further deterioration of confidence), in each case in a Latin American Region that had already been exhibiting weak economic performance.</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Early lockdowns affected economies in historic proportions. The greatest economic impact resulted from the closure of borders, containment measures, breakdown of the global supply chain, cancellation of investments and a slowdown in consumption.</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Similarly, the crisis triggered a considerable contraction in international trade, strong fluctuations in the prices of primary goods, and high volatility in financial markets.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lockdown measures adopted in the vast majority of countries around the world to contain the spread of the pandemic have gravely hurt tourism and tourism-related activities, such as commercial aviation and hospitality services (restaurants and hotels).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world economy entered a strong recession in 2020, registering a 3.3% decrease in world output, according to International Monetary Fund (“IMF”) estimates, which was the largest contraction in world production since 1946. This significant decrease was due to a general decline in economic activity in both developed and emerging economies.</w:t>
      </w:r>
    </w:p>
    <w:p>
      <w:pPr>
        <w:spacing w:after="0" w:line="184" w:lineRule="exact"/>
        <w:rPr>
          <w:sz w:val="20"/>
          <w:szCs w:val="20"/>
          <w:color w:val="auto"/>
        </w:rPr>
      </w:pPr>
    </w:p>
    <w:p>
      <w:pPr>
        <w:jc w:val="both"/>
        <w:ind w:right="20"/>
        <w:spacing w:after="0" w:line="259" w:lineRule="auto"/>
        <w:rPr>
          <w:sz w:val="20"/>
          <w:szCs w:val="20"/>
          <w:color w:val="auto"/>
        </w:rPr>
      </w:pPr>
      <w:r>
        <w:rPr>
          <w:rFonts w:ascii="Arial" w:cs="Arial" w:eastAsia="Arial" w:hAnsi="Arial"/>
          <w:sz w:val="18"/>
          <w:szCs w:val="18"/>
          <w:color w:val="auto"/>
        </w:rPr>
        <w:t>Regarding the main trade partners of Latin America, the U.S. entered into a recession in 2020, with negative growth of 3.5%; China, on the other hand, recorded growth of 2.3%, in each case according to IMF estimates. As a result of the COVID-19 pandemic, of the main global economies, China is expected to be the only one that grew at a positive rate in 2020. However, while China did avoid a recession, its rate of growth in 2020 represented the largest growth slowdown in 40 years.</w:t>
      </w:r>
    </w:p>
    <w:p>
      <w:pPr>
        <w:spacing w:after="0" w:line="18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 order to confront the effects of the pandemic, both developed and emerging economies implemented unprecedented fiscal and monetary policies, including almost $13 trillion dollars in fiscal actions and approximately $8.5 trillion dollars in announcements of monetary measures, as described in the IMF’s 2020 annual report. These efforts have helped alleviate the situation, softening the impacts of the drop in economic activity, but also producing high levels of liquidity which have underpinned a rise in global debt, as well as a significant decrease in financial volatility, while also contributing to lower profitability and an increase in risk appetite in financial markets. This situation exacerbated a greater disconnect between financial dynamics and the real economy.</w:t>
      </w:r>
    </w:p>
    <w:p>
      <w:pPr>
        <w:spacing w:after="0" w:line="192"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For Latin America, the IMF has estimated a GDP contraction of -7.0% in 2020, well below the growth of 1.8% estimated at the beginning of 2020 and representing Latin America’s worst regional performance since the great depression of the 1930s. In this sense, the main economies of the Region fell into recession: Brazil (-4.1%), Mexico (-8.2%), Argentina (-10.0%), Chile (-5.8%), Peru (-11.1 %) and Colombia (-6.8%). These contractions are explained both by the significant decrease in domestic demand in each of its components and by the lower external demand.</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It is worth highlighting that the COVID-19 pandemic has manifested itself in a non-uniform way. Factors such as each country’s ability to react to the health emergency in the short term and to adopt policies to provide aid to the most impacted sectors have largely accounted for the dynamics of economic activity over the year. The severity of the economic shutdown and the economic performance of each country prior to the pandemic have also differed across countries.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 w:name="page29"/>
    <w:bookmarkEnd w:id="28"/>
    <w:p>
      <w:pPr>
        <w:jc w:val="both"/>
        <w:spacing w:after="0" w:line="308" w:lineRule="auto"/>
        <w:rPr>
          <w:sz w:val="20"/>
          <w:szCs w:val="20"/>
          <w:color w:val="auto"/>
        </w:rPr>
      </w:pPr>
      <w:r>
        <w:rPr>
          <w:rFonts w:ascii="Arial" w:cs="Arial" w:eastAsia="Arial" w:hAnsi="Arial"/>
          <w:sz w:val="17"/>
          <w:szCs w:val="17"/>
          <w:color w:val="auto"/>
        </w:rPr>
        <w:t>Structural factors, such as the degree of integration into international trade and global value chains, the productive structure, demographic factors and the sophistication of labor markets, have also been crucial in assessing the extent to which economies have been affected in the current crisis.</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Likewise, foreign trade in the Region registered a reduction of 12.0% in 2020 according to The Economist Inteligence Unit. This substantial reduction was the result of decreases in commodity prices, lower export volumes due to diminished external demand, and the contraction of imports caused by quarantines and similar measures and slow internal economic activity.</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With respect to economic policies, fiscal policy became the most important tool for the countries of the Region, with several countries putting in place important packages of fiscal measures to mitigate the social and economic effects of the pandemic crisis. Central banks of the Region have also implemented measures to support aggregate demand and preserve financial stability, leading to a significant expansion of liquidity, as well as an increase in financing directed at specific sectors of the economies.</w:t>
      </w:r>
    </w:p>
    <w:p>
      <w:pPr>
        <w:spacing w:after="0" w:line="18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Faced with the complex global situation driven by the health crisis and the persistence of negative product gaps in the Region, governments had to find a balance in their economic policies between promoting growth and restoring their ability to continue to make tactical economic policy adjustments. Fiscal policy was mainly aimed at cushioning the negative effects of the pandemic as a priority in all countries in the Region. Monetary policy continued to support growth, as inflation expectations remained stable and well anchored. However, structural reforms that seek to promote greater openness to trade and investment, stimulate competitiveness, and address overly strict regulations in the labor market, continue to remainkey tasks on the Latin American and Caribbean agenda.</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Potential growth continues to be impaired by lingering structural problems, including high public debt, weaker financial systems, high unemployment rates, and vulnerability to commodity and climate-related shocks. Some countries have begun to strengthen their fiscal positions, but further tightening is warranted in others to ensure debt sustainability.</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Within this economic context, 2020 proved to be a very challenging year for markets in which Bladex operates. Nevertheless, Bladex’s unique business model – characterized by its short-term trade nature and high-quality borrower base – proved to be a fundamental and differentiating advantage throughout the COVID-19 pandemic, allowing the Bank to strengthen sound asset quality, capitalization and liquidity levels.</w:t>
      </w:r>
    </w:p>
    <w:p>
      <w:pPr>
        <w:spacing w:after="0" w:line="16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soon as the effects of the COVID-19 pandemic started to unfold, Bladex was able to significantly increase its cash position, continuously maintaining levels well above regulatory liquidity requirements based on Basel III standards, supported by broad access to debt capital markets evidenced by its third bond issued in the Rule 144A/Regulation S market and the continued support of deposits from our Class A shareholders. The Bank assumed a defensive approach which prioritized liquidity management, underwriting credit soundness – working closely with and attenting to the needs of its client base under tighter credit underwriting standards – and risk/reward targets for each transaction, over portfolio growth that resulted in a year-over-year decrease but well-diversified, high quality Credit Portfolio.</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Strategies for 2021 and Subsequent Years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Resume business growth under improved economic environment</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 plans to continue to recuperate its pre-COVID-19 portfolio balances, focusing on lending to its top-tier client base of banks and corporations throughout the Latin American Region, favoring defensive sectors and taking advantage of business opportunities emerging from economic recovery, the positive commodity cycle and an increasing trend in trade flows expected for 2021. Prudent liquidity management will continue to be a priority, although the Bank expects to return to historical levels as market volatility has subdued, supported by its ample and diversified funding sources.</w:t>
      </w: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9" w:name="page30"/>
    <w:bookmarkEnd w:id="29"/>
    <w:p>
      <w:pPr>
        <w:jc w:val="both"/>
        <w:spacing w:after="0" w:line="255" w:lineRule="auto"/>
        <w:rPr>
          <w:sz w:val="20"/>
          <w:szCs w:val="20"/>
          <w:color w:val="auto"/>
        </w:rPr>
      </w:pPr>
      <w:r>
        <w:rPr>
          <w:rFonts w:ascii="Arial" w:cs="Arial" w:eastAsia="Arial" w:hAnsi="Arial"/>
          <w:sz w:val="18"/>
          <w:szCs w:val="18"/>
          <w:color w:val="auto"/>
        </w:rPr>
        <w:t>Since the World Health Organization declared a global pandemic on March 11, 2020, Bladex activated its Business Continuity Plan, which remains in place as of the date of this annual report, including work-from-home policies for employees. The Bank has remotely operated and processed transactions uninterruptedly, without compromising its standards and quality of service. It has also reinforced and implemented cybersecurity measures and controls, which are continuosly monitored both by its information security and technology personnel and by an outsourced security operation center (SOC). The Bank plans to gradually return to its normal operating environment, in all cases prioritizing the health and safety of its employees, as the rollout of vaccines accelerates in the countries where the Bank maintains offices.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Streamline the Bank’s operating model for greater efficiency</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aims to continue improving efficiency and productivity throughout its organization, with representative offices concentrating primarily on origination and client relationship management.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Further grow the Bank’s business in politically and economically stable, high-growth markets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expertise in risk and capital management and extensive knowledge of the Region allows it to identify and strategically focus on stable and growth-oriented markets, including investment-grade countries in the Region. Bladex maintains strategically located representative offices in order to provide focused products and services in markets that the Bank considers key to its continued growth.</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Targeted growth in expanding and diversifying the Bank’s country and industry exposure</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Bank’s strategy is to participate in activities associated with trade and the trade supply chain, as well as integration across Latin American, targeting clients that offer the potential for longstanding relationships and a wider presence in the Region, such as financial institutions, corporations, sovereigns and state-owned entities. The Bank seeks to achieve this through participation in bilateral and co-financed transactions and by strengthening the short- and medium-term trade and non-trade financing that it provides. The Bank intends to continue enhancing existing client relationships and establish new client-relationships through its Region-wide expertise, product knowledge, quality of service, agile decision-making process and client approach, and by strategically targeting industries and participants in the value chain of international trade by country within the Region.</w:t>
      </w:r>
    </w:p>
    <w:p>
      <w:pPr>
        <w:spacing w:after="0" w:line="164"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Bank plans to continue targeting clients across a diversified range of industry sectors, and will seek to limit the concentration of any single corporate industry sector to a maximum of 10% of its total Loan Portfolio. The Bank plans to continue to focus on strategic sectors in international trade.</w:t>
      </w:r>
    </w:p>
    <w:p>
      <w:pPr>
        <w:spacing w:after="0" w:line="12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plans to focus its future efforts on growing its business with a larger number of corporate clients along the trade value chain, which management believes will reinforce the Bank’s business model, enhance origination capacity and all the Bank to deploy capital most effectively. The Bank also intends to continue diversifying its credit risk profile, in order to continue to mitigate the impact of potential losses, should they occur.</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Increase the range of products and services offered to clients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6"/>
          <w:szCs w:val="16"/>
          <w:color w:val="auto"/>
        </w:rPr>
        <w:t>As a result of the Bank’s relationships throughout the Region, management believes it is well positioned to strategically identify key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that complement the Bank’s expertise in foreign trade finance and risk management, such as:</w:t>
      </w:r>
    </w:p>
    <w:p>
      <w:pPr>
        <w:spacing w:after="0" w:line="1" w:lineRule="exact"/>
        <w:rPr>
          <w:sz w:val="20"/>
          <w:szCs w:val="20"/>
          <w:color w:val="auto"/>
        </w:rPr>
      </w:pPr>
    </w:p>
    <w:p>
      <w:pPr>
        <w:ind w:firstLine="8"/>
        <w:spacing w:after="0" w:line="260" w:lineRule="auto"/>
        <w:tabs>
          <w:tab w:leader="none" w:pos="163" w:val="left"/>
        </w:tabs>
        <w:numPr>
          <w:ilvl w:val="0"/>
          <w:numId w:val="22"/>
        </w:numPr>
        <w:rPr>
          <w:rFonts w:ascii="Arial" w:cs="Arial" w:eastAsia="Arial" w:hAnsi="Arial"/>
          <w:sz w:val="18"/>
          <w:szCs w:val="18"/>
          <w:color w:val="auto"/>
        </w:rPr>
      </w:pPr>
      <w:r>
        <w:rPr>
          <w:rFonts w:ascii="Arial" w:cs="Arial" w:eastAsia="Arial" w:hAnsi="Arial"/>
          <w:sz w:val="18"/>
          <w:szCs w:val="18"/>
          <w:color w:val="auto"/>
        </w:rPr>
        <w:t>financing acquisitions from the Bank’s structuring and syndication business desk, as well as liability management transactions, ii) letters of credit client base diversification, and iii) vendor finance with a focus on supply chain finance through electronic platforms.</w:t>
      </w: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i w:val="1"/>
          <w:iCs w:val="1"/>
          <w:color w:val="auto"/>
        </w:rPr>
        <w:t>Lending Policies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 extends credit directly to financial institutions and corporations within the Region. The Bank finances import and export transactions for all types of goods and products, with the exception of certain restricted items such as weapons, ammunition, military equipment and hallucinogenic drugs or narcotics not utilized for medical purposes. Imports and exports financed by the Bank are destined for buyers and 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Country Credit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Bladex has a methodology for capital allocation by country and its risk weights for assets. The Risk Policy and Assessment Committee (the “CPER”, for its acronym in Spanish)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18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amount of capital allocated to a transaction is based on customer type (sovereign, state-owned or private corporations,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equity.</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Borrower Lending Limits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Loan pricing is determined in accordance with prevailing market conditions and the borrower’s creditworthiness.</w:t>
      </w:r>
    </w:p>
    <w:p>
      <w:pPr>
        <w:spacing w:after="0" w:line="187"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Depending on the proposed amount, lines of credit are approved by different credit committees. The Bank’s management credit committee has authority to approve credit lines up to $30 million, under the allowed terms and conditions approved for each country by the Board credit committees. Credit lines exceeding that amount and/or conditions, must be approved by other credit committees, which are composed of certain members of the Board. All credit lines must fully comply with the Legal Lending Limit established by the Panamanian Regulator.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borrower and borrower group, in the case of corporate and sovereign entities. As of December 31, 2020, the Bank’s legal lending limit prescribed by Panamanian law for corporations and sovereign borrowers amounted to $262 million, and for financial institutions and financial groups amounted to $314 million. Panamanian law also sets lending limits for related party transactions, which are described in more detail in the section “Supervision and Regulation–Panamanian Law.”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As of December 31, 2020, the Bank was in compliance with regulatory legal lending limits.</w:t>
      </w:r>
    </w:p>
    <w:p>
      <w:pPr>
        <w:spacing w:after="0" w:line="3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1" w:name="page32"/>
    <w:bookmarkEnd w:id="31"/>
    <w:p>
      <w:pPr>
        <w:spacing w:after="0"/>
        <w:rPr>
          <w:sz w:val="20"/>
          <w:szCs w:val="20"/>
          <w:color w:val="auto"/>
        </w:rPr>
      </w:pPr>
      <w:r>
        <w:rPr>
          <w:rFonts w:ascii="Arial" w:cs="Arial" w:eastAsia="Arial" w:hAnsi="Arial"/>
          <w:sz w:val="18"/>
          <w:szCs w:val="18"/>
          <w:b w:val="1"/>
          <w:bCs w:val="1"/>
          <w:i w:val="1"/>
          <w:iCs w:val="1"/>
          <w:color w:val="auto"/>
        </w:rPr>
        <w:t>Credit Portfolio</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Credit Portfolio consists of the Commercial Portfolio and the Investment Portfolio. The Bank’s Commercial Portfolio includes: (i) gross loans at amortized cost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Investment Portfolio consists of securities at FVOCI and securities at amortized cost, gross of interest receivable and the allowance for expected credit losses.</w:t>
      </w:r>
    </w:p>
    <w:p>
      <w:pPr>
        <w:spacing w:after="0" w:line="18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As of December 31, 2020, the Credit Portfolio amounted to $5,946 million, compared to $6,582 million as of December 31, 2019 and $6,397 million as of December 31, 2018. The $636 million, or 10% decrease during 2020 compared to 2019 was largely attributable to the Bank’s defensive approach to favor liquidity over loan growth during most of 2020 as part of the prudential measures implemented by management since the onset of the COVID-19 pandemic.</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Commercial Portfolio</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Commercial Portfolio amounted to $5,551 million as of December 31, 2020, compared to $6,502 million as of December 31, 2019, and $6,290 million as of December 31, 2018. The $951 million, or 15% decrease during 2020 reflects prudential measures implemented by the Bank’s management since the onset of the COVID-19 pandemic, favoring liquidity, emphasizing sectors which management considers defensive in the current economic context (such as oil &amp; gas (downstream), electric power and food and beverage) and stricter credit underwriting standards.</w:t>
      </w:r>
    </w:p>
    <w:p>
      <w:pPr>
        <w:spacing w:after="0" w:line="17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75% of the Bank’s Commercial Portfolio remaining-term profile was scheduled to mature within one year, compared to 73% as of December 31, 2019 and 74% as of December 31, 2018, which reflects higher short term lending origination throughout 2020. As of those same dates, trade-related finance transactions represented 43%, 40% and 45%, respectively, of the Bank’s Commercial Portfolio, while trade-related finance transactions represented 57%, 53% and 59%, respectively, of the Bank’s short-term origination, both of which reflect the Bank’s increasing focus on, and exposure to, financial institutions in recent years.</w:t>
      </w:r>
    </w:p>
    <w:p>
      <w:pPr>
        <w:spacing w:after="0" w:line="188"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As of December 31, 2020, the Commercial Portfolio’s exposure remained diversified across regions and industry sectors, with 54% of the total Commercial Portfolio representing the Bank’s traditional client base of financial institutions and 46% of the total Commercial Portfolio represented by corporations, of which 34% and 54% of such percentages were trade-related financing, respectively. In addition, the Commercial Portfolio continued to be well diversified across corporate sectors, with industry concentration levels of 5% of the total Commercial Portfolio or lower as of December 31, 2020, except for certain sectors that the Bank considers to be defensive in the current economic context, such as oil &amp; gas (downstream) at 7%, and electric power and food and beverage, each at 6% of the Commercial Portfolio as of December 31, 2020. Geographically, 59% of the portfolio remained geographically distributed in investment grade countries as of December 31, 2020, up 5 percent points from December 31, 2019, as the Bank weighted during the year its portfolio towards lower-risk countries, taking advantage of good risk/return opportunities. On a country-risk basis, Brazil represented the largest country-risk exposure at 18% of the total Commercial Portfolio, of which 91% were with financial institutions. Other relevant country-risk exposures were to investment grade countries such as Colombia at 14%, Mexico at 11%, Chile at 10%, and top-rated countries outside of Latin America (which relates to transactions carried out in Latin America) at 9% of the total portfolio. The Bank also continued adjusting its exposure towards lower-risk countries, evidenced by a 103% increase year-over-year in Peru, now representing 6% of total Commercial Portfolio, while continuing to decrease exposure in Argentina, down 42% year-over-year, now representing 2% of the total Commercial Portfolio.</w:t>
      </w: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2" w:name="page33"/>
    <w:bookmarkEnd w:id="32"/>
    <w:p>
      <w:pPr>
        <w:spacing w:after="0"/>
        <w:rPr>
          <w:sz w:val="20"/>
          <w:szCs w:val="20"/>
          <w:color w:val="auto"/>
        </w:rPr>
      </w:pPr>
      <w:r>
        <w:rPr>
          <w:rFonts w:ascii="Arial" w:cs="Arial" w:eastAsia="Arial" w:hAnsi="Arial"/>
          <w:sz w:val="18"/>
          <w:szCs w:val="18"/>
          <w:color w:val="auto"/>
        </w:rPr>
        <w:t>The following table sets forth the distribution of the Bank’s Commercial Portfolio, by product category, as of December 31 of each year:</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1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60" w:type="dxa"/>
            <w:vAlign w:val="bottom"/>
            <w:tcBorders>
              <w:bottom w:val="single" w:sz="8" w:color="auto"/>
            </w:tcBorders>
            <w:gridSpan w:val="4"/>
          </w:tcPr>
          <w:p>
            <w:pPr>
              <w:ind w:left="140"/>
              <w:spacing w:after="0"/>
              <w:rPr>
                <w:sz w:val="20"/>
                <w:szCs w:val="20"/>
                <w:color w:val="auto"/>
              </w:rPr>
            </w:pPr>
            <w:r>
              <w:rPr>
                <w:rFonts w:ascii="Arial" w:cs="Arial" w:eastAsia="Arial" w:hAnsi="Arial"/>
                <w:sz w:val="14"/>
                <w:szCs w:val="14"/>
                <w:b w:val="1"/>
                <w:bCs w:val="1"/>
                <w:color w:val="auto"/>
              </w:rPr>
              <w:t>As of December 31,</w:t>
            </w: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42"/>
        </w:trPr>
        <w:tc>
          <w:tcPr>
            <w:tcW w:w="31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jc w:val="right"/>
              <w:ind w:right="88"/>
              <w:spacing w:after="0" w:line="142" w:lineRule="exact"/>
              <w:rPr>
                <w:sz w:val="20"/>
                <w:szCs w:val="20"/>
                <w:color w:val="auto"/>
              </w:rPr>
            </w:pPr>
            <w:r>
              <w:rPr>
                <w:rFonts w:ascii="Arial" w:cs="Arial" w:eastAsia="Arial" w:hAnsi="Arial"/>
                <w:sz w:val="14"/>
                <w:szCs w:val="14"/>
                <w:b w:val="1"/>
                <w:bCs w:val="1"/>
                <w:color w:val="auto"/>
              </w:rPr>
              <w:t>2020</w:t>
            </w:r>
          </w:p>
        </w:tc>
        <w:tc>
          <w:tcPr>
            <w:tcW w:w="160" w:type="dxa"/>
            <w:vAlign w:val="bottom"/>
          </w:tcPr>
          <w:p>
            <w:pPr>
              <w:spacing w:after="0"/>
              <w:rPr>
                <w:sz w:val="12"/>
                <w:szCs w:val="12"/>
                <w:color w:val="auto"/>
              </w:rPr>
            </w:pPr>
          </w:p>
        </w:tc>
        <w:tc>
          <w:tcPr>
            <w:tcW w:w="620" w:type="dxa"/>
            <w:vAlign w:val="bottom"/>
            <w:tcBorders>
              <w:bottom w:val="single" w:sz="8" w:color="auto"/>
            </w:tcBorders>
          </w:tcPr>
          <w:p>
            <w:pPr>
              <w:jc w:val="right"/>
              <w:ind w:right="168"/>
              <w:spacing w:after="0" w:line="142" w:lineRule="exact"/>
              <w:rPr>
                <w:sz w:val="20"/>
                <w:szCs w:val="20"/>
                <w:color w:val="auto"/>
              </w:rPr>
            </w:pPr>
            <w:r>
              <w:rPr>
                <w:rFonts w:ascii="Arial" w:cs="Arial" w:eastAsia="Arial" w:hAnsi="Arial"/>
                <w:sz w:val="14"/>
                <w:szCs w:val="14"/>
                <w:b w:val="1"/>
                <w:bCs w:val="1"/>
                <w:color w:val="auto"/>
              </w:rPr>
              <w:t>%</w:t>
            </w:r>
          </w:p>
        </w:tc>
        <w:tc>
          <w:tcPr>
            <w:tcW w:w="16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jc w:val="right"/>
              <w:ind w:right="108"/>
              <w:spacing w:after="0" w:line="142" w:lineRule="exact"/>
              <w:rPr>
                <w:sz w:val="20"/>
                <w:szCs w:val="20"/>
                <w:color w:val="auto"/>
              </w:rPr>
            </w:pPr>
            <w:r>
              <w:rPr>
                <w:rFonts w:ascii="Arial" w:cs="Arial" w:eastAsia="Arial" w:hAnsi="Arial"/>
                <w:sz w:val="14"/>
                <w:szCs w:val="14"/>
                <w:b w:val="1"/>
                <w:bCs w:val="1"/>
                <w:color w:val="auto"/>
              </w:rPr>
              <w:t>2019</w:t>
            </w:r>
          </w:p>
        </w:tc>
        <w:tc>
          <w:tcPr>
            <w:tcW w:w="160" w:type="dxa"/>
            <w:vAlign w:val="bottom"/>
          </w:tcPr>
          <w:p>
            <w:pPr>
              <w:spacing w:after="0"/>
              <w:rPr>
                <w:sz w:val="12"/>
                <w:szCs w:val="12"/>
                <w:color w:val="auto"/>
              </w:rPr>
            </w:pPr>
          </w:p>
        </w:tc>
        <w:tc>
          <w:tcPr>
            <w:tcW w:w="620" w:type="dxa"/>
            <w:vAlign w:val="bottom"/>
            <w:tcBorders>
              <w:bottom w:val="single" w:sz="8" w:color="auto"/>
            </w:tcBorders>
          </w:tcPr>
          <w:p>
            <w:pPr>
              <w:jc w:val="right"/>
              <w:ind w:right="168"/>
              <w:spacing w:after="0" w:line="142" w:lineRule="exact"/>
              <w:rPr>
                <w:sz w:val="20"/>
                <w:szCs w:val="20"/>
                <w:color w:val="auto"/>
              </w:rPr>
            </w:pPr>
            <w:r>
              <w:rPr>
                <w:rFonts w:ascii="Arial" w:cs="Arial" w:eastAsia="Arial" w:hAnsi="Arial"/>
                <w:sz w:val="14"/>
                <w:szCs w:val="14"/>
                <w:b w:val="1"/>
                <w:bCs w:val="1"/>
                <w:color w:val="auto"/>
              </w:rPr>
              <w:t>%</w:t>
            </w:r>
          </w:p>
        </w:tc>
        <w:tc>
          <w:tcPr>
            <w:tcW w:w="18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ind w:right="108"/>
              <w:spacing w:after="0" w:line="142" w:lineRule="exact"/>
              <w:rPr>
                <w:sz w:val="20"/>
                <w:szCs w:val="20"/>
                <w:color w:val="auto"/>
              </w:rPr>
            </w:pPr>
            <w:r>
              <w:rPr>
                <w:rFonts w:ascii="Arial" w:cs="Arial" w:eastAsia="Arial" w:hAnsi="Arial"/>
                <w:sz w:val="14"/>
                <w:szCs w:val="14"/>
                <w:b w:val="1"/>
                <w:bCs w:val="1"/>
                <w:color w:val="auto"/>
              </w:rPr>
              <w:t>2018</w:t>
            </w:r>
          </w:p>
        </w:tc>
        <w:tc>
          <w:tcPr>
            <w:tcW w:w="180" w:type="dxa"/>
            <w:vAlign w:val="bottom"/>
          </w:tcPr>
          <w:p>
            <w:pPr>
              <w:spacing w:after="0"/>
              <w:rPr>
                <w:sz w:val="12"/>
                <w:szCs w:val="12"/>
                <w:color w:val="auto"/>
              </w:rPr>
            </w:pPr>
          </w:p>
        </w:tc>
        <w:tc>
          <w:tcPr>
            <w:tcW w:w="660" w:type="dxa"/>
            <w:vAlign w:val="bottom"/>
            <w:tcBorders>
              <w:bottom w:val="single" w:sz="8" w:color="auto"/>
            </w:tcBorders>
          </w:tcPr>
          <w:p>
            <w:pPr>
              <w:jc w:val="right"/>
              <w:ind w:right="188"/>
              <w:spacing w:after="0" w:line="142" w:lineRule="exact"/>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jc w:val="right"/>
              <w:ind w:right="108"/>
              <w:spacing w:after="0" w:line="142" w:lineRule="exact"/>
              <w:rPr>
                <w:sz w:val="20"/>
                <w:szCs w:val="20"/>
                <w:color w:val="auto"/>
              </w:rPr>
            </w:pPr>
            <w:r>
              <w:rPr>
                <w:rFonts w:ascii="Arial" w:cs="Arial" w:eastAsia="Arial" w:hAnsi="Arial"/>
                <w:sz w:val="14"/>
                <w:szCs w:val="14"/>
                <w:b w:val="1"/>
                <w:bCs w:val="1"/>
                <w:color w:val="auto"/>
              </w:rPr>
              <w:t>2017</w:t>
            </w:r>
          </w:p>
        </w:tc>
        <w:tc>
          <w:tcPr>
            <w:tcW w:w="180" w:type="dxa"/>
            <w:vAlign w:val="bottom"/>
          </w:tcPr>
          <w:p>
            <w:pPr>
              <w:spacing w:after="0"/>
              <w:rPr>
                <w:sz w:val="12"/>
                <w:szCs w:val="12"/>
                <w:color w:val="auto"/>
              </w:rPr>
            </w:pPr>
          </w:p>
        </w:tc>
        <w:tc>
          <w:tcPr>
            <w:tcW w:w="660" w:type="dxa"/>
            <w:vAlign w:val="bottom"/>
            <w:tcBorders>
              <w:bottom w:val="single" w:sz="8" w:color="auto"/>
            </w:tcBorders>
          </w:tcPr>
          <w:p>
            <w:pPr>
              <w:jc w:val="right"/>
              <w:ind w:right="188"/>
              <w:spacing w:after="0" w:line="142" w:lineRule="exact"/>
              <w:rPr>
                <w:sz w:val="20"/>
                <w:szCs w:val="20"/>
                <w:color w:val="auto"/>
              </w:rPr>
            </w:pPr>
            <w:r>
              <w:rPr>
                <w:rFonts w:ascii="Arial" w:cs="Arial" w:eastAsia="Arial" w:hAnsi="Arial"/>
                <w:sz w:val="14"/>
                <w:szCs w:val="14"/>
                <w:b w:val="1"/>
                <w:bCs w:val="1"/>
                <w:color w:val="auto"/>
              </w:rPr>
              <w:t>%</w:t>
            </w:r>
          </w:p>
        </w:tc>
        <w:tc>
          <w:tcPr>
            <w:tcW w:w="18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520" w:type="dxa"/>
            <w:vAlign w:val="bottom"/>
            <w:tcBorders>
              <w:bottom w:val="single" w:sz="8" w:color="auto"/>
            </w:tcBorders>
          </w:tcPr>
          <w:p>
            <w:pPr>
              <w:jc w:val="right"/>
              <w:ind w:right="108"/>
              <w:spacing w:after="0" w:line="142" w:lineRule="exact"/>
              <w:rPr>
                <w:sz w:val="20"/>
                <w:szCs w:val="20"/>
                <w:color w:val="auto"/>
              </w:rPr>
            </w:pPr>
            <w:r>
              <w:rPr>
                <w:rFonts w:ascii="Arial" w:cs="Arial" w:eastAsia="Arial" w:hAnsi="Arial"/>
                <w:sz w:val="14"/>
                <w:szCs w:val="14"/>
                <w:b w:val="1"/>
                <w:bCs w:val="1"/>
                <w:color w:val="auto"/>
              </w:rPr>
              <w:t>2016</w:t>
            </w:r>
          </w:p>
        </w:tc>
        <w:tc>
          <w:tcPr>
            <w:tcW w:w="200" w:type="dxa"/>
            <w:vAlign w:val="bottom"/>
          </w:tcPr>
          <w:p>
            <w:pPr>
              <w:spacing w:after="0"/>
              <w:rPr>
                <w:sz w:val="12"/>
                <w:szCs w:val="12"/>
                <w:color w:val="auto"/>
              </w:rPr>
            </w:pPr>
          </w:p>
        </w:tc>
        <w:tc>
          <w:tcPr>
            <w:tcW w:w="640" w:type="dxa"/>
            <w:vAlign w:val="bottom"/>
            <w:tcBorders>
              <w:bottom w:val="single" w:sz="8" w:color="auto"/>
            </w:tcBorders>
          </w:tcPr>
          <w:p>
            <w:pPr>
              <w:jc w:val="right"/>
              <w:ind w:right="168"/>
              <w:spacing w:after="0" w:line="142" w:lineRule="exact"/>
              <w:rPr>
                <w:sz w:val="20"/>
                <w:szCs w:val="20"/>
                <w:color w:val="auto"/>
              </w:rPr>
            </w:pPr>
            <w:r>
              <w:rPr>
                <w:rFonts w:ascii="Arial" w:cs="Arial" w:eastAsia="Arial" w:hAnsi="Arial"/>
                <w:sz w:val="14"/>
                <w:szCs w:val="14"/>
                <w:b w:val="1"/>
                <w:bCs w:val="1"/>
                <w:color w:val="auto"/>
              </w:rPr>
              <w:t>%</w:t>
            </w:r>
          </w:p>
        </w:tc>
        <w:tc>
          <w:tcPr>
            <w:tcW w:w="100" w:type="dxa"/>
            <w:vAlign w:val="bottom"/>
          </w:tcPr>
          <w:p>
            <w:pPr>
              <w:spacing w:after="0"/>
              <w:rPr>
                <w:sz w:val="12"/>
                <w:szCs w:val="12"/>
                <w:color w:val="auto"/>
              </w:rPr>
            </w:pPr>
          </w:p>
        </w:tc>
      </w:tr>
      <w:tr>
        <w:trPr>
          <w:trHeight w:val="169"/>
        </w:trPr>
        <w:tc>
          <w:tcPr>
            <w:tcW w:w="31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300" w:type="dxa"/>
            <w:vAlign w:val="bottom"/>
            <w:gridSpan w:val="2"/>
          </w:tcPr>
          <w:p>
            <w:pPr>
              <w:jc w:val="right"/>
              <w:ind w:right="20"/>
              <w:spacing w:after="0"/>
              <w:rPr>
                <w:sz w:val="20"/>
                <w:szCs w:val="20"/>
                <w:color w:val="auto"/>
              </w:rPr>
            </w:pPr>
            <w:r>
              <w:rPr>
                <w:rFonts w:ascii="Arial" w:cs="Arial" w:eastAsia="Arial" w:hAnsi="Arial"/>
                <w:sz w:val="14"/>
                <w:szCs w:val="14"/>
                <w:b w:val="1"/>
                <w:bCs w:val="1"/>
                <w:color w:val="auto"/>
                <w:w w:val="90"/>
              </w:rPr>
              <w:t>(in $</w:t>
            </w:r>
          </w:p>
        </w:tc>
        <w:tc>
          <w:tcPr>
            <w:tcW w:w="2400" w:type="dxa"/>
            <w:vAlign w:val="bottom"/>
            <w:gridSpan w:val="8"/>
          </w:tcPr>
          <w:p>
            <w:pPr>
              <w:jc w:val="right"/>
              <w:ind w:right="620"/>
              <w:spacing w:after="0"/>
              <w:rPr>
                <w:sz w:val="20"/>
                <w:szCs w:val="20"/>
                <w:color w:val="auto"/>
              </w:rPr>
            </w:pPr>
            <w:r>
              <w:rPr>
                <w:rFonts w:ascii="Arial" w:cs="Arial" w:eastAsia="Arial" w:hAnsi="Arial"/>
                <w:sz w:val="14"/>
                <w:szCs w:val="14"/>
                <w:b w:val="1"/>
                <w:bCs w:val="1"/>
                <w:color w:val="auto"/>
                <w:w w:val="89"/>
              </w:rPr>
              <w:t>millions, except percentages)</w:t>
            </w:r>
          </w:p>
        </w:tc>
        <w:tc>
          <w:tcPr>
            <w:tcW w:w="6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9"/>
        </w:trPr>
        <w:tc>
          <w:tcPr>
            <w:tcW w:w="3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at amortized cost</w:t>
            </w:r>
          </w:p>
        </w:tc>
        <w:tc>
          <w:tcPr>
            <w:tcW w:w="1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6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4,911</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88.5</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5,893</w:t>
            </w:r>
          </w:p>
        </w:tc>
        <w:tc>
          <w:tcPr>
            <w:tcW w:w="6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90.6</w:t>
            </w:r>
          </w:p>
        </w:tc>
        <w:tc>
          <w:tcPr>
            <w:tcW w:w="30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5,778</w:t>
            </w:r>
          </w:p>
        </w:tc>
        <w:tc>
          <w:tcPr>
            <w:tcW w:w="7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91.9</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5,506</w:t>
            </w:r>
          </w:p>
        </w:tc>
        <w:tc>
          <w:tcPr>
            <w:tcW w:w="8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91.8</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6,021</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93.4</w:t>
            </w:r>
          </w:p>
        </w:tc>
        <w:tc>
          <w:tcPr>
            <w:tcW w:w="100" w:type="dxa"/>
            <w:vAlign w:val="bottom"/>
            <w:shd w:val="clear" w:color="auto" w:fill="CCEEFF"/>
          </w:tcPr>
          <w:p>
            <w:pPr>
              <w:spacing w:after="0"/>
              <w:rPr>
                <w:sz w:val="12"/>
                <w:szCs w:val="12"/>
                <w:color w:val="auto"/>
              </w:rPr>
            </w:pPr>
          </w:p>
        </w:tc>
      </w:tr>
      <w:tr>
        <w:trPr>
          <w:trHeight w:val="148"/>
        </w:trPr>
        <w:tc>
          <w:tcPr>
            <w:tcW w:w="3100" w:type="dxa"/>
            <w:vAlign w:val="bottom"/>
          </w:tcPr>
          <w:p>
            <w:pPr>
              <w:spacing w:after="0" w:line="149" w:lineRule="exact"/>
              <w:rPr>
                <w:sz w:val="20"/>
                <w:szCs w:val="20"/>
                <w:color w:val="auto"/>
              </w:rPr>
            </w:pPr>
            <w:r>
              <w:rPr>
                <w:rFonts w:ascii="Arial" w:cs="Arial" w:eastAsia="Arial" w:hAnsi="Arial"/>
                <w:sz w:val="14"/>
                <w:szCs w:val="14"/>
                <w:color w:val="auto"/>
                <w:w w:val="93"/>
              </w:rPr>
              <w:t>Loan commitments and financial guarantee contracts</w:t>
            </w:r>
          </w:p>
        </w:tc>
        <w:tc>
          <w:tcPr>
            <w:tcW w:w="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565</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10.2</w:t>
            </w: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493</w:t>
            </w:r>
          </w:p>
        </w:tc>
        <w:tc>
          <w:tcPr>
            <w:tcW w:w="620" w:type="dxa"/>
            <w:vAlign w:val="bottom"/>
          </w:tcPr>
          <w:p>
            <w:pPr>
              <w:jc w:val="right"/>
              <w:spacing w:after="0" w:line="149" w:lineRule="exact"/>
              <w:rPr>
                <w:sz w:val="20"/>
                <w:szCs w:val="20"/>
                <w:color w:val="auto"/>
              </w:rPr>
            </w:pPr>
            <w:r>
              <w:rPr>
                <w:rFonts w:ascii="Arial" w:cs="Arial" w:eastAsia="Arial" w:hAnsi="Arial"/>
                <w:sz w:val="14"/>
                <w:szCs w:val="14"/>
                <w:color w:val="auto"/>
              </w:rPr>
              <w:t>7.6</w:t>
            </w:r>
          </w:p>
        </w:tc>
        <w:tc>
          <w:tcPr>
            <w:tcW w:w="1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502</w:t>
            </w: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487</w:t>
            </w: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8.1</w:t>
            </w:r>
          </w:p>
        </w:tc>
        <w:tc>
          <w:tcPr>
            <w:tcW w:w="140" w:type="dxa"/>
            <w:vAlign w:val="bottom"/>
          </w:tcPr>
          <w:p>
            <w:pPr>
              <w:spacing w:after="0"/>
              <w:rPr>
                <w:sz w:val="12"/>
                <w:szCs w:val="12"/>
                <w:color w:val="auto"/>
              </w:rPr>
            </w:pPr>
          </w:p>
        </w:tc>
        <w:tc>
          <w:tcPr>
            <w:tcW w:w="7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403</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6.3</w:t>
            </w:r>
          </w:p>
        </w:tc>
        <w:tc>
          <w:tcPr>
            <w:tcW w:w="100" w:type="dxa"/>
            <w:vAlign w:val="bottom"/>
          </w:tcPr>
          <w:p>
            <w:pPr>
              <w:spacing w:after="0"/>
              <w:rPr>
                <w:sz w:val="12"/>
                <w:szCs w:val="12"/>
                <w:color w:val="auto"/>
              </w:rPr>
            </w:pPr>
          </w:p>
        </w:tc>
      </w:tr>
      <w:tr>
        <w:trPr>
          <w:trHeight w:val="162"/>
        </w:trPr>
        <w:tc>
          <w:tcPr>
            <w:tcW w:w="3100" w:type="dxa"/>
            <w:vAlign w:val="bottom"/>
            <w:shd w:val="clear" w:color="auto" w:fill="CCEEFF"/>
          </w:tcPr>
          <w:p>
            <w:pPr>
              <w:spacing w:after="0"/>
              <w:rPr>
                <w:sz w:val="20"/>
                <w:szCs w:val="20"/>
                <w:color w:val="auto"/>
              </w:rPr>
            </w:pPr>
            <w:r>
              <w:rPr>
                <w:rFonts w:ascii="Arial" w:cs="Arial" w:eastAsia="Arial" w:hAnsi="Arial"/>
                <w:sz w:val="14"/>
                <w:szCs w:val="14"/>
                <w:color w:val="auto"/>
              </w:rPr>
              <w:t>Customers’ liabilities under acceptances</w:t>
            </w:r>
          </w:p>
        </w:tc>
        <w:tc>
          <w:tcPr>
            <w:tcW w:w="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74</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1.3</w:t>
            </w:r>
          </w:p>
        </w:tc>
        <w:tc>
          <w:tcPr>
            <w:tcW w:w="12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116</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0.1</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w:t>
            </w:r>
          </w:p>
        </w:tc>
        <w:tc>
          <w:tcPr>
            <w:tcW w:w="8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0.1</w:t>
            </w:r>
          </w:p>
        </w:tc>
        <w:tc>
          <w:tcPr>
            <w:tcW w:w="14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20</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0.3</w:t>
            </w:r>
          </w:p>
        </w:tc>
        <w:tc>
          <w:tcPr>
            <w:tcW w:w="100" w:type="dxa"/>
            <w:vAlign w:val="bottom"/>
            <w:shd w:val="clear" w:color="auto" w:fill="CCEEFF"/>
          </w:tcPr>
          <w:p>
            <w:pPr>
              <w:spacing w:after="0"/>
              <w:rPr>
                <w:sz w:val="14"/>
                <w:szCs w:val="14"/>
                <w:color w:val="auto"/>
              </w:rPr>
            </w:pPr>
          </w:p>
        </w:tc>
      </w:tr>
      <w:tr>
        <w:trPr>
          <w:trHeight w:val="148"/>
        </w:trPr>
        <w:tc>
          <w:tcPr>
            <w:tcW w:w="3100" w:type="dxa"/>
            <w:vAlign w:val="bottom"/>
          </w:tcPr>
          <w:p>
            <w:pPr>
              <w:ind w:left="180"/>
              <w:spacing w:after="0" w:line="149" w:lineRule="exact"/>
              <w:rPr>
                <w:sz w:val="20"/>
                <w:szCs w:val="20"/>
                <w:color w:val="auto"/>
              </w:rPr>
            </w:pPr>
            <w:r>
              <w:rPr>
                <w:rFonts w:ascii="Arial" w:cs="Arial" w:eastAsia="Arial" w:hAnsi="Arial"/>
                <w:sz w:val="14"/>
                <w:szCs w:val="14"/>
                <w:b w:val="1"/>
                <w:bCs w:val="1"/>
                <w:color w:val="auto"/>
              </w:rPr>
              <w:t>Total</w:t>
            </w:r>
          </w:p>
        </w:tc>
        <w:tc>
          <w:tcPr>
            <w:tcW w:w="140" w:type="dxa"/>
            <w:vAlign w:val="bottom"/>
            <w:gridSpan w:val="2"/>
          </w:tcPr>
          <w:p>
            <w:pPr>
              <w:jc w:val="right"/>
              <w:ind w:right="40"/>
              <w:spacing w:after="0" w:line="149" w:lineRule="exact"/>
              <w:rPr>
                <w:sz w:val="20"/>
                <w:szCs w:val="20"/>
                <w:color w:val="auto"/>
              </w:rPr>
            </w:pPr>
            <w:r>
              <w:rPr>
                <w:rFonts w:ascii="Arial" w:cs="Arial" w:eastAsia="Arial" w:hAnsi="Arial"/>
                <w:sz w:val="14"/>
                <w:szCs w:val="14"/>
                <w:b w:val="1"/>
                <w:bCs w:val="1"/>
                <w:color w:val="auto"/>
              </w:rPr>
              <w:t>$</w:t>
            </w:r>
          </w:p>
        </w:tc>
        <w:tc>
          <w:tcPr>
            <w:tcW w:w="66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5,551</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100.0</w:t>
            </w:r>
          </w:p>
        </w:tc>
        <w:tc>
          <w:tcPr>
            <w:tcW w:w="120" w:type="dxa"/>
            <w:vAlign w:val="bottom"/>
          </w:tcPr>
          <w:p>
            <w:pPr>
              <w:jc w:val="right"/>
              <w:spacing w:after="0" w:line="149" w:lineRule="exact"/>
              <w:rPr>
                <w:sz w:val="20"/>
                <w:szCs w:val="20"/>
                <w:color w:val="auto"/>
              </w:rPr>
            </w:pPr>
            <w:r>
              <w:rPr>
                <w:rFonts w:ascii="Arial" w:cs="Arial" w:eastAsia="Arial" w:hAnsi="Arial"/>
                <w:sz w:val="14"/>
                <w:szCs w:val="14"/>
                <w:b w:val="1"/>
                <w:bCs w:val="1"/>
                <w:color w:val="auto"/>
                <w:w w:val="76"/>
              </w:rPr>
              <w:t>$</w:t>
            </w: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b w:val="1"/>
                <w:bCs w:val="1"/>
                <w:color w:val="auto"/>
              </w:rPr>
              <w:t>6,502</w:t>
            </w:r>
          </w:p>
        </w:tc>
        <w:tc>
          <w:tcPr>
            <w:tcW w:w="620" w:type="dxa"/>
            <w:vAlign w:val="bottom"/>
          </w:tcPr>
          <w:p>
            <w:pPr>
              <w:jc w:val="right"/>
              <w:spacing w:after="0" w:line="149" w:lineRule="exact"/>
              <w:rPr>
                <w:sz w:val="20"/>
                <w:szCs w:val="20"/>
                <w:color w:val="auto"/>
              </w:rPr>
            </w:pPr>
            <w:r>
              <w:rPr>
                <w:rFonts w:ascii="Arial" w:cs="Arial" w:eastAsia="Arial" w:hAnsi="Arial"/>
                <w:sz w:val="14"/>
                <w:szCs w:val="14"/>
                <w:b w:val="1"/>
                <w:bCs w:val="1"/>
                <w:color w:val="auto"/>
              </w:rPr>
              <w:t>100.0</w:t>
            </w:r>
          </w:p>
        </w:tc>
        <w:tc>
          <w:tcPr>
            <w:tcW w:w="300" w:type="dxa"/>
            <w:vAlign w:val="bottom"/>
            <w:gridSpan w:val="2"/>
          </w:tcPr>
          <w:p>
            <w:pPr>
              <w:jc w:val="right"/>
              <w:ind w:right="40"/>
              <w:spacing w:after="0" w:line="149" w:lineRule="exact"/>
              <w:rPr>
                <w:sz w:val="20"/>
                <w:szCs w:val="20"/>
                <w:color w:val="auto"/>
              </w:rPr>
            </w:pPr>
            <w:r>
              <w:rPr>
                <w:rFonts w:ascii="Arial" w:cs="Arial" w:eastAsia="Arial" w:hAnsi="Arial"/>
                <w:sz w:val="14"/>
                <w:szCs w:val="14"/>
                <w:b w:val="1"/>
                <w:bCs w:val="1"/>
                <w:color w:val="auto"/>
              </w:rPr>
              <w:t>$</w:t>
            </w:r>
          </w:p>
        </w:tc>
        <w:tc>
          <w:tcPr>
            <w:tcW w:w="720" w:type="dxa"/>
            <w:vAlign w:val="bottom"/>
            <w:gridSpan w:val="2"/>
          </w:tcPr>
          <w:p>
            <w:pPr>
              <w:jc w:val="right"/>
              <w:ind w:right="180"/>
              <w:spacing w:after="0" w:line="149" w:lineRule="exact"/>
              <w:rPr>
                <w:sz w:val="20"/>
                <w:szCs w:val="20"/>
                <w:color w:val="auto"/>
              </w:rPr>
            </w:pPr>
            <w:r>
              <w:rPr>
                <w:rFonts w:ascii="Arial" w:cs="Arial" w:eastAsia="Arial" w:hAnsi="Arial"/>
                <w:sz w:val="14"/>
                <w:szCs w:val="14"/>
                <w:b w:val="1"/>
                <w:bCs w:val="1"/>
                <w:color w:val="auto"/>
              </w:rPr>
              <w:t>6,290</w:t>
            </w:r>
          </w:p>
        </w:tc>
        <w:tc>
          <w:tcPr>
            <w:tcW w:w="740" w:type="dxa"/>
            <w:vAlign w:val="bottom"/>
            <w:gridSpan w:val="2"/>
          </w:tcPr>
          <w:p>
            <w:pPr>
              <w:jc w:val="right"/>
              <w:ind w:right="80"/>
              <w:spacing w:after="0" w:line="149" w:lineRule="exact"/>
              <w:rPr>
                <w:sz w:val="20"/>
                <w:szCs w:val="20"/>
                <w:color w:val="auto"/>
              </w:rPr>
            </w:pPr>
            <w:r>
              <w:rPr>
                <w:rFonts w:ascii="Arial" w:cs="Arial" w:eastAsia="Arial" w:hAnsi="Arial"/>
                <w:sz w:val="14"/>
                <w:szCs w:val="14"/>
                <w:b w:val="1"/>
                <w:bCs w:val="1"/>
                <w:color w:val="auto"/>
              </w:rPr>
              <w:t>100.0</w:t>
            </w:r>
          </w:p>
        </w:tc>
        <w:tc>
          <w:tcPr>
            <w:tcW w:w="220" w:type="dxa"/>
            <w:vAlign w:val="bottom"/>
            <w:gridSpan w:val="2"/>
          </w:tcPr>
          <w:p>
            <w:pPr>
              <w:jc w:val="right"/>
              <w:ind w:right="40"/>
              <w:spacing w:after="0" w:line="149" w:lineRule="exact"/>
              <w:rPr>
                <w:sz w:val="20"/>
                <w:szCs w:val="20"/>
                <w:color w:val="auto"/>
              </w:rPr>
            </w:pPr>
            <w:r>
              <w:rPr>
                <w:rFonts w:ascii="Arial" w:cs="Arial" w:eastAsia="Arial" w:hAnsi="Arial"/>
                <w:sz w:val="14"/>
                <w:szCs w:val="14"/>
                <w:b w:val="1"/>
                <w:bCs w:val="1"/>
                <w:color w:val="auto"/>
              </w:rPr>
              <w:t>$</w:t>
            </w:r>
          </w:p>
        </w:tc>
        <w:tc>
          <w:tcPr>
            <w:tcW w:w="720" w:type="dxa"/>
            <w:vAlign w:val="bottom"/>
            <w:gridSpan w:val="2"/>
          </w:tcPr>
          <w:p>
            <w:pPr>
              <w:jc w:val="right"/>
              <w:ind w:right="180"/>
              <w:spacing w:after="0" w:line="149" w:lineRule="exact"/>
              <w:rPr>
                <w:sz w:val="20"/>
                <w:szCs w:val="20"/>
                <w:color w:val="auto"/>
              </w:rPr>
            </w:pPr>
            <w:r>
              <w:rPr>
                <w:rFonts w:ascii="Arial" w:cs="Arial" w:eastAsia="Arial" w:hAnsi="Arial"/>
                <w:sz w:val="14"/>
                <w:szCs w:val="14"/>
                <w:b w:val="1"/>
                <w:bCs w:val="1"/>
                <w:color w:val="auto"/>
              </w:rPr>
              <w:t>5,999</w:t>
            </w:r>
          </w:p>
        </w:tc>
        <w:tc>
          <w:tcPr>
            <w:tcW w:w="840" w:type="dxa"/>
            <w:vAlign w:val="bottom"/>
            <w:gridSpan w:val="2"/>
          </w:tcPr>
          <w:p>
            <w:pPr>
              <w:jc w:val="right"/>
              <w:ind w:right="180"/>
              <w:spacing w:after="0" w:line="149" w:lineRule="exact"/>
              <w:rPr>
                <w:sz w:val="20"/>
                <w:szCs w:val="20"/>
                <w:color w:val="auto"/>
              </w:rPr>
            </w:pPr>
            <w:r>
              <w:rPr>
                <w:rFonts w:ascii="Arial" w:cs="Arial" w:eastAsia="Arial" w:hAnsi="Arial"/>
                <w:sz w:val="14"/>
                <w:szCs w:val="14"/>
                <w:b w:val="1"/>
                <w:bCs w:val="1"/>
                <w:color w:val="auto"/>
              </w:rPr>
              <w:t>100.0</w:t>
            </w:r>
          </w:p>
        </w:tc>
        <w:tc>
          <w:tcPr>
            <w:tcW w:w="140" w:type="dxa"/>
            <w:vAlign w:val="bottom"/>
          </w:tcPr>
          <w:p>
            <w:pPr>
              <w:jc w:val="right"/>
              <w:spacing w:after="0" w:line="149" w:lineRule="exact"/>
              <w:rPr>
                <w:sz w:val="20"/>
                <w:szCs w:val="20"/>
                <w:color w:val="auto"/>
              </w:rPr>
            </w:pPr>
            <w:r>
              <w:rPr>
                <w:rFonts w:ascii="Arial" w:cs="Arial" w:eastAsia="Arial" w:hAnsi="Arial"/>
                <w:sz w:val="14"/>
                <w:szCs w:val="14"/>
                <w:b w:val="1"/>
                <w:bCs w:val="1"/>
                <w:color w:val="auto"/>
                <w:w w:val="76"/>
              </w:rPr>
              <w:t>$</w:t>
            </w:r>
          </w:p>
        </w:tc>
        <w:tc>
          <w:tcPr>
            <w:tcW w:w="720" w:type="dxa"/>
            <w:vAlign w:val="bottom"/>
            <w:gridSpan w:val="2"/>
          </w:tcPr>
          <w:p>
            <w:pPr>
              <w:jc w:val="right"/>
              <w:ind w:right="200"/>
              <w:spacing w:after="0" w:line="149" w:lineRule="exact"/>
              <w:rPr>
                <w:sz w:val="20"/>
                <w:szCs w:val="20"/>
                <w:color w:val="auto"/>
              </w:rPr>
            </w:pPr>
            <w:r>
              <w:rPr>
                <w:rFonts w:ascii="Arial" w:cs="Arial" w:eastAsia="Arial" w:hAnsi="Arial"/>
                <w:sz w:val="14"/>
                <w:szCs w:val="14"/>
                <w:b w:val="1"/>
                <w:bCs w:val="1"/>
                <w:color w:val="auto"/>
              </w:rPr>
              <w:t>6,444</w:t>
            </w:r>
          </w:p>
        </w:tc>
        <w:tc>
          <w:tcPr>
            <w:tcW w:w="640" w:type="dxa"/>
            <w:vAlign w:val="bottom"/>
          </w:tcPr>
          <w:p>
            <w:pPr>
              <w:jc w:val="right"/>
              <w:spacing w:after="0" w:line="149" w:lineRule="exact"/>
              <w:rPr>
                <w:sz w:val="20"/>
                <w:szCs w:val="20"/>
                <w:color w:val="auto"/>
              </w:rPr>
            </w:pPr>
            <w:r>
              <w:rPr>
                <w:rFonts w:ascii="Arial" w:cs="Arial" w:eastAsia="Arial" w:hAnsi="Arial"/>
                <w:sz w:val="14"/>
                <w:szCs w:val="14"/>
                <w:b w:val="1"/>
                <w:bCs w:val="1"/>
                <w:color w:val="auto"/>
              </w:rPr>
              <w:t>100.0</w:t>
            </w:r>
          </w:p>
        </w:tc>
        <w:tc>
          <w:tcPr>
            <w:tcW w:w="100" w:type="dxa"/>
            <w:vAlign w:val="bottom"/>
          </w:tcPr>
          <w:p>
            <w:pPr>
              <w:spacing w:after="0"/>
              <w:rPr>
                <w:sz w:val="12"/>
                <w:szCs w:val="12"/>
                <w:color w:val="auto"/>
              </w:rPr>
            </w:pPr>
          </w:p>
        </w:tc>
      </w:tr>
      <w:tr>
        <w:trPr>
          <w:trHeight w:val="20"/>
        </w:trPr>
        <w:tc>
          <w:tcPr>
            <w:tcW w:w="3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Portfolio</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As of December 31, 2020, the Bank’s Loan Portfolio totaled to $4,911 million, compared to $5,893 million as of December 31, 2019 and $5,778 million as of December 31, 2018. The $982 million, or 17% Loan Portfolio decrease during 2020 was mainly attributable to lower lending origination during the year, reflecting the Bank’s defensive approach to favor liquidity over loan growth during most of the year, as part of prudential measures implemented at the onset of the COVID-19 pandemic, coupled with a continued emphasis on sectors which management considers defensive in the current economic context (such as oil &amp; gas (downstream), electric power and food and beverage) and stricter credit underwriting standards. As of December 31, 2020, the Loan Portfolio had an average remaining maturity term of 348 days, and 63% of the Bank’s Loan Portfolio was scheduled to mature within one year, compared to an average remaining maturity of 380 days, or 71% maturing within one year as of December 31, 2019, and 323 days, or 73% maturing within one year as of December 31, 2018.</w:t>
      </w:r>
    </w:p>
    <w:p>
      <w:pPr>
        <w:spacing w:after="0" w:line="19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As of December 31, 2020, the Bank’s credit-impaired loans totaled $11 million (or 0.22% of the Loan Portfolio), compared to $62 million (or 1.05% of the Loan Portfolio) as of December 31, 2019 and $65 million (or 1.12% of the Loan Portfolio) as of December 31, 2018. Credit-impaired loans decreased in 2020 mainly due to the sale of $11.6 million of an outstanding credit-impaired exposure classified as Stage 3 (under accounting standard IFRS 9), which resulted in a $52.1 million write-off against its individually assigned allowance for credit losses. As of December 31, 2020, $11 million in credit-impaired loans were related to a single transaction in the retail trade sector, accounting for 100% of the Bank’s total impaired loans classified as Stage 3 (under accounting standard IFRS 9), with individually assigned allowance for credit losses of $4.2 million, representing coverage of 40%.</w:t>
      </w:r>
    </w:p>
    <w:p>
      <w:pPr>
        <w:spacing w:after="0" w:line="16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Loans classified as Stage 1 under IFRS 9, with credit conditions unchanged since origination, decreased by 18% during 2020, reflecting the prudential measures implemented since the onset of the COVID-19 pandemic in 2020, while loans classified as Stage 2 under IFRS 9, which represent loans with exposures whose credit conditions have deteriorated since origination, increased by 25%, mainly as a result of the Bank’s internal country ratings’ downward revisions.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3" w:name="page34"/>
    <w:bookmarkEnd w:id="33"/>
    <w:p>
      <w:pPr>
        <w:spacing w:after="0"/>
        <w:rPr>
          <w:sz w:val="20"/>
          <w:szCs w:val="20"/>
          <w:color w:val="auto"/>
        </w:rPr>
      </w:pPr>
      <w:r>
        <w:rPr>
          <w:rFonts w:ascii="Arial" w:cs="Arial" w:eastAsia="Arial" w:hAnsi="Arial"/>
          <w:sz w:val="18"/>
          <w:szCs w:val="18"/>
          <w:i w:val="1"/>
          <w:iCs w:val="1"/>
          <w:color w:val="auto"/>
        </w:rPr>
        <w:t>Loan Portfolio by Country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distribution of the Bank’s Loan Portfolio by country risk at the dates indicated:</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1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86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4"/>
                <w:szCs w:val="14"/>
                <w:b w:val="1"/>
                <w:bCs w:val="1"/>
                <w:color w:val="auto"/>
                <w:w w:val="95"/>
              </w:rPr>
              <w:t>As of December 31,</w:t>
            </w: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center"/>
              <w:ind w:right="140"/>
              <w:spacing w:after="0" w:line="119" w:lineRule="exact"/>
              <w:rPr>
                <w:sz w:val="20"/>
                <w:szCs w:val="20"/>
                <w:color w:val="auto"/>
              </w:rPr>
            </w:pPr>
            <w:r>
              <w:rPr>
                <w:rFonts w:ascii="Arial" w:cs="Arial" w:eastAsia="Arial" w:hAnsi="Arial"/>
                <w:sz w:val="13"/>
                <w:szCs w:val="13"/>
                <w:b w:val="1"/>
                <w:bCs w:val="1"/>
                <w:color w:val="auto"/>
              </w:rPr>
              <w:t>% of</w:t>
            </w:r>
          </w:p>
        </w:tc>
        <w:tc>
          <w:tcPr>
            <w:tcW w:w="1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center"/>
              <w:ind w:right="100"/>
              <w:spacing w:after="0" w:line="119" w:lineRule="exact"/>
              <w:rPr>
                <w:sz w:val="20"/>
                <w:szCs w:val="20"/>
                <w:color w:val="auto"/>
              </w:rPr>
            </w:pPr>
            <w:r>
              <w:rPr>
                <w:rFonts w:ascii="Arial" w:cs="Arial" w:eastAsia="Arial" w:hAnsi="Arial"/>
                <w:sz w:val="13"/>
                <w:szCs w:val="13"/>
                <w:b w:val="1"/>
                <w:bCs w:val="1"/>
                <w:color w:val="auto"/>
              </w:rPr>
              <w:t>% of</w:t>
            </w: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 of</w:t>
            </w: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 of</w:t>
            </w: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 of</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vMerge w:val="restart"/>
          </w:tcPr>
          <w:p>
            <w:pPr>
              <w:jc w:val="right"/>
              <w:ind w:right="188"/>
              <w:spacing w:after="0"/>
              <w:rPr>
                <w:sz w:val="20"/>
                <w:szCs w:val="20"/>
                <w:color w:val="auto"/>
              </w:rPr>
            </w:pPr>
            <w:r>
              <w:rPr>
                <w:rFonts w:ascii="Arial" w:cs="Arial" w:eastAsia="Arial" w:hAnsi="Arial"/>
                <w:sz w:val="14"/>
                <w:szCs w:val="14"/>
                <w:b w:val="1"/>
                <w:bCs w:val="1"/>
                <w:color w:val="auto"/>
              </w:rPr>
              <w:t>2020</w:t>
            </w:r>
          </w:p>
        </w:tc>
        <w:tc>
          <w:tcPr>
            <w:tcW w:w="240" w:type="dxa"/>
            <w:vAlign w:val="bottom"/>
          </w:tcPr>
          <w:p>
            <w:pPr>
              <w:spacing w:after="0"/>
              <w:rPr>
                <w:sz w:val="12"/>
                <w:szCs w:val="12"/>
                <w:color w:val="auto"/>
              </w:rPr>
            </w:pPr>
          </w:p>
        </w:tc>
        <w:tc>
          <w:tcPr>
            <w:tcW w:w="92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5"/>
              </w:rPr>
              <w:t>Total</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vMerge w:val="restart"/>
          </w:tcPr>
          <w:p>
            <w:pPr>
              <w:jc w:val="right"/>
              <w:ind w:right="188"/>
              <w:spacing w:after="0"/>
              <w:rPr>
                <w:sz w:val="20"/>
                <w:szCs w:val="20"/>
                <w:color w:val="auto"/>
              </w:rPr>
            </w:pPr>
            <w:r>
              <w:rPr>
                <w:rFonts w:ascii="Arial" w:cs="Arial" w:eastAsia="Arial" w:hAnsi="Arial"/>
                <w:sz w:val="14"/>
                <w:szCs w:val="14"/>
                <w:b w:val="1"/>
                <w:bCs w:val="1"/>
                <w:color w:val="auto"/>
              </w:rPr>
              <w:t>2019</w:t>
            </w:r>
          </w:p>
        </w:tc>
        <w:tc>
          <w:tcPr>
            <w:tcW w:w="240" w:type="dxa"/>
            <w:vAlign w:val="bottom"/>
          </w:tcPr>
          <w:p>
            <w:pPr>
              <w:spacing w:after="0"/>
              <w:rPr>
                <w:sz w:val="12"/>
                <w:szCs w:val="12"/>
                <w:color w:val="auto"/>
              </w:rPr>
            </w:pPr>
          </w:p>
        </w:tc>
        <w:tc>
          <w:tcPr>
            <w:tcW w:w="92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5"/>
              </w:rPr>
              <w:t>Total</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vMerge w:val="restart"/>
          </w:tcPr>
          <w:p>
            <w:pPr>
              <w:jc w:val="right"/>
              <w:ind w:right="168"/>
              <w:spacing w:after="0"/>
              <w:rPr>
                <w:sz w:val="20"/>
                <w:szCs w:val="20"/>
                <w:color w:val="auto"/>
              </w:rPr>
            </w:pPr>
            <w:r>
              <w:rPr>
                <w:rFonts w:ascii="Arial" w:cs="Arial" w:eastAsia="Arial" w:hAnsi="Arial"/>
                <w:sz w:val="14"/>
                <w:szCs w:val="14"/>
                <w:b w:val="1"/>
                <w:bCs w:val="1"/>
                <w:color w:val="auto"/>
              </w:rPr>
              <w:t>2018</w:t>
            </w:r>
          </w:p>
        </w:tc>
        <w:tc>
          <w:tcPr>
            <w:tcW w:w="220" w:type="dxa"/>
            <w:vAlign w:val="bottom"/>
          </w:tcPr>
          <w:p>
            <w:pPr>
              <w:spacing w:after="0"/>
              <w:rPr>
                <w:sz w:val="12"/>
                <w:szCs w:val="12"/>
                <w:color w:val="auto"/>
              </w:rPr>
            </w:pPr>
          </w:p>
        </w:tc>
        <w:tc>
          <w:tcPr>
            <w:tcW w:w="98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5"/>
              </w:rPr>
              <w:t>Total</w:t>
            </w:r>
          </w:p>
        </w:tc>
        <w:tc>
          <w:tcPr>
            <w:tcW w:w="160" w:type="dxa"/>
            <w:vAlign w:val="bottom"/>
          </w:tcPr>
          <w:p>
            <w:pPr>
              <w:spacing w:after="0"/>
              <w:rPr>
                <w:sz w:val="12"/>
                <w:szCs w:val="12"/>
                <w:color w:val="auto"/>
              </w:rPr>
            </w:pPr>
          </w:p>
        </w:tc>
        <w:tc>
          <w:tcPr>
            <w:tcW w:w="620" w:type="dxa"/>
            <w:vAlign w:val="bottom"/>
            <w:vMerge w:val="restart"/>
          </w:tcPr>
          <w:p>
            <w:pPr>
              <w:jc w:val="right"/>
              <w:ind w:right="168"/>
              <w:spacing w:after="0"/>
              <w:rPr>
                <w:sz w:val="20"/>
                <w:szCs w:val="20"/>
                <w:color w:val="auto"/>
              </w:rPr>
            </w:pPr>
            <w:r>
              <w:rPr>
                <w:rFonts w:ascii="Arial" w:cs="Arial" w:eastAsia="Arial" w:hAnsi="Arial"/>
                <w:sz w:val="14"/>
                <w:szCs w:val="14"/>
                <w:b w:val="1"/>
                <w:bCs w:val="1"/>
                <w:color w:val="auto"/>
              </w:rPr>
              <w:t>2017</w:t>
            </w:r>
          </w:p>
        </w:tc>
        <w:tc>
          <w:tcPr>
            <w:tcW w:w="220" w:type="dxa"/>
            <w:vAlign w:val="bottom"/>
          </w:tcPr>
          <w:p>
            <w:pPr>
              <w:spacing w:after="0"/>
              <w:rPr>
                <w:sz w:val="12"/>
                <w:szCs w:val="12"/>
                <w:color w:val="auto"/>
              </w:rPr>
            </w:pPr>
          </w:p>
        </w:tc>
        <w:tc>
          <w:tcPr>
            <w:tcW w:w="98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5"/>
              </w:rPr>
              <w:t>Total</w:t>
            </w:r>
          </w:p>
        </w:tc>
        <w:tc>
          <w:tcPr>
            <w:tcW w:w="160" w:type="dxa"/>
            <w:vAlign w:val="bottom"/>
          </w:tcPr>
          <w:p>
            <w:pPr>
              <w:spacing w:after="0"/>
              <w:rPr>
                <w:sz w:val="12"/>
                <w:szCs w:val="12"/>
                <w:color w:val="auto"/>
              </w:rPr>
            </w:pPr>
          </w:p>
        </w:tc>
        <w:tc>
          <w:tcPr>
            <w:tcW w:w="600" w:type="dxa"/>
            <w:vAlign w:val="bottom"/>
            <w:vMerge w:val="restart"/>
          </w:tcPr>
          <w:p>
            <w:pPr>
              <w:jc w:val="right"/>
              <w:ind w:right="168"/>
              <w:spacing w:after="0"/>
              <w:rPr>
                <w:sz w:val="20"/>
                <w:szCs w:val="20"/>
                <w:color w:val="auto"/>
              </w:rPr>
            </w:pPr>
            <w:r>
              <w:rPr>
                <w:rFonts w:ascii="Arial" w:cs="Arial" w:eastAsia="Arial" w:hAnsi="Arial"/>
                <w:sz w:val="14"/>
                <w:szCs w:val="14"/>
                <w:b w:val="1"/>
                <w:bCs w:val="1"/>
                <w:color w:val="auto"/>
              </w:rPr>
              <w:t>2016</w:t>
            </w:r>
          </w:p>
        </w:tc>
        <w:tc>
          <w:tcPr>
            <w:tcW w:w="220" w:type="dxa"/>
            <w:vAlign w:val="bottom"/>
          </w:tcPr>
          <w:p>
            <w:pPr>
              <w:spacing w:after="0"/>
              <w:rPr>
                <w:sz w:val="12"/>
                <w:szCs w:val="12"/>
                <w:color w:val="auto"/>
              </w:rPr>
            </w:pPr>
          </w:p>
        </w:tc>
        <w:tc>
          <w:tcPr>
            <w:tcW w:w="88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89"/>
              </w:rPr>
              <w:t>Total</w:t>
            </w:r>
          </w:p>
        </w:tc>
        <w:tc>
          <w:tcPr>
            <w:tcW w:w="0" w:type="dxa"/>
            <w:vAlign w:val="bottom"/>
          </w:tcPr>
          <w:p>
            <w:pPr>
              <w:spacing w:after="0"/>
              <w:rPr>
                <w:sz w:val="1"/>
                <w:szCs w:val="1"/>
                <w:color w:val="auto"/>
              </w:rPr>
            </w:pPr>
          </w:p>
        </w:tc>
      </w:tr>
      <w:tr>
        <w:trPr>
          <w:trHeight w:val="171"/>
        </w:trPr>
        <w:tc>
          <w:tcPr>
            <w:tcW w:w="1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vMerge w:val="continue"/>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Loans</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40" w:type="dxa"/>
            <w:vAlign w:val="bottom"/>
            <w:tcBorders>
              <w:bottom w:val="single" w:sz="8" w:color="auto"/>
            </w:tcBorders>
            <w:vMerge w:val="continue"/>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Loans</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vMerge w:val="continue"/>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22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vMerge w:val="continue"/>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22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vMerge w:val="continue"/>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9"/>
        </w:trPr>
        <w:tc>
          <w:tcPr>
            <w:tcW w:w="1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3020" w:type="dxa"/>
            <w:vAlign w:val="bottom"/>
            <w:gridSpan w:val="8"/>
          </w:tcPr>
          <w:p>
            <w:pPr>
              <w:jc w:val="right"/>
              <w:ind w:right="160"/>
              <w:spacing w:after="0"/>
              <w:rPr>
                <w:sz w:val="20"/>
                <w:szCs w:val="20"/>
                <w:color w:val="auto"/>
              </w:rPr>
            </w:pPr>
            <w:r>
              <w:rPr>
                <w:rFonts w:ascii="Arial" w:cs="Arial" w:eastAsia="Arial" w:hAnsi="Arial"/>
                <w:sz w:val="14"/>
                <w:szCs w:val="14"/>
                <w:b w:val="1"/>
                <w:bCs w:val="1"/>
                <w:color w:val="auto"/>
              </w:rPr>
              <w:t>(in $ millions, except percentages)</w:t>
            </w:r>
          </w:p>
        </w:tc>
        <w:tc>
          <w:tcPr>
            <w:tcW w:w="16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Argentina</w:t>
            </w:r>
          </w:p>
        </w:tc>
        <w:tc>
          <w:tcPr>
            <w:tcW w:w="24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131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2.7</w:t>
            </w:r>
          </w:p>
        </w:tc>
        <w:tc>
          <w:tcPr>
            <w:tcW w:w="28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3.8</w:t>
            </w:r>
          </w:p>
        </w:tc>
        <w:tc>
          <w:tcPr>
            <w:tcW w:w="2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604</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10.5</w:t>
            </w:r>
          </w:p>
        </w:tc>
        <w:tc>
          <w:tcPr>
            <w:tcW w:w="160" w:type="dxa"/>
            <w:vAlign w:val="bottom"/>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w w:val="76"/>
              </w:rPr>
              <w:t>$</w:t>
            </w: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295</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5.3</w:t>
            </w:r>
          </w:p>
        </w:tc>
        <w:tc>
          <w:tcPr>
            <w:tcW w:w="160" w:type="dxa"/>
            <w:vAlign w:val="bottom"/>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325</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5.4</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Belgium</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0.2</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0.2</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0.1</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Bolivia</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0.2</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0.3</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Brazil</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972</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19.8</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1,015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1,156</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20.0</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1,019</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18.5</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1,164</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19.3</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Chile</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534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10.9</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683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11.6</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177</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3.1</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171</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3.1</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69</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Colombia</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714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14.5</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906</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15.4</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626</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10.8</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829</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15.1</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653</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10.8</w:t>
            </w:r>
          </w:p>
        </w:tc>
        <w:tc>
          <w:tcPr>
            <w:tcW w:w="0" w:type="dxa"/>
            <w:vAlign w:val="bottom"/>
          </w:tcPr>
          <w:p>
            <w:pPr>
              <w:spacing w:after="0"/>
              <w:rPr>
                <w:sz w:val="1"/>
                <w:szCs w:val="1"/>
                <w:color w:val="auto"/>
              </w:rPr>
            </w:pPr>
          </w:p>
        </w:tc>
      </w:tr>
      <w:tr>
        <w:trPr>
          <w:trHeight w:val="149"/>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Costa Rica</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146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370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356</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6.6</w:t>
            </w:r>
          </w:p>
        </w:tc>
        <w:tc>
          <w:tcPr>
            <w:tcW w:w="0" w:type="dxa"/>
            <w:vAlign w:val="bottom"/>
          </w:tcPr>
          <w:p>
            <w:pPr>
              <w:spacing w:after="0"/>
              <w:rPr>
                <w:sz w:val="1"/>
                <w:szCs w:val="1"/>
                <w:color w:val="auto"/>
              </w:rPr>
            </w:pPr>
          </w:p>
        </w:tc>
      </w:tr>
      <w:tr>
        <w:trPr>
          <w:trHeight w:val="130"/>
        </w:trPr>
        <w:tc>
          <w:tcPr>
            <w:tcW w:w="1180" w:type="dxa"/>
            <w:vAlign w:val="bottom"/>
          </w:tcPr>
          <w:p>
            <w:pPr>
              <w:spacing w:after="0" w:line="130" w:lineRule="exact"/>
              <w:rPr>
                <w:sz w:val="20"/>
                <w:szCs w:val="20"/>
                <w:color w:val="auto"/>
              </w:rPr>
            </w:pPr>
            <w:r>
              <w:rPr>
                <w:rFonts w:ascii="Arial" w:cs="Arial" w:eastAsia="Arial" w:hAnsi="Arial"/>
                <w:sz w:val="14"/>
                <w:szCs w:val="14"/>
                <w:color w:val="auto"/>
              </w:rPr>
              <w:t>Dominican</w:t>
            </w: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80" w:type="dxa"/>
            <w:vAlign w:val="bottom"/>
          </w:tcPr>
          <w:p>
            <w:pPr>
              <w:spacing w:after="0"/>
              <w:rPr>
                <w:sz w:val="20"/>
                <w:szCs w:val="20"/>
                <w:color w:val="auto"/>
              </w:rPr>
            </w:pPr>
            <w:r>
              <w:rPr>
                <w:rFonts w:ascii="Arial" w:cs="Arial" w:eastAsia="Arial" w:hAnsi="Arial"/>
                <w:sz w:val="14"/>
                <w:szCs w:val="14"/>
                <w:color w:val="auto"/>
              </w:rPr>
              <w:t>Republic</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202</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4.1</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290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4.9</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color w:val="auto"/>
              </w:rPr>
              <w:t>301</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5.2</w:t>
            </w:r>
          </w:p>
        </w:tc>
        <w:tc>
          <w:tcPr>
            <w:tcW w:w="16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250</w:t>
            </w:r>
          </w:p>
        </w:tc>
        <w:tc>
          <w:tcPr>
            <w:tcW w:w="980" w:type="dxa"/>
            <w:vAlign w:val="bottom"/>
            <w:gridSpan w:val="2"/>
          </w:tcPr>
          <w:p>
            <w:pPr>
              <w:jc w:val="right"/>
              <w:ind w:right="220"/>
              <w:spacing w:after="0"/>
              <w:rPr>
                <w:sz w:val="20"/>
                <w:szCs w:val="20"/>
                <w:color w:val="auto"/>
              </w:rPr>
            </w:pPr>
            <w:r>
              <w:rPr>
                <w:rFonts w:ascii="Arial" w:cs="Arial" w:eastAsia="Arial" w:hAnsi="Arial"/>
                <w:sz w:val="14"/>
                <w:szCs w:val="14"/>
                <w:color w:val="auto"/>
              </w:rPr>
              <w:t>4.5</w:t>
            </w:r>
          </w:p>
        </w:tc>
        <w:tc>
          <w:tcPr>
            <w:tcW w:w="16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244</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Ecuador</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0.9</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188</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3.3</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94</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129</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El Salvador</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0.8</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105</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France</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3.1</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2.6</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Germany</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0.3</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0.7</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0.8</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Guatemala</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281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5.7</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4.7</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329</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5.7.</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309</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5.6</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316</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5.2</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Honduras</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129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89</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75</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73</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Hong Kong</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Jamaica</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0.5</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0.7</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22</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0.4</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24</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0.4</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0.1</w:t>
            </w:r>
          </w:p>
        </w:tc>
        <w:tc>
          <w:tcPr>
            <w:tcW w:w="0" w:type="dxa"/>
            <w:vAlign w:val="bottom"/>
          </w:tcPr>
          <w:p>
            <w:pPr>
              <w:spacing w:after="0"/>
              <w:rPr>
                <w:sz w:val="1"/>
                <w:szCs w:val="1"/>
                <w:color w:val="auto"/>
              </w:rPr>
            </w:pPr>
          </w:p>
        </w:tc>
      </w:tr>
      <w:tr>
        <w:trPr>
          <w:trHeight w:val="149"/>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Luxembourg</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0.3</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0.4</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0.2</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Mexico</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607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12.4</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754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12.8</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867</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15.0</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850</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15.4</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927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15.4</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Nicaragua</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30</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0.5</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37</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0.6</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Panama</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241</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4.9</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485</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8.4</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500</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9.1</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499</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Paraguay</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128</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159</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60</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108</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1180" w:type="dxa"/>
            <w:vAlign w:val="bottom"/>
          </w:tcPr>
          <w:p>
            <w:pPr>
              <w:spacing w:after="0" w:line="149" w:lineRule="exact"/>
              <w:rPr>
                <w:sz w:val="20"/>
                <w:szCs w:val="20"/>
                <w:color w:val="auto"/>
              </w:rPr>
            </w:pPr>
            <w:r>
              <w:rPr>
                <w:rFonts w:ascii="Arial" w:cs="Arial" w:eastAsia="Arial" w:hAnsi="Arial"/>
                <w:sz w:val="14"/>
                <w:szCs w:val="14"/>
                <w:color w:val="auto"/>
              </w:rPr>
              <w:t>Peru</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273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5.6</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78</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1.4</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212</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467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7.8</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Singapore</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75</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0.7</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55</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8"/>
        </w:trPr>
        <w:tc>
          <w:tcPr>
            <w:tcW w:w="1180" w:type="dxa"/>
            <w:vAlign w:val="bottom"/>
          </w:tcPr>
          <w:p>
            <w:pPr>
              <w:spacing w:after="0" w:line="149" w:lineRule="exact"/>
              <w:rPr>
                <w:sz w:val="20"/>
                <w:szCs w:val="20"/>
                <w:color w:val="auto"/>
              </w:rPr>
            </w:pPr>
            <w:r>
              <w:rPr>
                <w:rFonts w:ascii="Arial" w:cs="Arial" w:eastAsia="Arial" w:hAnsi="Arial"/>
                <w:sz w:val="14"/>
                <w:szCs w:val="14"/>
                <w:color w:val="auto"/>
              </w:rPr>
              <w:t>Switzerland</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46</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0.8</w:t>
            </w:r>
          </w:p>
        </w:tc>
        <w:tc>
          <w:tcPr>
            <w:tcW w:w="0" w:type="dxa"/>
            <w:vAlign w:val="bottom"/>
          </w:tcPr>
          <w:p>
            <w:pPr>
              <w:spacing w:after="0"/>
              <w:rPr>
                <w:sz w:val="1"/>
                <w:szCs w:val="1"/>
                <w:color w:val="auto"/>
              </w:rPr>
            </w:pPr>
          </w:p>
        </w:tc>
      </w:tr>
      <w:tr>
        <w:trPr>
          <w:trHeight w:val="148"/>
        </w:trPr>
        <w:tc>
          <w:tcPr>
            <w:tcW w:w="1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Trinidad &amp; Tobago</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3.1</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145</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175</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w:t>
            </w:r>
          </w:p>
        </w:tc>
        <w:tc>
          <w:tcPr>
            <w:tcW w:w="16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184</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3.1</w:t>
            </w:r>
          </w:p>
        </w:tc>
        <w:tc>
          <w:tcPr>
            <w:tcW w:w="0" w:type="dxa"/>
            <w:vAlign w:val="bottom"/>
          </w:tcPr>
          <w:p>
            <w:pPr>
              <w:spacing w:after="0"/>
              <w:rPr>
                <w:sz w:val="1"/>
                <w:szCs w:val="1"/>
                <w:color w:val="auto"/>
              </w:rPr>
            </w:pPr>
          </w:p>
        </w:tc>
      </w:tr>
      <w:tr>
        <w:trPr>
          <w:trHeight w:val="149"/>
        </w:trPr>
        <w:tc>
          <w:tcPr>
            <w:tcW w:w="1180" w:type="dxa"/>
            <w:vAlign w:val="bottom"/>
          </w:tcPr>
          <w:p>
            <w:pPr>
              <w:spacing w:after="0" w:line="149" w:lineRule="exact"/>
              <w:rPr>
                <w:sz w:val="20"/>
                <w:szCs w:val="20"/>
                <w:color w:val="auto"/>
              </w:rPr>
            </w:pPr>
            <w:r>
              <w:rPr>
                <w:rFonts w:ascii="Arial" w:cs="Arial" w:eastAsia="Arial" w:hAnsi="Arial"/>
                <w:sz w:val="14"/>
                <w:szCs w:val="14"/>
                <w:color w:val="auto"/>
              </w:rPr>
              <w:t>United Kingdom</w:t>
            </w: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8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8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w:t>
            </w:r>
          </w:p>
        </w:tc>
        <w:tc>
          <w:tcPr>
            <w:tcW w:w="0" w:type="dxa"/>
            <w:vAlign w:val="bottom"/>
          </w:tcPr>
          <w:p>
            <w:pPr>
              <w:spacing w:after="0"/>
              <w:rPr>
                <w:sz w:val="1"/>
                <w:szCs w:val="1"/>
                <w:color w:val="auto"/>
              </w:rPr>
            </w:pPr>
          </w:p>
        </w:tc>
      </w:tr>
      <w:tr>
        <w:trPr>
          <w:trHeight w:val="130"/>
        </w:trPr>
        <w:tc>
          <w:tcPr>
            <w:tcW w:w="118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United States of</w:t>
            </w:r>
          </w:p>
        </w:tc>
        <w:tc>
          <w:tcPr>
            <w:tcW w:w="8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80" w:type="dxa"/>
            <w:vAlign w:val="bottom"/>
            <w:shd w:val="clear" w:color="auto" w:fill="CCEEFF"/>
          </w:tcPr>
          <w:p>
            <w:pPr>
              <w:spacing w:after="0"/>
              <w:rPr>
                <w:sz w:val="20"/>
                <w:szCs w:val="20"/>
                <w:color w:val="auto"/>
              </w:rPr>
            </w:pPr>
            <w:r>
              <w:rPr>
                <w:rFonts w:ascii="Arial" w:cs="Arial" w:eastAsia="Arial" w:hAnsi="Arial"/>
                <w:sz w:val="14"/>
                <w:szCs w:val="14"/>
                <w:color w:val="auto"/>
              </w:rPr>
              <w:t>America</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114</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2.3</w:t>
            </w:r>
          </w:p>
        </w:tc>
        <w:tc>
          <w:tcPr>
            <w:tcW w:w="1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25</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0.4</w:t>
            </w:r>
          </w:p>
        </w:tc>
        <w:tc>
          <w:tcPr>
            <w:tcW w:w="1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44</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0.8</w:t>
            </w:r>
          </w:p>
        </w:tc>
        <w:tc>
          <w:tcPr>
            <w:tcW w:w="160" w:type="dxa"/>
            <w:vAlign w:val="bottom"/>
            <w:shd w:val="clear" w:color="auto" w:fill="CCEEFF"/>
          </w:tcPr>
          <w:p>
            <w:pPr>
              <w:spacing w:after="0"/>
              <w:rPr>
                <w:sz w:val="14"/>
                <w:szCs w:val="14"/>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73</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62"/>
        </w:trPr>
        <w:tc>
          <w:tcPr>
            <w:tcW w:w="1180" w:type="dxa"/>
            <w:vAlign w:val="bottom"/>
          </w:tcPr>
          <w:p>
            <w:pPr>
              <w:spacing w:after="0"/>
              <w:rPr>
                <w:sz w:val="20"/>
                <w:szCs w:val="20"/>
                <w:color w:val="auto"/>
              </w:rPr>
            </w:pPr>
            <w:r>
              <w:rPr>
                <w:rFonts w:ascii="Arial" w:cs="Arial" w:eastAsia="Arial" w:hAnsi="Arial"/>
                <w:sz w:val="14"/>
                <w:szCs w:val="14"/>
                <w:color w:val="auto"/>
              </w:rPr>
              <w:t>Uruguay</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4"/>
                <w:szCs w:val="14"/>
                <w:color w:val="auto"/>
              </w:rPr>
              <w:t>1</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4"/>
                <w:szCs w:val="14"/>
                <w:color w:val="auto"/>
              </w:rPr>
              <w:t>10</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0.2</w:t>
            </w:r>
          </w:p>
        </w:tc>
        <w:tc>
          <w:tcPr>
            <w:tcW w:w="160" w:type="dxa"/>
            <w:vAlign w:val="bottom"/>
          </w:tcPr>
          <w:p>
            <w:pPr>
              <w:spacing w:after="0"/>
              <w:rPr>
                <w:sz w:val="14"/>
                <w:szCs w:val="14"/>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4"/>
                <w:szCs w:val="14"/>
                <w:color w:val="auto"/>
              </w:rPr>
              <w:t>15</w:t>
            </w:r>
          </w:p>
        </w:tc>
        <w:tc>
          <w:tcPr>
            <w:tcW w:w="980" w:type="dxa"/>
            <w:vAlign w:val="bottom"/>
            <w:gridSpan w:val="2"/>
          </w:tcPr>
          <w:p>
            <w:pPr>
              <w:jc w:val="right"/>
              <w:ind w:right="220"/>
              <w:spacing w:after="0"/>
              <w:rPr>
                <w:sz w:val="20"/>
                <w:szCs w:val="20"/>
                <w:color w:val="auto"/>
              </w:rPr>
            </w:pPr>
            <w:r>
              <w:rPr>
                <w:rFonts w:ascii="Arial" w:cs="Arial" w:eastAsia="Arial" w:hAnsi="Arial"/>
                <w:sz w:val="14"/>
                <w:szCs w:val="14"/>
                <w:color w:val="auto"/>
              </w:rPr>
              <w:t>0.3</w:t>
            </w:r>
          </w:p>
        </w:tc>
        <w:tc>
          <w:tcPr>
            <w:tcW w:w="16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4"/>
                <w:szCs w:val="14"/>
                <w:color w:val="auto"/>
              </w:rPr>
              <w:t>37</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0.6</w:t>
            </w:r>
          </w:p>
        </w:tc>
        <w:tc>
          <w:tcPr>
            <w:tcW w:w="0" w:type="dxa"/>
            <w:vAlign w:val="bottom"/>
          </w:tcPr>
          <w:p>
            <w:pPr>
              <w:spacing w:after="0"/>
              <w:rPr>
                <w:sz w:val="1"/>
                <w:szCs w:val="1"/>
                <w:color w:val="auto"/>
              </w:rPr>
            </w:pPr>
          </w:p>
        </w:tc>
      </w:tr>
      <w:tr>
        <w:trPr>
          <w:trHeight w:val="155"/>
        </w:trPr>
        <w:tc>
          <w:tcPr>
            <w:tcW w:w="1180" w:type="dxa"/>
            <w:vAlign w:val="bottom"/>
            <w:tcBorders>
              <w:top w:val="single" w:sz="8" w:color="CCEEFF"/>
              <w:bottom w:val="single" w:sz="8" w:color="CCEEFF"/>
            </w:tcBorders>
            <w:shd w:val="clear" w:color="auto" w:fill="CCEEFF"/>
          </w:tcPr>
          <w:p>
            <w:pPr>
              <w:ind w:left="340"/>
              <w:spacing w:after="0" w:line="155" w:lineRule="exact"/>
              <w:rPr>
                <w:sz w:val="20"/>
                <w:szCs w:val="20"/>
                <w:color w:val="auto"/>
              </w:rPr>
            </w:pPr>
            <w:r>
              <w:rPr>
                <w:rFonts w:ascii="Arial" w:cs="Arial" w:eastAsia="Arial" w:hAnsi="Arial"/>
                <w:sz w:val="14"/>
                <w:szCs w:val="14"/>
                <w:b w:val="1"/>
                <w:bCs w:val="1"/>
                <w:color w:val="auto"/>
              </w:rPr>
              <w:t>Total</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b w:val="1"/>
                <w:bCs w:val="1"/>
                <w:color w:val="auto"/>
                <w:w w:val="76"/>
              </w:rPr>
              <w:t>$</w:t>
            </w:r>
          </w:p>
        </w:tc>
        <w:tc>
          <w:tcPr>
            <w:tcW w:w="6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b w:val="1"/>
                <w:bCs w:val="1"/>
                <w:color w:val="auto"/>
                <w:w w:val="76"/>
              </w:rPr>
              <w:t>$</w:t>
            </w:r>
          </w:p>
        </w:tc>
        <w:tc>
          <w:tcPr>
            <w:tcW w:w="6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6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5,778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8"/>
              <w:spacing w:after="0" w:line="155" w:lineRule="exact"/>
              <w:rPr>
                <w:sz w:val="20"/>
                <w:szCs w:val="20"/>
                <w:color w:val="auto"/>
              </w:rPr>
            </w:pPr>
            <w:r>
              <w:rPr>
                <w:rFonts w:ascii="Arial" w:cs="Arial" w:eastAsia="Arial" w:hAnsi="Arial"/>
                <w:sz w:val="14"/>
                <w:szCs w:val="14"/>
                <w:b w:val="1"/>
                <w:bCs w:val="1"/>
                <w:color w:val="auto"/>
                <w:w w:val="76"/>
              </w:rPr>
              <w:t>$</w:t>
            </w:r>
          </w:p>
        </w:tc>
        <w:tc>
          <w:tcPr>
            <w:tcW w:w="6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5,506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jc w:val="right"/>
              <w:ind w:right="49"/>
              <w:spacing w:after="0"/>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6,021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relating to countries outside the Region pertains to transactions carried out in the Region, with credit risk transferred outside the Region by way of legally binding corporate guarantees that are payable at first demand. As of December 31, 2020, the Bank’s combined Loan Portfolio associated with European country risk represented $221 million, or 4.50% of the total Loan Portfolio, compared to $261 million, or 4.42% of the total Loan Portfolio as of December 31, 2019 and $48 million, or 0.84% as of December 31, 2018.</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Loan Portfolio by Type of Borrower</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amounts of the Bank’s Loan Portfolio by type of borrower as of the dates indicated:</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4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6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4"/>
                <w:szCs w:val="14"/>
                <w:b w:val="1"/>
                <w:bCs w:val="1"/>
                <w:color w:val="auto"/>
                <w:w w:val="92"/>
              </w:rPr>
              <w:t>As of December 31,</w:t>
            </w: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rPr>
              <w:t>% of</w:t>
            </w:r>
          </w:p>
        </w:tc>
        <w:tc>
          <w:tcPr>
            <w:tcW w:w="1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00" w:type="dxa"/>
            <w:vAlign w:val="bottom"/>
            <w:gridSpan w:val="2"/>
          </w:tcPr>
          <w:p>
            <w:pPr>
              <w:jc w:val="center"/>
              <w:ind w:right="80"/>
              <w:spacing w:after="0" w:line="119" w:lineRule="exact"/>
              <w:rPr>
                <w:sz w:val="20"/>
                <w:szCs w:val="20"/>
                <w:color w:val="auto"/>
              </w:rPr>
            </w:pPr>
            <w:r>
              <w:rPr>
                <w:rFonts w:ascii="Arial" w:cs="Arial" w:eastAsia="Arial" w:hAnsi="Arial"/>
                <w:sz w:val="13"/>
                <w:szCs w:val="13"/>
                <w:b w:val="1"/>
                <w:bCs w:val="1"/>
                <w:color w:val="auto"/>
              </w:rPr>
              <w:t>% of</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80" w:type="dxa"/>
            <w:vAlign w:val="bottom"/>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rPr>
              <w:t>% of</w:t>
            </w:r>
          </w:p>
        </w:tc>
        <w:tc>
          <w:tcPr>
            <w:tcW w:w="1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rPr>
              <w:t>% of</w:t>
            </w:r>
          </w:p>
        </w:tc>
        <w:tc>
          <w:tcPr>
            <w:tcW w:w="12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2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 of</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8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w w:val="96"/>
              </w:rPr>
              <w:t>2020</w:t>
            </w:r>
          </w:p>
        </w:tc>
        <w:tc>
          <w:tcPr>
            <w:tcW w:w="160" w:type="dxa"/>
            <w:vAlign w:val="bottom"/>
          </w:tcPr>
          <w:p>
            <w:pPr>
              <w:spacing w:after="0"/>
              <w:rPr>
                <w:sz w:val="12"/>
                <w:szCs w:val="12"/>
                <w:color w:val="auto"/>
              </w:rPr>
            </w:pPr>
          </w:p>
        </w:tc>
        <w:tc>
          <w:tcPr>
            <w:tcW w:w="76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5"/>
              </w:rPr>
              <w:t>Total</w:t>
            </w:r>
          </w:p>
        </w:tc>
        <w:tc>
          <w:tcPr>
            <w:tcW w:w="120" w:type="dxa"/>
            <w:vAlign w:val="bottom"/>
          </w:tcPr>
          <w:p>
            <w:pPr>
              <w:spacing w:after="0"/>
              <w:rPr>
                <w:sz w:val="12"/>
                <w:szCs w:val="12"/>
                <w:color w:val="auto"/>
              </w:rPr>
            </w:pPr>
          </w:p>
        </w:tc>
        <w:tc>
          <w:tcPr>
            <w:tcW w:w="52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2019</w:t>
            </w:r>
          </w:p>
        </w:tc>
        <w:tc>
          <w:tcPr>
            <w:tcW w:w="160" w:type="dxa"/>
            <w:vAlign w:val="bottom"/>
          </w:tcPr>
          <w:p>
            <w:pPr>
              <w:spacing w:after="0"/>
              <w:rPr>
                <w:sz w:val="12"/>
                <w:szCs w:val="12"/>
                <w:color w:val="auto"/>
              </w:rPr>
            </w:pPr>
          </w:p>
        </w:tc>
        <w:tc>
          <w:tcPr>
            <w:tcW w:w="700" w:type="dxa"/>
            <w:vAlign w:val="bottom"/>
            <w:gridSpan w:val="2"/>
          </w:tcPr>
          <w:p>
            <w:pPr>
              <w:jc w:val="center"/>
              <w:ind w:right="80"/>
              <w:spacing w:after="0" w:line="149" w:lineRule="exact"/>
              <w:rPr>
                <w:sz w:val="20"/>
                <w:szCs w:val="20"/>
                <w:color w:val="auto"/>
              </w:rPr>
            </w:pPr>
            <w:r>
              <w:rPr>
                <w:rFonts w:ascii="Arial" w:cs="Arial" w:eastAsia="Arial" w:hAnsi="Arial"/>
                <w:sz w:val="14"/>
                <w:szCs w:val="14"/>
                <w:b w:val="1"/>
                <w:bCs w:val="1"/>
                <w:color w:val="auto"/>
                <w:w w:val="89"/>
              </w:rPr>
              <w:t>Total</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2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2018</w:t>
            </w:r>
          </w:p>
        </w:tc>
        <w:tc>
          <w:tcPr>
            <w:tcW w:w="160" w:type="dxa"/>
            <w:vAlign w:val="bottom"/>
          </w:tcPr>
          <w:p>
            <w:pPr>
              <w:spacing w:after="0"/>
              <w:rPr>
                <w:sz w:val="12"/>
                <w:szCs w:val="12"/>
                <w:color w:val="auto"/>
              </w:rPr>
            </w:pPr>
          </w:p>
        </w:tc>
        <w:tc>
          <w:tcPr>
            <w:tcW w:w="78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89"/>
              </w:rPr>
              <w:t>Total</w:t>
            </w:r>
          </w:p>
        </w:tc>
        <w:tc>
          <w:tcPr>
            <w:tcW w:w="120" w:type="dxa"/>
            <w:vAlign w:val="bottom"/>
          </w:tcPr>
          <w:p>
            <w:pPr>
              <w:spacing w:after="0"/>
              <w:rPr>
                <w:sz w:val="12"/>
                <w:szCs w:val="12"/>
                <w:color w:val="auto"/>
              </w:rPr>
            </w:pPr>
          </w:p>
        </w:tc>
        <w:tc>
          <w:tcPr>
            <w:tcW w:w="52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2017</w:t>
            </w:r>
          </w:p>
        </w:tc>
        <w:tc>
          <w:tcPr>
            <w:tcW w:w="160" w:type="dxa"/>
            <w:vAlign w:val="bottom"/>
          </w:tcPr>
          <w:p>
            <w:pPr>
              <w:spacing w:after="0"/>
              <w:rPr>
                <w:sz w:val="12"/>
                <w:szCs w:val="12"/>
                <w:color w:val="auto"/>
              </w:rPr>
            </w:pPr>
          </w:p>
        </w:tc>
        <w:tc>
          <w:tcPr>
            <w:tcW w:w="80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89"/>
              </w:rPr>
              <w:t>Total</w:t>
            </w:r>
          </w:p>
        </w:tc>
        <w:tc>
          <w:tcPr>
            <w:tcW w:w="120" w:type="dxa"/>
            <w:vAlign w:val="bottom"/>
          </w:tcPr>
          <w:p>
            <w:pPr>
              <w:spacing w:after="0"/>
              <w:rPr>
                <w:sz w:val="12"/>
                <w:szCs w:val="12"/>
                <w:color w:val="auto"/>
              </w:rPr>
            </w:pPr>
          </w:p>
        </w:tc>
        <w:tc>
          <w:tcPr>
            <w:tcW w:w="52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2016</w:t>
            </w:r>
          </w:p>
        </w:tc>
        <w:tc>
          <w:tcPr>
            <w:tcW w:w="200" w:type="dxa"/>
            <w:vAlign w:val="bottom"/>
          </w:tcPr>
          <w:p>
            <w:pPr>
              <w:spacing w:after="0"/>
              <w:rPr>
                <w:sz w:val="12"/>
                <w:szCs w:val="12"/>
                <w:color w:val="auto"/>
              </w:rPr>
            </w:pPr>
          </w:p>
        </w:tc>
        <w:tc>
          <w:tcPr>
            <w:tcW w:w="720" w:type="dxa"/>
            <w:vAlign w:val="bottom"/>
            <w:gridSpan w:val="2"/>
          </w:tcPr>
          <w:p>
            <w:pPr>
              <w:jc w:val="center"/>
              <w:ind w:right="100"/>
              <w:spacing w:after="0" w:line="149" w:lineRule="exact"/>
              <w:rPr>
                <w:sz w:val="20"/>
                <w:szCs w:val="20"/>
                <w:color w:val="auto"/>
              </w:rPr>
            </w:pPr>
            <w:r>
              <w:rPr>
                <w:rFonts w:ascii="Arial" w:cs="Arial" w:eastAsia="Arial" w:hAnsi="Arial"/>
                <w:sz w:val="14"/>
                <w:szCs w:val="14"/>
                <w:b w:val="1"/>
                <w:bCs w:val="1"/>
                <w:color w:val="auto"/>
                <w:w w:val="89"/>
              </w:rPr>
              <w:t>Total</w:t>
            </w:r>
          </w:p>
        </w:tc>
        <w:tc>
          <w:tcPr>
            <w:tcW w:w="0" w:type="dxa"/>
            <w:vAlign w:val="bottom"/>
          </w:tcPr>
          <w:p>
            <w:pPr>
              <w:spacing w:after="0"/>
              <w:rPr>
                <w:sz w:val="1"/>
                <w:szCs w:val="1"/>
                <w:color w:val="auto"/>
              </w:rPr>
            </w:pPr>
          </w:p>
        </w:tc>
      </w:tr>
      <w:tr>
        <w:trPr>
          <w:trHeight w:val="171"/>
        </w:trPr>
        <w:tc>
          <w:tcPr>
            <w:tcW w:w="34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vMerge w:val="continue"/>
          </w:tcPr>
          <w:p>
            <w:pPr>
              <w:spacing w:after="0"/>
              <w:rPr>
                <w:sz w:val="14"/>
                <w:szCs w:val="14"/>
                <w:color w:val="auto"/>
              </w:rPr>
            </w:pPr>
          </w:p>
        </w:tc>
        <w:tc>
          <w:tcPr>
            <w:tcW w:w="160" w:type="dxa"/>
            <w:vAlign w:val="bottom"/>
          </w:tcPr>
          <w:p>
            <w:pPr>
              <w:spacing w:after="0"/>
              <w:rPr>
                <w:sz w:val="14"/>
                <w:szCs w:val="14"/>
                <w:color w:val="auto"/>
              </w:rPr>
            </w:pPr>
          </w:p>
        </w:tc>
        <w:tc>
          <w:tcPr>
            <w:tcW w:w="6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1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vMerge w:val="continue"/>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vMerge w:val="continue"/>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1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vMerge w:val="continue"/>
          </w:tcPr>
          <w:p>
            <w:pPr>
              <w:spacing w:after="0"/>
              <w:rPr>
                <w:sz w:val="14"/>
                <w:szCs w:val="14"/>
                <w:color w:val="auto"/>
              </w:rPr>
            </w:pPr>
          </w:p>
        </w:tc>
        <w:tc>
          <w:tcPr>
            <w:tcW w:w="160" w:type="dxa"/>
            <w:vAlign w:val="bottom"/>
          </w:tcPr>
          <w:p>
            <w:pPr>
              <w:spacing w:after="0"/>
              <w:rPr>
                <w:sz w:val="14"/>
                <w:szCs w:val="14"/>
                <w:color w:val="auto"/>
              </w:rPr>
            </w:pPr>
          </w:p>
        </w:tc>
        <w:tc>
          <w:tcPr>
            <w:tcW w:w="6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18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vMerge w:val="continue"/>
          </w:tcPr>
          <w:p>
            <w:pPr>
              <w:spacing w:after="0"/>
              <w:rPr>
                <w:sz w:val="14"/>
                <w:szCs w:val="14"/>
                <w:color w:val="auto"/>
              </w:rPr>
            </w:pPr>
          </w:p>
        </w:tc>
        <w:tc>
          <w:tcPr>
            <w:tcW w:w="200" w:type="dxa"/>
            <w:vAlign w:val="bottom"/>
          </w:tcPr>
          <w:p>
            <w:pPr>
              <w:spacing w:after="0"/>
              <w:rPr>
                <w:sz w:val="14"/>
                <w:szCs w:val="14"/>
                <w:color w:val="auto"/>
              </w:rPr>
            </w:pPr>
          </w:p>
        </w:tc>
        <w:tc>
          <w:tcPr>
            <w:tcW w:w="6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Loans</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3160" w:type="dxa"/>
            <w:vAlign w:val="bottom"/>
            <w:gridSpan w:val="11"/>
          </w:tcPr>
          <w:p>
            <w:pPr>
              <w:jc w:val="center"/>
              <w:ind w:right="40"/>
              <w:spacing w:after="0" w:line="142" w:lineRule="exact"/>
              <w:rPr>
                <w:sz w:val="20"/>
                <w:szCs w:val="20"/>
                <w:color w:val="auto"/>
              </w:rPr>
            </w:pPr>
            <w:r>
              <w:rPr>
                <w:rFonts w:ascii="Arial" w:cs="Arial" w:eastAsia="Arial" w:hAnsi="Arial"/>
                <w:sz w:val="14"/>
                <w:szCs w:val="14"/>
                <w:b w:val="1"/>
                <w:bCs w:val="1"/>
                <w:color w:val="auto"/>
                <w:w w:val="90"/>
              </w:rPr>
              <w:t>(in $ millions, except percentages)</w:t>
            </w:r>
          </w:p>
        </w:tc>
        <w:tc>
          <w:tcPr>
            <w:tcW w:w="6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4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w w:val="95"/>
              </w:rPr>
              <w:t>Private sector commercial banks and financial institutions</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2,232</w:t>
            </w:r>
          </w:p>
        </w:tc>
        <w:tc>
          <w:tcPr>
            <w:tcW w:w="7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45.4</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2,693</w:t>
            </w:r>
          </w:p>
        </w:tc>
        <w:tc>
          <w:tcPr>
            <w:tcW w:w="7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45.7</w:t>
            </w:r>
          </w:p>
        </w:tc>
        <w:tc>
          <w:tcPr>
            <w:tcW w:w="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2,459</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42.5</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2,084</w:t>
            </w: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37.9</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1,739</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28.9</w:t>
            </w:r>
          </w:p>
        </w:tc>
        <w:tc>
          <w:tcPr>
            <w:tcW w:w="0" w:type="dxa"/>
            <w:vAlign w:val="bottom"/>
          </w:tcPr>
          <w:p>
            <w:pPr>
              <w:spacing w:after="0"/>
              <w:rPr>
                <w:sz w:val="1"/>
                <w:szCs w:val="1"/>
                <w:color w:val="auto"/>
              </w:rPr>
            </w:pPr>
          </w:p>
        </w:tc>
      </w:tr>
      <w:tr>
        <w:trPr>
          <w:trHeight w:val="149"/>
        </w:trPr>
        <w:tc>
          <w:tcPr>
            <w:tcW w:w="3400" w:type="dxa"/>
            <w:vAlign w:val="bottom"/>
          </w:tcPr>
          <w:p>
            <w:pPr>
              <w:spacing w:after="0" w:line="149" w:lineRule="exact"/>
              <w:rPr>
                <w:sz w:val="20"/>
                <w:szCs w:val="20"/>
                <w:color w:val="auto"/>
              </w:rPr>
            </w:pPr>
            <w:r>
              <w:rPr>
                <w:rFonts w:ascii="Arial" w:cs="Arial" w:eastAsia="Arial" w:hAnsi="Arial"/>
                <w:sz w:val="14"/>
                <w:szCs w:val="14"/>
                <w:color w:val="auto"/>
              </w:rPr>
              <w:t>State-owned commercial banks</w:t>
            </w:r>
          </w:p>
        </w:tc>
        <w:tc>
          <w:tcPr>
            <w:tcW w:w="120" w:type="dxa"/>
            <w:vAlign w:val="bottom"/>
          </w:tcPr>
          <w:p>
            <w:pPr>
              <w:spacing w:after="0"/>
              <w:rPr>
                <w:sz w:val="12"/>
                <w:szCs w:val="12"/>
                <w:color w:val="auto"/>
              </w:rPr>
            </w:pPr>
          </w:p>
        </w:tc>
        <w:tc>
          <w:tcPr>
            <w:tcW w:w="6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477</w:t>
            </w:r>
          </w:p>
        </w:tc>
        <w:tc>
          <w:tcPr>
            <w:tcW w:w="7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9.7</w:t>
            </w: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590</w:t>
            </w:r>
          </w:p>
        </w:tc>
        <w:tc>
          <w:tcPr>
            <w:tcW w:w="7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624</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10.8</w:t>
            </w: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574</w:t>
            </w: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10.4</w:t>
            </w:r>
          </w:p>
        </w:tc>
        <w:tc>
          <w:tcPr>
            <w:tcW w:w="120" w:type="dxa"/>
            <w:vAlign w:val="bottom"/>
          </w:tcPr>
          <w:p>
            <w:pPr>
              <w:spacing w:after="0"/>
              <w:rPr>
                <w:sz w:val="12"/>
                <w:szCs w:val="12"/>
                <w:color w:val="auto"/>
              </w:rPr>
            </w:pPr>
          </w:p>
        </w:tc>
        <w:tc>
          <w:tcPr>
            <w:tcW w:w="7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515</w:t>
            </w: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8.5</w:t>
            </w:r>
          </w:p>
        </w:tc>
        <w:tc>
          <w:tcPr>
            <w:tcW w:w="0" w:type="dxa"/>
            <w:vAlign w:val="bottom"/>
          </w:tcPr>
          <w:p>
            <w:pPr>
              <w:spacing w:after="0"/>
              <w:rPr>
                <w:sz w:val="1"/>
                <w:szCs w:val="1"/>
                <w:color w:val="auto"/>
              </w:rPr>
            </w:pPr>
          </w:p>
        </w:tc>
      </w:tr>
      <w:tr>
        <w:trPr>
          <w:trHeight w:val="148"/>
        </w:trPr>
        <w:tc>
          <w:tcPr>
            <w:tcW w:w="34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Central banks</w:t>
            </w:r>
          </w:p>
        </w:tc>
        <w:tc>
          <w:tcPr>
            <w:tcW w:w="1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7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7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w:t>
            </w: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30</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0.5</w:t>
            </w:r>
          </w:p>
        </w:tc>
        <w:tc>
          <w:tcPr>
            <w:tcW w:w="0" w:type="dxa"/>
            <w:vAlign w:val="bottom"/>
          </w:tcPr>
          <w:p>
            <w:pPr>
              <w:spacing w:after="0"/>
              <w:rPr>
                <w:sz w:val="1"/>
                <w:szCs w:val="1"/>
                <w:color w:val="auto"/>
              </w:rPr>
            </w:pPr>
          </w:p>
        </w:tc>
      </w:tr>
      <w:tr>
        <w:trPr>
          <w:trHeight w:val="148"/>
        </w:trPr>
        <w:tc>
          <w:tcPr>
            <w:tcW w:w="3400" w:type="dxa"/>
            <w:vAlign w:val="bottom"/>
          </w:tcPr>
          <w:p>
            <w:pPr>
              <w:spacing w:after="0" w:line="149" w:lineRule="exact"/>
              <w:rPr>
                <w:sz w:val="20"/>
                <w:szCs w:val="20"/>
                <w:color w:val="auto"/>
              </w:rPr>
            </w:pPr>
            <w:r>
              <w:rPr>
                <w:rFonts w:ascii="Arial" w:cs="Arial" w:eastAsia="Arial" w:hAnsi="Arial"/>
                <w:sz w:val="14"/>
                <w:szCs w:val="14"/>
                <w:color w:val="auto"/>
              </w:rPr>
              <w:t>State-owned organizations</w:t>
            </w:r>
          </w:p>
        </w:tc>
        <w:tc>
          <w:tcPr>
            <w:tcW w:w="120" w:type="dxa"/>
            <w:vAlign w:val="bottom"/>
          </w:tcPr>
          <w:p>
            <w:pPr>
              <w:spacing w:after="0"/>
              <w:rPr>
                <w:sz w:val="12"/>
                <w:szCs w:val="12"/>
                <w:color w:val="auto"/>
              </w:rPr>
            </w:pPr>
          </w:p>
        </w:tc>
        <w:tc>
          <w:tcPr>
            <w:tcW w:w="6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742</w:t>
            </w:r>
          </w:p>
        </w:tc>
        <w:tc>
          <w:tcPr>
            <w:tcW w:w="76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15.1</w:t>
            </w: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780</w:t>
            </w:r>
          </w:p>
        </w:tc>
        <w:tc>
          <w:tcPr>
            <w:tcW w:w="7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743</w:t>
            </w:r>
          </w:p>
        </w:tc>
        <w:tc>
          <w:tcPr>
            <w:tcW w:w="7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12.9</w:t>
            </w:r>
          </w:p>
        </w:tc>
        <w:tc>
          <w:tcPr>
            <w:tcW w:w="120" w:type="dxa"/>
            <w:vAlign w:val="bottom"/>
          </w:tcPr>
          <w:p>
            <w:pPr>
              <w:spacing w:after="0"/>
              <w:rPr>
                <w:sz w:val="12"/>
                <w:szCs w:val="12"/>
                <w:color w:val="auto"/>
              </w:rPr>
            </w:pPr>
          </w:p>
        </w:tc>
        <w:tc>
          <w:tcPr>
            <w:tcW w:w="6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723</w:t>
            </w:r>
          </w:p>
        </w:tc>
        <w:tc>
          <w:tcPr>
            <w:tcW w:w="8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13.1</w:t>
            </w:r>
          </w:p>
        </w:tc>
        <w:tc>
          <w:tcPr>
            <w:tcW w:w="120" w:type="dxa"/>
            <w:vAlign w:val="bottom"/>
          </w:tcPr>
          <w:p>
            <w:pPr>
              <w:spacing w:after="0"/>
              <w:rPr>
                <w:sz w:val="12"/>
                <w:szCs w:val="12"/>
                <w:color w:val="auto"/>
              </w:rPr>
            </w:pPr>
          </w:p>
        </w:tc>
        <w:tc>
          <w:tcPr>
            <w:tcW w:w="72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787</w:t>
            </w:r>
          </w:p>
        </w:tc>
        <w:tc>
          <w:tcPr>
            <w:tcW w:w="7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13.1</w:t>
            </w:r>
          </w:p>
        </w:tc>
        <w:tc>
          <w:tcPr>
            <w:tcW w:w="0" w:type="dxa"/>
            <w:vAlign w:val="bottom"/>
          </w:tcPr>
          <w:p>
            <w:pPr>
              <w:spacing w:after="0"/>
              <w:rPr>
                <w:sz w:val="1"/>
                <w:szCs w:val="1"/>
                <w:color w:val="auto"/>
              </w:rPr>
            </w:pPr>
          </w:p>
        </w:tc>
      </w:tr>
      <w:tr>
        <w:trPr>
          <w:trHeight w:val="149"/>
        </w:trPr>
        <w:tc>
          <w:tcPr>
            <w:tcW w:w="34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Private corporations</w:t>
            </w:r>
          </w:p>
        </w:tc>
        <w:tc>
          <w:tcPr>
            <w:tcW w:w="120" w:type="dxa"/>
            <w:vAlign w:val="bottom"/>
            <w:shd w:val="clear" w:color="auto" w:fill="CCEEFF"/>
          </w:tcPr>
          <w:p>
            <w:pPr>
              <w:spacing w:after="0"/>
              <w:rPr>
                <w:sz w:val="12"/>
                <w:szCs w:val="12"/>
                <w:color w:val="auto"/>
              </w:rPr>
            </w:pPr>
          </w:p>
        </w:tc>
        <w:tc>
          <w:tcPr>
            <w:tcW w:w="64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1,425</w:t>
            </w:r>
          </w:p>
        </w:tc>
        <w:tc>
          <w:tcPr>
            <w:tcW w:w="7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29.1</w:t>
            </w: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1,783</w:t>
            </w:r>
          </w:p>
        </w:tc>
        <w:tc>
          <w:tcPr>
            <w:tcW w:w="7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30.3</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1,893</w:t>
            </w:r>
          </w:p>
        </w:tc>
        <w:tc>
          <w:tcPr>
            <w:tcW w:w="7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32.8</w:t>
            </w: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2,125</w:t>
            </w:r>
          </w:p>
        </w:tc>
        <w:tc>
          <w:tcPr>
            <w:tcW w:w="8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38.6</w:t>
            </w: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2,950</w:t>
            </w:r>
          </w:p>
        </w:tc>
        <w:tc>
          <w:tcPr>
            <w:tcW w:w="7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49.0</w:t>
            </w:r>
          </w:p>
        </w:tc>
        <w:tc>
          <w:tcPr>
            <w:tcW w:w="0" w:type="dxa"/>
            <w:vAlign w:val="bottom"/>
          </w:tcPr>
          <w:p>
            <w:pPr>
              <w:spacing w:after="0"/>
              <w:rPr>
                <w:sz w:val="1"/>
                <w:szCs w:val="1"/>
                <w:color w:val="auto"/>
              </w:rPr>
            </w:pPr>
          </w:p>
        </w:tc>
      </w:tr>
      <w:tr>
        <w:trPr>
          <w:trHeight w:val="162"/>
        </w:trPr>
        <w:tc>
          <w:tcPr>
            <w:tcW w:w="3400" w:type="dxa"/>
            <w:vAlign w:val="bottom"/>
          </w:tcPr>
          <w:p>
            <w:pPr>
              <w:spacing w:after="0"/>
              <w:rPr>
                <w:sz w:val="20"/>
                <w:szCs w:val="20"/>
                <w:color w:val="auto"/>
              </w:rPr>
            </w:pPr>
            <w:r>
              <w:rPr>
                <w:rFonts w:ascii="Arial" w:cs="Arial" w:eastAsia="Arial" w:hAnsi="Arial"/>
                <w:sz w:val="14"/>
                <w:szCs w:val="14"/>
                <w:color w:val="auto"/>
              </w:rPr>
              <w:t>Sovereign</w:t>
            </w:r>
          </w:p>
        </w:tc>
        <w:tc>
          <w:tcPr>
            <w:tcW w:w="120" w:type="dxa"/>
            <w:vAlign w:val="bottom"/>
          </w:tcPr>
          <w:p>
            <w:pPr>
              <w:spacing w:after="0"/>
              <w:rPr>
                <w:sz w:val="14"/>
                <w:szCs w:val="14"/>
                <w:color w:val="auto"/>
              </w:rPr>
            </w:pPr>
          </w:p>
        </w:tc>
        <w:tc>
          <w:tcPr>
            <w:tcW w:w="640" w:type="dxa"/>
            <w:vAlign w:val="bottom"/>
            <w:gridSpan w:val="2"/>
          </w:tcPr>
          <w:p>
            <w:pPr>
              <w:jc w:val="right"/>
              <w:ind w:right="160"/>
              <w:spacing w:after="0"/>
              <w:rPr>
                <w:sz w:val="20"/>
                <w:szCs w:val="20"/>
                <w:color w:val="auto"/>
              </w:rPr>
            </w:pPr>
            <w:r>
              <w:rPr>
                <w:rFonts w:ascii="Arial" w:cs="Arial" w:eastAsia="Arial" w:hAnsi="Arial"/>
                <w:sz w:val="14"/>
                <w:szCs w:val="14"/>
                <w:color w:val="auto"/>
              </w:rPr>
              <w:t>35</w:t>
            </w:r>
          </w:p>
        </w:tc>
        <w:tc>
          <w:tcPr>
            <w:tcW w:w="760" w:type="dxa"/>
            <w:vAlign w:val="bottom"/>
            <w:gridSpan w:val="2"/>
          </w:tcPr>
          <w:p>
            <w:pPr>
              <w:jc w:val="right"/>
              <w:ind w:right="160"/>
              <w:spacing w:after="0"/>
              <w:rPr>
                <w:sz w:val="20"/>
                <w:szCs w:val="20"/>
                <w:color w:val="auto"/>
              </w:rPr>
            </w:pPr>
            <w:r>
              <w:rPr>
                <w:rFonts w:ascii="Arial" w:cs="Arial" w:eastAsia="Arial" w:hAnsi="Arial"/>
                <w:sz w:val="14"/>
                <w:szCs w:val="14"/>
                <w:color w:val="auto"/>
              </w:rPr>
              <w:t>0.7</w:t>
            </w:r>
          </w:p>
        </w:tc>
        <w:tc>
          <w:tcPr>
            <w:tcW w:w="120" w:type="dxa"/>
            <w:vAlign w:val="bottom"/>
          </w:tcPr>
          <w:p>
            <w:pPr>
              <w:spacing w:after="0"/>
              <w:rPr>
                <w:sz w:val="14"/>
                <w:szCs w:val="14"/>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4"/>
                <w:szCs w:val="14"/>
                <w:color w:val="auto"/>
              </w:rPr>
              <w:t>47</w:t>
            </w: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0.8</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4"/>
                <w:szCs w:val="14"/>
                <w:color w:val="auto"/>
              </w:rPr>
              <w:t>59</w:t>
            </w:r>
          </w:p>
        </w:tc>
        <w:tc>
          <w:tcPr>
            <w:tcW w:w="780" w:type="dxa"/>
            <w:vAlign w:val="bottom"/>
            <w:gridSpan w:val="2"/>
          </w:tcPr>
          <w:p>
            <w:pPr>
              <w:jc w:val="right"/>
              <w:ind w:right="160"/>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4"/>
                <w:szCs w:val="14"/>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4"/>
                <w:szCs w:val="14"/>
                <w:color w:val="auto"/>
              </w:rPr>
              <w:t>0</w:t>
            </w:r>
          </w:p>
        </w:tc>
        <w:tc>
          <w:tcPr>
            <w:tcW w:w="800" w:type="dxa"/>
            <w:vAlign w:val="bottom"/>
            <w:gridSpan w:val="2"/>
          </w:tcPr>
          <w:p>
            <w:pPr>
              <w:jc w:val="right"/>
              <w:ind w:right="180"/>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4"/>
                <w:szCs w:val="14"/>
                <w:color w:val="auto"/>
              </w:rPr>
            </w:pPr>
          </w:p>
        </w:tc>
        <w:tc>
          <w:tcPr>
            <w:tcW w:w="7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720" w:type="dxa"/>
            <w:vAlign w:val="bottom"/>
            <w:gridSpan w:val="2"/>
          </w:tcPr>
          <w:p>
            <w:pPr>
              <w:jc w:val="right"/>
              <w:ind w:right="100"/>
              <w:spacing w:after="0"/>
              <w:rPr>
                <w:sz w:val="20"/>
                <w:szCs w:val="20"/>
                <w:color w:val="auto"/>
              </w:rPr>
            </w:pPr>
            <w:r>
              <w:rPr>
                <w:rFonts w:ascii="Arial" w:cs="Arial" w:eastAsia="Arial" w:hAnsi="Arial"/>
                <w:sz w:val="14"/>
                <w:szCs w:val="14"/>
                <w:color w:val="auto"/>
              </w:rPr>
              <w:t>0.0</w:t>
            </w:r>
          </w:p>
        </w:tc>
        <w:tc>
          <w:tcPr>
            <w:tcW w:w="0" w:type="dxa"/>
            <w:vAlign w:val="bottom"/>
          </w:tcPr>
          <w:p>
            <w:pPr>
              <w:spacing w:after="0"/>
              <w:rPr>
                <w:sz w:val="1"/>
                <w:szCs w:val="1"/>
                <w:color w:val="auto"/>
              </w:rPr>
            </w:pPr>
          </w:p>
        </w:tc>
      </w:tr>
      <w:tr>
        <w:trPr>
          <w:trHeight w:val="156"/>
        </w:trPr>
        <w:tc>
          <w:tcPr>
            <w:tcW w:w="3400" w:type="dxa"/>
            <w:vAlign w:val="bottom"/>
            <w:tcBorders>
              <w:top w:val="single" w:sz="8" w:color="CCEEFF"/>
              <w:bottom w:val="single" w:sz="8" w:color="CCEEFF"/>
            </w:tcBorders>
            <w:shd w:val="clear" w:color="auto" w:fill="CCEEFF"/>
          </w:tcPr>
          <w:p>
            <w:pPr>
              <w:ind w:left="180"/>
              <w:spacing w:after="0" w:line="155" w:lineRule="exact"/>
              <w:rPr>
                <w:sz w:val="20"/>
                <w:szCs w:val="20"/>
                <w:color w:val="auto"/>
              </w:rPr>
            </w:pPr>
            <w:r>
              <w:rPr>
                <w:rFonts w:ascii="Arial" w:cs="Arial" w:eastAsia="Arial" w:hAnsi="Arial"/>
                <w:sz w:val="14"/>
                <w:szCs w:val="14"/>
                <w:b w:val="1"/>
                <w:bCs w:val="1"/>
                <w:color w:val="auto"/>
              </w:rPr>
              <w:t>Total</w:t>
            </w: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4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5,893</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5,778</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5,506</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6,021</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6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4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4" w:name="page35"/>
    <w:bookmarkEnd w:id="34"/>
    <w:p>
      <w:pPr>
        <w:jc w:val="both"/>
        <w:spacing w:after="0" w:line="259" w:lineRule="auto"/>
        <w:rPr>
          <w:sz w:val="20"/>
          <w:szCs w:val="20"/>
          <w:color w:val="auto"/>
        </w:rPr>
      </w:pPr>
      <w:r>
        <w:rPr>
          <w:rFonts w:ascii="Arial" w:cs="Arial" w:eastAsia="Arial" w:hAnsi="Arial"/>
          <w:sz w:val="18"/>
          <w:szCs w:val="18"/>
          <w:color w:val="auto"/>
        </w:rPr>
        <w:t>As of December 31, 2020, the Bank’s Loan Portfolio industry exposure mainly included: (i) 55% in the financial institutions sector; (ii) 15% in the industrial sector, mostly comprised of food and beverage (5%), electric power (5%) and other manufacturing (3%); and (iii) 12% in the oil and gas sector, which in turn was divided into downstream (7%), upstream (3%) and integrated (2%). No other industry sector exceeded 10% exposure of the Loan Portfolio.</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Maturities and Sensitivities of the Loan Portfolio to Changes in Interest Rates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remaining term of the maturity profile of the Bank’s Loan Portfolio as of December 31, 2020, by type of rate and type of borrower:</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700" w:type="dxa"/>
            <w:vAlign w:val="bottom"/>
            <w:tcBorders>
              <w:bottom w:val="single" w:sz="8" w:color="auto"/>
            </w:tcBorders>
            <w:gridSpan w:val="5"/>
          </w:tcPr>
          <w:p>
            <w:pPr>
              <w:jc w:val="right"/>
              <w:ind w:right="520"/>
              <w:spacing w:after="0"/>
              <w:rPr>
                <w:sz w:val="20"/>
                <w:szCs w:val="20"/>
                <w:color w:val="auto"/>
              </w:rPr>
            </w:pPr>
            <w:r>
              <w:rPr>
                <w:rFonts w:ascii="Arial" w:cs="Arial" w:eastAsia="Arial" w:hAnsi="Arial"/>
                <w:sz w:val="18"/>
                <w:szCs w:val="18"/>
                <w:b w:val="1"/>
                <w:bCs w:val="1"/>
                <w:color w:val="auto"/>
              </w:rPr>
              <w:t>As of December 31, 2020</w:t>
            </w:r>
          </w:p>
        </w:tc>
        <w:tc>
          <w:tcPr>
            <w:tcW w:w="10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86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700" w:type="dxa"/>
            <w:vAlign w:val="bottom"/>
            <w:gridSpan w:val="5"/>
          </w:tcPr>
          <w:p>
            <w:pPr>
              <w:ind w:left="720"/>
              <w:spacing w:after="0" w:line="191" w:lineRule="exact"/>
              <w:rPr>
                <w:sz w:val="20"/>
                <w:szCs w:val="20"/>
                <w:color w:val="auto"/>
              </w:rPr>
            </w:pPr>
            <w:r>
              <w:rPr>
                <w:rFonts w:ascii="Arial" w:cs="Arial" w:eastAsia="Arial" w:hAnsi="Arial"/>
                <w:sz w:val="18"/>
                <w:szCs w:val="18"/>
                <w:color w:val="auto"/>
              </w:rPr>
              <w:t>(in $ millions)</w:t>
            </w:r>
          </w:p>
        </w:tc>
        <w:tc>
          <w:tcPr>
            <w:tcW w:w="1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8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0"/>
              </w:rPr>
              <w:t>Due after one</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3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Due in one year</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1"/>
              </w:rPr>
              <w:t>year</w:t>
            </w:r>
          </w:p>
        </w:tc>
        <w:tc>
          <w:tcPr>
            <w:tcW w:w="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80" w:type="dxa"/>
            <w:vAlign w:val="bottom"/>
            <w:gridSpan w:val="2"/>
          </w:tcPr>
          <w:p>
            <w:pPr>
              <w:jc w:val="center"/>
              <w:ind w:right="400"/>
              <w:spacing w:after="0"/>
              <w:rPr>
                <w:sz w:val="20"/>
                <w:szCs w:val="20"/>
                <w:color w:val="auto"/>
              </w:rPr>
            </w:pPr>
            <w:r>
              <w:rPr>
                <w:rFonts w:ascii="Arial" w:cs="Arial" w:eastAsia="Arial" w:hAnsi="Arial"/>
                <w:sz w:val="18"/>
                <w:szCs w:val="18"/>
                <w:b w:val="1"/>
                <w:bCs w:val="1"/>
                <w:color w:val="auto"/>
                <w:w w:val="88"/>
              </w:rPr>
              <w:t>or</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0"/>
              </w:rPr>
              <w:t>through five</w:t>
            </w:r>
          </w:p>
        </w:tc>
        <w:tc>
          <w:tcPr>
            <w:tcW w:w="80" w:type="dxa"/>
            <w:vAlign w:val="bottom"/>
          </w:tcPr>
          <w:p>
            <w:pPr>
              <w:spacing w:after="0"/>
              <w:rPr>
                <w:sz w:val="18"/>
                <w:szCs w:val="18"/>
                <w:color w:val="auto"/>
              </w:rPr>
            </w:pPr>
          </w:p>
        </w:tc>
        <w:tc>
          <w:tcPr>
            <w:tcW w:w="1260" w:type="dxa"/>
            <w:vAlign w:val="bottom"/>
            <w:gridSpan w:val="2"/>
          </w:tcPr>
          <w:p>
            <w:pPr>
              <w:spacing w:after="0"/>
              <w:rPr>
                <w:sz w:val="20"/>
                <w:szCs w:val="20"/>
                <w:color w:val="auto"/>
              </w:rPr>
            </w:pPr>
            <w:r>
              <w:rPr>
                <w:rFonts w:ascii="Arial" w:cs="Arial" w:eastAsia="Arial" w:hAnsi="Arial"/>
                <w:sz w:val="18"/>
                <w:szCs w:val="18"/>
                <w:b w:val="1"/>
                <w:bCs w:val="1"/>
                <w:color w:val="auto"/>
              </w:rPr>
              <w:t>Due after five</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8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80" w:type="dxa"/>
            <w:vAlign w:val="bottom"/>
            <w:gridSpan w:val="2"/>
          </w:tcPr>
          <w:p>
            <w:pPr>
              <w:jc w:val="center"/>
              <w:ind w:right="400"/>
              <w:spacing w:after="0"/>
              <w:rPr>
                <w:sz w:val="20"/>
                <w:szCs w:val="20"/>
                <w:color w:val="auto"/>
              </w:rPr>
            </w:pPr>
            <w:r>
              <w:rPr>
                <w:rFonts w:ascii="Arial" w:cs="Arial" w:eastAsia="Arial" w:hAnsi="Arial"/>
                <w:sz w:val="18"/>
                <w:szCs w:val="18"/>
                <w:b w:val="1"/>
                <w:bCs w:val="1"/>
                <w:color w:val="auto"/>
                <w:w w:val="79"/>
              </w:rPr>
              <w:t>less</w:t>
            </w: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9"/>
              </w:rPr>
              <w:t>years</w:t>
            </w:r>
          </w:p>
        </w:tc>
        <w:tc>
          <w:tcPr>
            <w:tcW w:w="80" w:type="dxa"/>
            <w:vAlign w:val="bottom"/>
          </w:tcPr>
          <w:p>
            <w:pPr>
              <w:spacing w:after="0"/>
              <w:rPr>
                <w:sz w:val="20"/>
                <w:szCs w:val="20"/>
                <w:color w:val="auto"/>
              </w:rPr>
            </w:pPr>
          </w:p>
        </w:tc>
        <w:tc>
          <w:tcPr>
            <w:tcW w:w="126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years</w:t>
            </w:r>
          </w:p>
        </w:tc>
        <w:tc>
          <w:tcPr>
            <w:tcW w:w="1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80" w:type="dxa"/>
            <w:vAlign w:val="bottom"/>
            <w:gridSpan w:val="2"/>
          </w:tcPr>
          <w:p>
            <w:pPr>
              <w:ind w:left="1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9"/>
        </w:trPr>
        <w:tc>
          <w:tcPr>
            <w:tcW w:w="48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FIXED RATE</w:t>
            </w:r>
          </w:p>
        </w:tc>
        <w:tc>
          <w:tcPr>
            <w:tcW w:w="66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960" w:type="dxa"/>
            <w:vAlign w:val="bottom"/>
            <w:gridSpan w:val="2"/>
          </w:tcPr>
          <w:p>
            <w:pPr>
              <w:jc w:val="right"/>
              <w:ind w:right="11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1,082</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62</w:t>
            </w:r>
          </w:p>
        </w:tc>
        <w:tc>
          <w:tcPr>
            <w:tcW w:w="8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2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36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1,144</w:t>
            </w:r>
          </w:p>
        </w:tc>
        <w:tc>
          <w:tcPr>
            <w:tcW w:w="0" w:type="dxa"/>
            <w:vAlign w:val="bottom"/>
          </w:tcPr>
          <w:p>
            <w:pPr>
              <w:spacing w:after="0"/>
              <w:rPr>
                <w:sz w:val="1"/>
                <w:szCs w:val="1"/>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State-owned commercial banks</w:t>
            </w:r>
          </w:p>
        </w:tc>
        <w:tc>
          <w:tcPr>
            <w:tcW w:w="6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300</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300</w:t>
            </w:r>
          </w:p>
        </w:tc>
        <w:tc>
          <w:tcPr>
            <w:tcW w:w="0" w:type="dxa"/>
            <w:vAlign w:val="bottom"/>
          </w:tcPr>
          <w:p>
            <w:pPr>
              <w:spacing w:after="0"/>
              <w:rPr>
                <w:sz w:val="1"/>
                <w:szCs w:val="1"/>
                <w:color w:val="auto"/>
              </w:rPr>
            </w:pP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State-owned organizations</w:t>
            </w: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394</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80" w:type="dxa"/>
            <w:vAlign w:val="bottom"/>
          </w:tcPr>
          <w:p>
            <w:pPr>
              <w:spacing w:after="0"/>
              <w:rPr>
                <w:sz w:val="18"/>
                <w:szCs w:val="18"/>
                <w:color w:val="auto"/>
              </w:rPr>
            </w:pPr>
          </w:p>
        </w:tc>
        <w:tc>
          <w:tcPr>
            <w:tcW w:w="12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394</w:t>
            </w:r>
          </w:p>
        </w:tc>
        <w:tc>
          <w:tcPr>
            <w:tcW w:w="0" w:type="dxa"/>
            <w:vAlign w:val="bottom"/>
          </w:tcPr>
          <w:p>
            <w:pPr>
              <w:spacing w:after="0"/>
              <w:rPr>
                <w:sz w:val="1"/>
                <w:szCs w:val="1"/>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Private corporations</w:t>
            </w:r>
          </w:p>
        </w:tc>
        <w:tc>
          <w:tcPr>
            <w:tcW w:w="6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648</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670</w:t>
            </w:r>
          </w:p>
        </w:tc>
        <w:tc>
          <w:tcPr>
            <w:tcW w:w="0" w:type="dxa"/>
            <w:vAlign w:val="bottom"/>
          </w:tcPr>
          <w:p>
            <w:pPr>
              <w:spacing w:after="0"/>
              <w:rPr>
                <w:sz w:val="1"/>
                <w:szCs w:val="1"/>
                <w:color w:val="auto"/>
              </w:rPr>
            </w:pPr>
          </w:p>
        </w:tc>
      </w:tr>
      <w:tr>
        <w:trPr>
          <w:trHeight w:val="229"/>
        </w:trPr>
        <w:tc>
          <w:tcPr>
            <w:tcW w:w="4860" w:type="dxa"/>
            <w:vAlign w:val="bottom"/>
          </w:tcPr>
          <w:p>
            <w:pPr>
              <w:spacing w:after="0"/>
              <w:rPr>
                <w:sz w:val="20"/>
                <w:szCs w:val="20"/>
                <w:color w:val="auto"/>
              </w:rPr>
            </w:pPr>
            <w:r>
              <w:rPr>
                <w:rFonts w:ascii="Arial" w:cs="Arial" w:eastAsia="Arial" w:hAnsi="Arial"/>
                <w:sz w:val="18"/>
                <w:szCs w:val="18"/>
                <w:color w:val="auto"/>
              </w:rPr>
              <w:t>Sovereign</w:t>
            </w:r>
          </w:p>
        </w:tc>
        <w:tc>
          <w:tcPr>
            <w:tcW w:w="6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24</w:t>
            </w:r>
          </w:p>
        </w:tc>
        <w:tc>
          <w:tcPr>
            <w:tcW w:w="80" w:type="dxa"/>
            <w:vAlign w:val="bottom"/>
          </w:tcPr>
          <w:p>
            <w:pPr>
              <w:spacing w:after="0"/>
              <w:rPr>
                <w:sz w:val="19"/>
                <w:szCs w:val="19"/>
                <w:color w:val="auto"/>
              </w:rPr>
            </w:pPr>
          </w:p>
        </w:tc>
        <w:tc>
          <w:tcPr>
            <w:tcW w:w="12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36</w:t>
            </w:r>
          </w:p>
        </w:tc>
        <w:tc>
          <w:tcPr>
            <w:tcW w:w="0" w:type="dxa"/>
            <w:vAlign w:val="bottom"/>
          </w:tcPr>
          <w:p>
            <w:pPr>
              <w:spacing w:after="0"/>
              <w:rPr>
                <w:sz w:val="1"/>
                <w:szCs w:val="1"/>
                <w:color w:val="auto"/>
              </w:rPr>
            </w:pPr>
          </w:p>
        </w:tc>
      </w:tr>
      <w:tr>
        <w:trPr>
          <w:trHeight w:val="243"/>
        </w:trPr>
        <w:tc>
          <w:tcPr>
            <w:tcW w:w="4860" w:type="dxa"/>
            <w:vAlign w:val="bottom"/>
            <w:shd w:val="clear" w:color="auto" w:fill="CCEEFF"/>
          </w:tcPr>
          <w:p>
            <w:pPr>
              <w:ind w:left="340"/>
              <w:spacing w:after="0"/>
              <w:rPr>
                <w:sz w:val="20"/>
                <w:szCs w:val="20"/>
                <w:color w:val="auto"/>
              </w:rPr>
            </w:pPr>
            <w:r>
              <w:rPr>
                <w:rFonts w:ascii="Arial" w:cs="Arial" w:eastAsia="Arial" w:hAnsi="Arial"/>
                <w:sz w:val="18"/>
                <w:szCs w:val="18"/>
                <w:b w:val="1"/>
                <w:bCs w:val="1"/>
                <w:color w:val="auto"/>
              </w:rPr>
              <w:t>Subtotal</w:t>
            </w:r>
          </w:p>
        </w:tc>
        <w:tc>
          <w:tcPr>
            <w:tcW w:w="96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2,436</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101</w:t>
            </w:r>
          </w:p>
        </w:tc>
        <w:tc>
          <w:tcPr>
            <w:tcW w:w="8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b w:val="1"/>
                <w:bCs w:val="1"/>
                <w:color w:val="auto"/>
              </w:rPr>
              <w:t>7</w:t>
            </w:r>
          </w:p>
        </w:tc>
        <w:tc>
          <w:tcPr>
            <w:tcW w:w="3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2,544</w:t>
            </w:r>
          </w:p>
        </w:tc>
        <w:tc>
          <w:tcPr>
            <w:tcW w:w="0" w:type="dxa"/>
            <w:vAlign w:val="bottom"/>
          </w:tcPr>
          <w:p>
            <w:pPr>
              <w:spacing w:after="0"/>
              <w:rPr>
                <w:sz w:val="1"/>
                <w:szCs w:val="1"/>
                <w:color w:val="auto"/>
              </w:rPr>
            </w:pPr>
          </w:p>
        </w:tc>
      </w:tr>
      <w:tr>
        <w:trPr>
          <w:trHeight w:val="20"/>
        </w:trPr>
        <w:tc>
          <w:tcPr>
            <w:tcW w:w="48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FLOATING RATE</w:t>
            </w:r>
          </w:p>
        </w:tc>
        <w:tc>
          <w:tcPr>
            <w:tcW w:w="66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860" w:type="dxa"/>
            <w:vAlign w:val="bottom"/>
            <w:vMerge w:val="continue"/>
          </w:tcPr>
          <w:p>
            <w:pPr>
              <w:spacing w:after="0"/>
              <w:rPr>
                <w:sz w:val="17"/>
                <w:szCs w:val="17"/>
                <w:color w:val="auto"/>
              </w:rPr>
            </w:pPr>
          </w:p>
        </w:tc>
        <w:tc>
          <w:tcPr>
            <w:tcW w:w="66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960" w:type="dxa"/>
            <w:vAlign w:val="bottom"/>
            <w:gridSpan w:val="2"/>
            <w:shd w:val="clear" w:color="auto" w:fill="CCEEFF"/>
          </w:tcPr>
          <w:p>
            <w:pPr>
              <w:jc w:val="right"/>
              <w:ind w:right="11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813</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274</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rPr>
              <w:t>0</w:t>
            </w:r>
          </w:p>
        </w:tc>
        <w:tc>
          <w:tcPr>
            <w:tcW w:w="3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1,087</w:t>
            </w:r>
          </w:p>
        </w:tc>
        <w:tc>
          <w:tcPr>
            <w:tcW w:w="0" w:type="dxa"/>
            <w:vAlign w:val="bottom"/>
          </w:tcPr>
          <w:p>
            <w:pPr>
              <w:spacing w:after="0"/>
              <w:rPr>
                <w:sz w:val="1"/>
                <w:szCs w:val="1"/>
                <w:color w:val="auto"/>
              </w:rPr>
            </w:pP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State-owned commercial banks</w:t>
            </w: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119</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57</w:t>
            </w:r>
          </w:p>
        </w:tc>
        <w:tc>
          <w:tcPr>
            <w:tcW w:w="80" w:type="dxa"/>
            <w:vAlign w:val="bottom"/>
          </w:tcPr>
          <w:p>
            <w:pPr>
              <w:spacing w:after="0"/>
              <w:rPr>
                <w:sz w:val="18"/>
                <w:szCs w:val="18"/>
                <w:color w:val="auto"/>
              </w:rPr>
            </w:pPr>
          </w:p>
        </w:tc>
        <w:tc>
          <w:tcPr>
            <w:tcW w:w="12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6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291</w:t>
            </w:r>
          </w:p>
        </w:tc>
        <w:tc>
          <w:tcPr>
            <w:tcW w:w="8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348</w:t>
            </w:r>
          </w:p>
        </w:tc>
        <w:tc>
          <w:tcPr>
            <w:tcW w:w="0" w:type="dxa"/>
            <w:vAlign w:val="bottom"/>
          </w:tcPr>
          <w:p>
            <w:pPr>
              <w:spacing w:after="0"/>
              <w:rPr>
                <w:sz w:val="1"/>
                <w:szCs w:val="1"/>
                <w:color w:val="auto"/>
              </w:rPr>
            </w:pP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Private corporations</w:t>
            </w:r>
          </w:p>
        </w:tc>
        <w:tc>
          <w:tcPr>
            <w:tcW w:w="6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241</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515</w:t>
            </w:r>
          </w:p>
        </w:tc>
        <w:tc>
          <w:tcPr>
            <w:tcW w:w="80" w:type="dxa"/>
            <w:vAlign w:val="bottom"/>
          </w:tcPr>
          <w:p>
            <w:pPr>
              <w:spacing w:after="0"/>
              <w:rPr>
                <w:sz w:val="18"/>
                <w:szCs w:val="18"/>
                <w:color w:val="auto"/>
              </w:rPr>
            </w:pPr>
          </w:p>
        </w:tc>
        <w:tc>
          <w:tcPr>
            <w:tcW w:w="1260" w:type="dxa"/>
            <w:vAlign w:val="bottom"/>
            <w:gridSpan w:val="2"/>
          </w:tcPr>
          <w:p>
            <w:pPr>
              <w:ind w:left="10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756</w:t>
            </w:r>
          </w:p>
        </w:tc>
        <w:tc>
          <w:tcPr>
            <w:tcW w:w="0" w:type="dxa"/>
            <w:vAlign w:val="bottom"/>
          </w:tcPr>
          <w:p>
            <w:pPr>
              <w:spacing w:after="0"/>
              <w:rPr>
                <w:sz w:val="1"/>
                <w:szCs w:val="1"/>
                <w:color w:val="auto"/>
              </w:rPr>
            </w:pPr>
          </w:p>
        </w:tc>
      </w:tr>
      <w:tr>
        <w:trPr>
          <w:trHeight w:val="230"/>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66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ind w:left="10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63"/>
        </w:trPr>
        <w:tc>
          <w:tcPr>
            <w:tcW w:w="4860" w:type="dxa"/>
            <w:vAlign w:val="bottom"/>
            <w:tcBorders>
              <w:bottom w:val="single" w:sz="8" w:color="CCEEFF"/>
            </w:tcBorders>
          </w:tcPr>
          <w:p>
            <w:pPr>
              <w:ind w:left="340"/>
              <w:spacing w:after="0"/>
              <w:rPr>
                <w:sz w:val="20"/>
                <w:szCs w:val="20"/>
                <w:color w:val="auto"/>
              </w:rPr>
            </w:pPr>
            <w:r>
              <w:rPr>
                <w:rFonts w:ascii="Arial" w:cs="Arial" w:eastAsia="Arial" w:hAnsi="Arial"/>
                <w:sz w:val="18"/>
                <w:szCs w:val="18"/>
                <w:b w:val="1"/>
                <w:bCs w:val="1"/>
                <w:color w:val="auto"/>
              </w:rPr>
              <w:t>Subtotal</w:t>
            </w:r>
          </w:p>
        </w:tc>
        <w:tc>
          <w:tcPr>
            <w:tcW w:w="660" w:type="dxa"/>
            <w:vAlign w:val="bottom"/>
            <w:tcBorders>
              <w:bottom w:val="single" w:sz="8" w:color="CCEEFF"/>
            </w:tcBorders>
          </w:tcPr>
          <w:p>
            <w:pPr>
              <w:spacing w:after="0"/>
              <w:rPr>
                <w:sz w:val="22"/>
                <w:szCs w:val="22"/>
                <w:color w:val="auto"/>
              </w:rPr>
            </w:pPr>
          </w:p>
        </w:tc>
        <w:tc>
          <w:tcPr>
            <w:tcW w:w="300" w:type="dxa"/>
            <w:vAlign w:val="bottom"/>
            <w:tcBorders>
              <w:top w:val="single" w:sz="8" w:color="auto"/>
              <w:bottom w:val="single" w:sz="8" w:color="auto"/>
            </w:tcBorders>
          </w:tcPr>
          <w:p>
            <w:pPr>
              <w:jc w:val="right"/>
              <w:ind w:right="11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1,230</w:t>
            </w:r>
          </w:p>
        </w:tc>
        <w:tc>
          <w:tcPr>
            <w:tcW w:w="12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1,137</w:t>
            </w:r>
          </w:p>
        </w:tc>
        <w:tc>
          <w:tcPr>
            <w:tcW w:w="220" w:type="dxa"/>
            <w:vAlign w:val="bottom"/>
            <w:tcBorders>
              <w:bottom w:val="single" w:sz="8" w:color="CCEEFF"/>
            </w:tcBorders>
          </w:tcPr>
          <w:p>
            <w:pPr>
              <w:spacing w:after="0"/>
              <w:rPr>
                <w:sz w:val="22"/>
                <w:szCs w:val="2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14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5"/>
                <w:szCs w:val="15"/>
                <w:b w:val="1"/>
                <w:bCs w:val="1"/>
                <w:color w:val="auto"/>
                <w:w w:val="71"/>
              </w:rPr>
              <w:t>0</w:t>
            </w:r>
          </w:p>
        </w:tc>
        <w:tc>
          <w:tcPr>
            <w:tcW w:w="12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2,367</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4860" w:type="dxa"/>
            <w:vAlign w:val="bottom"/>
            <w:tcBorders>
              <w:bottom w:val="single" w:sz="8" w:color="CCEEFF"/>
            </w:tcBorders>
            <w:shd w:val="clear" w:color="auto" w:fill="CCEEFF"/>
          </w:tcPr>
          <w:p>
            <w:pPr>
              <w:ind w:left="1140"/>
              <w:spacing w:after="0" w:line="195" w:lineRule="exact"/>
              <w:rPr>
                <w:sz w:val="20"/>
                <w:szCs w:val="20"/>
                <w:color w:val="auto"/>
              </w:rPr>
            </w:pPr>
            <w:r>
              <w:rPr>
                <w:rFonts w:ascii="Arial" w:cs="Arial" w:eastAsia="Arial" w:hAnsi="Arial"/>
                <w:sz w:val="18"/>
                <w:szCs w:val="18"/>
                <w:b w:val="1"/>
                <w:bCs w:val="1"/>
                <w:color w:val="auto"/>
              </w:rPr>
              <w:t>Total</w:t>
            </w:r>
          </w:p>
        </w:tc>
        <w:tc>
          <w:tcPr>
            <w:tcW w:w="660" w:type="dxa"/>
            <w:vAlign w:val="bottom"/>
            <w:tcBorders>
              <w:bottom w:val="single" w:sz="8" w:color="CCEEFF"/>
            </w:tcBorders>
            <w:shd w:val="clear" w:color="auto" w:fill="CCEEFF"/>
          </w:tcPr>
          <w:p>
            <w:pPr>
              <w:spacing w:after="0"/>
              <w:rPr>
                <w:sz w:val="17"/>
                <w:szCs w:val="17"/>
                <w:color w:val="auto"/>
              </w:rPr>
            </w:pPr>
          </w:p>
        </w:tc>
        <w:tc>
          <w:tcPr>
            <w:tcW w:w="300" w:type="dxa"/>
            <w:vAlign w:val="bottom"/>
            <w:tcBorders>
              <w:bottom w:val="single" w:sz="8" w:color="auto"/>
            </w:tcBorders>
            <w:shd w:val="clear" w:color="auto" w:fill="CCEEFF"/>
          </w:tcPr>
          <w:p>
            <w:pPr>
              <w:jc w:val="right"/>
              <w:ind w:right="110"/>
              <w:spacing w:after="0" w:line="196" w:lineRule="exact"/>
              <w:rPr>
                <w:sz w:val="20"/>
                <w:szCs w:val="20"/>
                <w:color w:val="auto"/>
              </w:rPr>
            </w:pPr>
            <w:r>
              <w:rPr>
                <w:rFonts w:ascii="Arial" w:cs="Arial" w:eastAsia="Arial" w:hAnsi="Arial"/>
                <w:sz w:val="18"/>
                <w:szCs w:val="18"/>
                <w:b w:val="1"/>
                <w:bCs w:val="1"/>
                <w:color w:val="auto"/>
                <w:w w:val="79"/>
              </w:rPr>
              <w:t>$</w:t>
            </w:r>
          </w:p>
        </w:tc>
        <w:tc>
          <w:tcPr>
            <w:tcW w:w="9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3,666</w:t>
            </w:r>
          </w:p>
        </w:tc>
        <w:tc>
          <w:tcPr>
            <w:tcW w:w="12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1,238</w:t>
            </w:r>
          </w:p>
        </w:tc>
        <w:tc>
          <w:tcPr>
            <w:tcW w:w="2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40" w:type="dxa"/>
            <w:vAlign w:val="bottom"/>
            <w:tcBorders>
              <w:bottom w:val="single" w:sz="8" w:color="auto"/>
            </w:tcBorders>
            <w:shd w:val="clear" w:color="auto" w:fill="CCEEFF"/>
          </w:tcPr>
          <w:p>
            <w:pPr>
              <w:ind w:left="1060"/>
              <w:spacing w:after="0"/>
              <w:rPr>
                <w:sz w:val="20"/>
                <w:szCs w:val="20"/>
                <w:color w:val="auto"/>
              </w:rPr>
            </w:pPr>
            <w:r>
              <w:rPr>
                <w:rFonts w:ascii="Arial" w:cs="Arial" w:eastAsia="Arial" w:hAnsi="Arial"/>
                <w:sz w:val="15"/>
                <w:szCs w:val="15"/>
                <w:b w:val="1"/>
                <w:bCs w:val="1"/>
                <w:color w:val="auto"/>
                <w:w w:val="71"/>
              </w:rPr>
              <w:t>7</w:t>
            </w:r>
          </w:p>
        </w:tc>
        <w:tc>
          <w:tcPr>
            <w:tcW w:w="12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60" w:type="dxa"/>
            <w:vAlign w:val="bottom"/>
            <w:tcBorders>
              <w:bottom w:val="single" w:sz="8" w:color="auto"/>
            </w:tcBorders>
            <w:shd w:val="clear" w:color="auto" w:fill="CCEEFF"/>
          </w:tcPr>
          <w:p>
            <w:pPr>
              <w:jc w:val="right"/>
              <w:ind w:right="70"/>
              <w:spacing w:after="0" w:line="196" w:lineRule="exact"/>
              <w:rPr>
                <w:sz w:val="20"/>
                <w:szCs w:val="20"/>
                <w:color w:val="auto"/>
              </w:rPr>
            </w:pPr>
            <w:r>
              <w:rPr>
                <w:rFonts w:ascii="Arial" w:cs="Arial" w:eastAsia="Arial" w:hAnsi="Arial"/>
                <w:sz w:val="18"/>
                <w:szCs w:val="18"/>
                <w:b w:val="1"/>
                <w:bCs w:val="1"/>
                <w:color w:val="auto"/>
                <w:w w:val="79"/>
              </w:rPr>
              <w:t>$</w:t>
            </w:r>
          </w:p>
        </w:tc>
        <w:tc>
          <w:tcPr>
            <w:tcW w:w="9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4,911</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86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Note: Scheduled amortization repayments fall into the maturity category in which the payment is due, rather than that of the final maturity of the loan.</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Loan Commitments and Financial Guarantee Contracts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on behalf of its client base, advises and confirms letters of credit to facilitate foreign trade transactions. When confirming letters of credit, the Bank adds its own unqualified assurance that the issuing bank will pay, with the 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17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applies the same credit policies and criteria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5" w:name="page36"/>
    <w:bookmarkEnd w:id="35"/>
    <w:p>
      <w:pPr>
        <w:jc w:val="both"/>
        <w:spacing w:after="0" w:line="301" w:lineRule="auto"/>
        <w:rPr>
          <w:sz w:val="20"/>
          <w:szCs w:val="20"/>
          <w:color w:val="auto"/>
        </w:rPr>
      </w:pPr>
      <w:r>
        <w:rPr>
          <w:rFonts w:ascii="Arial" w:cs="Arial" w:eastAsia="Arial" w:hAnsi="Arial"/>
          <w:sz w:val="16"/>
          <w:szCs w:val="16"/>
          <w:color w:val="auto"/>
        </w:rPr>
        <w:t>Loan commitments and financial guarantee contracts amounted to $565 million, or 10% of the total Commercial Portfolio, as of December 31, 2020, compared to $493 million, or 8% of the total Commercial Portfolio, as of December 31, 2019 and $502 million, or 8% of the total Commercial Portfolio, as of December 31, 2018. Confirmed and stand-by letters of credit, and guarantees covering commercial risk represented 76% of the total loan commitments and financial guarantee contracts as of December 31, 2020, compared to 86% and 79%, as of December 31, 2019 and 2018, respectively.</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presents the distribution of the Bank’s loan commitments and financial guarantee contracts by country risk, as of December 31 of each year:</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80" w:type="dxa"/>
            <w:vAlign w:val="bottom"/>
            <w:gridSpan w:val="5"/>
          </w:tcPr>
          <w:p>
            <w:pPr>
              <w:jc w:val="center"/>
              <w:ind w:right="340"/>
              <w:spacing w:after="0"/>
              <w:rPr>
                <w:sz w:val="20"/>
                <w:szCs w:val="20"/>
                <w:color w:val="auto"/>
              </w:rPr>
            </w:pPr>
            <w:r>
              <w:rPr>
                <w:rFonts w:ascii="Arial" w:cs="Arial" w:eastAsia="Arial" w:hAnsi="Arial"/>
                <w:sz w:val="16"/>
                <w:szCs w:val="16"/>
                <w:b w:val="1"/>
                <w:bCs w:val="1"/>
                <w:color w:val="auto"/>
                <w:w w:val="90"/>
              </w:rPr>
              <w:t>As of December 31,</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940" w:type="dxa"/>
            <w:vAlign w:val="bottom"/>
            <w:tcBorders>
              <w:bottom w:val="single" w:sz="8" w:color="auto"/>
            </w:tcBorders>
            <w:gridSpan w:val="3"/>
          </w:tcPr>
          <w:p>
            <w:pPr>
              <w:jc w:val="right"/>
              <w:ind w:right="799"/>
              <w:spacing w:after="0"/>
              <w:rPr>
                <w:sz w:val="20"/>
                <w:szCs w:val="20"/>
                <w:color w:val="auto"/>
              </w:rPr>
            </w:pPr>
            <w:r>
              <w:rPr>
                <w:rFonts w:ascii="Arial" w:cs="Arial" w:eastAsia="Arial" w:hAnsi="Arial"/>
                <w:sz w:val="16"/>
                <w:szCs w:val="16"/>
                <w:b w:val="1"/>
                <w:bCs w:val="1"/>
                <w:color w:val="auto"/>
              </w:rPr>
              <w:t>2020</w:t>
            </w: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900" w:type="dxa"/>
            <w:vAlign w:val="bottom"/>
            <w:tcBorders>
              <w:bottom w:val="single" w:sz="8" w:color="auto"/>
            </w:tcBorders>
            <w:gridSpan w:val="4"/>
          </w:tcPr>
          <w:p>
            <w:pPr>
              <w:jc w:val="center"/>
              <w:ind w:right="59"/>
              <w:spacing w:after="0"/>
              <w:rPr>
                <w:sz w:val="20"/>
                <w:szCs w:val="20"/>
                <w:color w:val="auto"/>
              </w:rPr>
            </w:pPr>
            <w:r>
              <w:rPr>
                <w:rFonts w:ascii="Arial" w:cs="Arial" w:eastAsia="Arial" w:hAnsi="Arial"/>
                <w:sz w:val="16"/>
                <w:szCs w:val="16"/>
                <w:b w:val="1"/>
                <w:bCs w:val="1"/>
                <w:color w:val="auto"/>
                <w:w w:val="89"/>
              </w:rPr>
              <w:t>2019</w:t>
            </w:r>
          </w:p>
        </w:tc>
        <w:tc>
          <w:tcPr>
            <w:tcW w:w="18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900" w:type="dxa"/>
            <w:vAlign w:val="bottom"/>
            <w:tcBorders>
              <w:bottom w:val="single" w:sz="8" w:color="auto"/>
            </w:tcBorders>
            <w:gridSpan w:val="3"/>
          </w:tcPr>
          <w:p>
            <w:pPr>
              <w:jc w:val="right"/>
              <w:ind w:right="779"/>
              <w:spacing w:after="0"/>
              <w:rPr>
                <w:sz w:val="20"/>
                <w:szCs w:val="20"/>
                <w:color w:val="auto"/>
              </w:rPr>
            </w:pPr>
            <w:r>
              <w:rPr>
                <w:rFonts w:ascii="Arial" w:cs="Arial" w:eastAsia="Arial" w:hAnsi="Arial"/>
                <w:sz w:val="16"/>
                <w:szCs w:val="16"/>
                <w:b w:val="1"/>
                <w:bCs w:val="1"/>
                <w:color w:val="auto"/>
              </w:rPr>
              <w:t>2018</w:t>
            </w:r>
          </w:p>
        </w:tc>
        <w:tc>
          <w:tcPr>
            <w:tcW w:w="80" w:type="dxa"/>
            <w:vAlign w:val="bottom"/>
          </w:tcPr>
          <w:p>
            <w:pPr>
              <w:spacing w:after="0"/>
              <w:rPr>
                <w:sz w:val="18"/>
                <w:szCs w:val="18"/>
                <w:color w:val="auto"/>
              </w:rPr>
            </w:pPr>
          </w:p>
        </w:tc>
      </w:tr>
      <w:tr>
        <w:trPr>
          <w:trHeight w:val="188"/>
        </w:trPr>
        <w:tc>
          <w:tcPr>
            <w:tcW w:w="33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40" w:type="dxa"/>
            <w:vAlign w:val="bottom"/>
          </w:tcPr>
          <w:p>
            <w:pPr>
              <w:jc w:val="center"/>
              <w:spacing w:after="0"/>
              <w:rPr>
                <w:sz w:val="20"/>
                <w:szCs w:val="20"/>
                <w:color w:val="auto"/>
              </w:rPr>
            </w:pPr>
            <w:r>
              <w:rPr>
                <w:rFonts w:ascii="Arial" w:cs="Arial" w:eastAsia="Arial" w:hAnsi="Arial"/>
                <w:sz w:val="16"/>
                <w:szCs w:val="16"/>
                <w:b w:val="1"/>
                <w:bCs w:val="1"/>
                <w:color w:val="auto"/>
                <w:w w:val="96"/>
              </w:rPr>
              <w:t>% of Total</w:t>
            </w: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tcPr>
          <w:p>
            <w:pPr>
              <w:jc w:val="center"/>
              <w:spacing w:after="0"/>
              <w:rPr>
                <w:sz w:val="20"/>
                <w:szCs w:val="20"/>
                <w:color w:val="auto"/>
              </w:rPr>
            </w:pPr>
            <w:r>
              <w:rPr>
                <w:rFonts w:ascii="Arial" w:cs="Arial" w:eastAsia="Arial" w:hAnsi="Arial"/>
                <w:sz w:val="16"/>
                <w:szCs w:val="16"/>
                <w:b w:val="1"/>
                <w:bCs w:val="1"/>
                <w:color w:val="auto"/>
                <w:w w:val="96"/>
              </w:rPr>
              <w:t>% of Total</w:t>
            </w: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40" w:type="dxa"/>
            <w:vAlign w:val="bottom"/>
          </w:tcPr>
          <w:p>
            <w:pPr>
              <w:jc w:val="center"/>
              <w:spacing w:after="0"/>
              <w:rPr>
                <w:sz w:val="20"/>
                <w:szCs w:val="20"/>
                <w:color w:val="auto"/>
              </w:rPr>
            </w:pPr>
            <w:r>
              <w:rPr>
                <w:rFonts w:ascii="Arial" w:cs="Arial" w:eastAsia="Arial" w:hAnsi="Arial"/>
                <w:sz w:val="16"/>
                <w:szCs w:val="16"/>
                <w:b w:val="1"/>
                <w:bCs w:val="1"/>
                <w:color w:val="auto"/>
                <w:w w:val="96"/>
              </w:rPr>
              <w:t>% of Total</w:t>
            </w:r>
          </w:p>
        </w:tc>
        <w:tc>
          <w:tcPr>
            <w:tcW w:w="80" w:type="dxa"/>
            <w:vAlign w:val="bottom"/>
          </w:tcPr>
          <w:p>
            <w:pPr>
              <w:spacing w:after="0"/>
              <w:rPr>
                <w:sz w:val="16"/>
                <w:szCs w:val="16"/>
                <w:color w:val="auto"/>
              </w:rPr>
            </w:pPr>
          </w:p>
        </w:tc>
      </w:tr>
      <w:tr>
        <w:trPr>
          <w:trHeight w:val="203"/>
        </w:trPr>
        <w:tc>
          <w:tcPr>
            <w:tcW w:w="33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91"/>
              </w:rPr>
              <w:t>loan</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1"/>
              </w:rPr>
              <w:t>loan</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1"/>
              </w:rPr>
              <w:t>loan</w:t>
            </w:r>
          </w:p>
        </w:tc>
      </w:tr>
      <w:tr>
        <w:trPr>
          <w:trHeight w:val="203"/>
        </w:trPr>
        <w:tc>
          <w:tcPr>
            <w:tcW w:w="33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90"/>
              </w:rPr>
              <w:t>commitments</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gridSpan w:val="3"/>
          </w:tcPr>
          <w:p>
            <w:pPr>
              <w:jc w:val="center"/>
              <w:ind w:right="80"/>
              <w:spacing w:after="0"/>
              <w:rPr>
                <w:sz w:val="20"/>
                <w:szCs w:val="20"/>
                <w:color w:val="auto"/>
              </w:rPr>
            </w:pPr>
            <w:r>
              <w:rPr>
                <w:rFonts w:ascii="Arial" w:cs="Arial" w:eastAsia="Arial" w:hAnsi="Arial"/>
                <w:sz w:val="16"/>
                <w:szCs w:val="16"/>
                <w:b w:val="1"/>
                <w:bCs w:val="1"/>
                <w:color w:val="auto"/>
                <w:w w:val="90"/>
              </w:rPr>
              <w:t>commitments</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0"/>
              </w:rPr>
              <w:t>commitments</w:t>
            </w:r>
          </w:p>
        </w:tc>
      </w:tr>
      <w:tr>
        <w:trPr>
          <w:trHeight w:val="203"/>
        </w:trPr>
        <w:tc>
          <w:tcPr>
            <w:tcW w:w="33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91"/>
              </w:rPr>
              <w:t>and financial</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1"/>
              </w:rPr>
              <w:t>and financial</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1"/>
              </w:rPr>
              <w:t>and financial</w:t>
            </w:r>
          </w:p>
        </w:tc>
      </w:tr>
      <w:tr>
        <w:trPr>
          <w:trHeight w:val="203"/>
        </w:trPr>
        <w:tc>
          <w:tcPr>
            <w:tcW w:w="33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6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91"/>
              </w:rPr>
              <w:t>guarantee</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1"/>
              </w:rPr>
              <w:t>guarantee</w:t>
            </w: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1"/>
              </w:rPr>
              <w:t>guarantee</w:t>
            </w:r>
          </w:p>
        </w:tc>
      </w:tr>
      <w:tr>
        <w:trPr>
          <w:trHeight w:val="213"/>
        </w:trPr>
        <w:tc>
          <w:tcPr>
            <w:tcW w:w="3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w w:val="99"/>
              </w:rPr>
              <w:t>Amount</w:t>
            </w:r>
          </w:p>
        </w:tc>
        <w:tc>
          <w:tcPr>
            <w:tcW w:w="200" w:type="dxa"/>
            <w:vAlign w:val="bottom"/>
          </w:tcPr>
          <w:p>
            <w:pPr>
              <w:spacing w:after="0"/>
              <w:rPr>
                <w:sz w:val="18"/>
                <w:szCs w:val="18"/>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8"/>
              </w:rPr>
              <w:t>contracts</w:t>
            </w: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w w:val="95"/>
              </w:rPr>
              <w:t>Amount</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8"/>
              </w:rPr>
              <w:t>contracts</w:t>
            </w:r>
          </w:p>
        </w:tc>
        <w:tc>
          <w:tcPr>
            <w:tcW w:w="18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w w:val="95"/>
              </w:rPr>
              <w:t>Amount</w:t>
            </w:r>
          </w:p>
        </w:tc>
        <w:tc>
          <w:tcPr>
            <w:tcW w:w="180" w:type="dxa"/>
            <w:vAlign w:val="bottom"/>
          </w:tcPr>
          <w:p>
            <w:pPr>
              <w:spacing w:after="0"/>
              <w:rPr>
                <w:sz w:val="18"/>
                <w:szCs w:val="18"/>
                <w:color w:val="auto"/>
              </w:rPr>
            </w:pPr>
          </w:p>
        </w:tc>
        <w:tc>
          <w:tcPr>
            <w:tcW w:w="9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8"/>
              </w:rPr>
              <w:t>contracts</w:t>
            </w:r>
          </w:p>
        </w:tc>
        <w:tc>
          <w:tcPr>
            <w:tcW w:w="80" w:type="dxa"/>
            <w:vAlign w:val="bottom"/>
          </w:tcPr>
          <w:p>
            <w:pPr>
              <w:spacing w:after="0"/>
              <w:rPr>
                <w:sz w:val="18"/>
                <w:szCs w:val="18"/>
                <w:color w:val="auto"/>
              </w:rPr>
            </w:pPr>
          </w:p>
        </w:tc>
      </w:tr>
      <w:tr>
        <w:trPr>
          <w:trHeight w:val="209"/>
        </w:trPr>
        <w:tc>
          <w:tcPr>
            <w:tcW w:w="33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360" w:type="dxa"/>
            <w:vAlign w:val="bottom"/>
            <w:gridSpan w:val="7"/>
          </w:tcPr>
          <w:p>
            <w:pPr>
              <w:jc w:val="center"/>
              <w:ind w:right="80"/>
              <w:spacing w:after="0"/>
              <w:rPr>
                <w:sz w:val="20"/>
                <w:szCs w:val="20"/>
                <w:color w:val="auto"/>
              </w:rPr>
            </w:pPr>
            <w:r>
              <w:rPr>
                <w:rFonts w:ascii="Arial" w:cs="Arial" w:eastAsia="Arial" w:hAnsi="Arial"/>
                <w:sz w:val="16"/>
                <w:szCs w:val="16"/>
                <w:color w:val="auto"/>
                <w:w w:val="92"/>
              </w:rPr>
              <w:t>(in $ millions, except percentages)</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92"/>
        </w:trPr>
        <w:tc>
          <w:tcPr>
            <w:tcW w:w="33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99"/>
              </w:rPr>
              <w:t>Loan commitments and financial guarantee</w:t>
            </w: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16"/>
        </w:trPr>
        <w:tc>
          <w:tcPr>
            <w:tcW w:w="33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contracts</w:t>
            </w: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Argentina</w:t>
            </w:r>
          </w:p>
        </w:tc>
        <w:tc>
          <w:tcPr>
            <w:tcW w:w="3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80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20" w:type="dxa"/>
            <w:vAlign w:val="bottom"/>
          </w:tcPr>
          <w:p>
            <w:pPr>
              <w:spacing w:after="0"/>
              <w:rPr>
                <w:sz w:val="17"/>
                <w:szCs w:val="17"/>
                <w:color w:val="auto"/>
              </w:rPr>
            </w:pPr>
          </w:p>
        </w:tc>
        <w:tc>
          <w:tcPr>
            <w:tcW w:w="28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7</w:t>
            </w:r>
          </w:p>
        </w:tc>
        <w:tc>
          <w:tcPr>
            <w:tcW w:w="940" w:type="dxa"/>
            <w:vAlign w:val="bottom"/>
          </w:tcPr>
          <w:p>
            <w:pPr>
              <w:jc w:val="right"/>
              <w:spacing w:after="0"/>
              <w:rPr>
                <w:sz w:val="20"/>
                <w:szCs w:val="20"/>
                <w:color w:val="auto"/>
              </w:rPr>
            </w:pPr>
            <w:r>
              <w:rPr>
                <w:rFonts w:ascii="Arial" w:cs="Arial" w:eastAsia="Arial" w:hAnsi="Arial"/>
                <w:sz w:val="16"/>
                <w:szCs w:val="16"/>
                <w:color w:val="auto"/>
              </w:rPr>
              <w:t>1.4</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Bolivia</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0.5</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Brazil</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50</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8.8</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50</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10.2</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50</w:t>
            </w:r>
          </w:p>
        </w:tc>
        <w:tc>
          <w:tcPr>
            <w:tcW w:w="940" w:type="dxa"/>
            <w:vAlign w:val="bottom"/>
          </w:tcPr>
          <w:p>
            <w:pPr>
              <w:jc w:val="right"/>
              <w:spacing w:after="0"/>
              <w:rPr>
                <w:sz w:val="20"/>
                <w:szCs w:val="20"/>
                <w:color w:val="auto"/>
              </w:rPr>
            </w:pPr>
            <w:r>
              <w:rPr>
                <w:rFonts w:ascii="Arial" w:cs="Arial" w:eastAsia="Arial" w:hAnsi="Arial"/>
                <w:sz w:val="16"/>
                <w:szCs w:val="16"/>
                <w:color w:val="auto"/>
              </w:rPr>
              <w:t>10.0</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Canada</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Chile</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8</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1.4</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8.9</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48</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9.6</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52</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Costa Rica</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56</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9.9</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59</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12.0</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39</w:t>
            </w:r>
          </w:p>
        </w:tc>
        <w:tc>
          <w:tcPr>
            <w:tcW w:w="940" w:type="dxa"/>
            <w:vAlign w:val="bottom"/>
          </w:tcPr>
          <w:p>
            <w:pPr>
              <w:jc w:val="right"/>
              <w:spacing w:after="0"/>
              <w:rPr>
                <w:sz w:val="20"/>
                <w:szCs w:val="20"/>
                <w:color w:val="auto"/>
              </w:rPr>
            </w:pPr>
            <w:r>
              <w:rPr>
                <w:rFonts w:ascii="Arial" w:cs="Arial" w:eastAsia="Arial" w:hAnsi="Arial"/>
                <w:sz w:val="16"/>
                <w:szCs w:val="16"/>
                <w:color w:val="auto"/>
              </w:rPr>
              <w:t>7.7</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Dominican Republic</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3.3</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17</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Ecuador</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94</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16.6</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155</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31.5</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247</w:t>
            </w:r>
          </w:p>
        </w:tc>
        <w:tc>
          <w:tcPr>
            <w:tcW w:w="940" w:type="dxa"/>
            <w:vAlign w:val="bottom"/>
          </w:tcPr>
          <w:p>
            <w:pPr>
              <w:jc w:val="right"/>
              <w:spacing w:after="0"/>
              <w:rPr>
                <w:sz w:val="20"/>
                <w:szCs w:val="20"/>
                <w:color w:val="auto"/>
              </w:rPr>
            </w:pPr>
            <w:r>
              <w:rPr>
                <w:rFonts w:ascii="Arial" w:cs="Arial" w:eastAsia="Arial" w:hAnsi="Arial"/>
                <w:sz w:val="16"/>
                <w:szCs w:val="16"/>
                <w:color w:val="auto"/>
              </w:rPr>
              <w:t>49.3</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El Salvador</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1.1</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0.2</w:t>
            </w:r>
          </w:p>
        </w:tc>
        <w:tc>
          <w:tcPr>
            <w:tcW w:w="80" w:type="dxa"/>
            <w:vAlign w:val="bottom"/>
            <w:shd w:val="clear" w:color="auto" w:fill="CCEEFF"/>
          </w:tcPr>
          <w:p>
            <w:pPr>
              <w:spacing w:after="0"/>
              <w:rPr>
                <w:sz w:val="17"/>
                <w:szCs w:val="17"/>
                <w:color w:val="auto"/>
              </w:rPr>
            </w:pPr>
          </w:p>
        </w:tc>
      </w:tr>
      <w:tr>
        <w:trPr>
          <w:trHeight w:val="202"/>
        </w:trPr>
        <w:tc>
          <w:tcPr>
            <w:tcW w:w="3300" w:type="dxa"/>
            <w:vAlign w:val="bottom"/>
          </w:tcPr>
          <w:p>
            <w:pPr>
              <w:spacing w:after="0"/>
              <w:rPr>
                <w:sz w:val="20"/>
                <w:szCs w:val="20"/>
                <w:color w:val="auto"/>
              </w:rPr>
            </w:pPr>
            <w:r>
              <w:rPr>
                <w:rFonts w:ascii="Arial" w:cs="Arial" w:eastAsia="Arial" w:hAnsi="Arial"/>
                <w:sz w:val="16"/>
                <w:szCs w:val="16"/>
                <w:color w:val="auto"/>
              </w:rPr>
              <w:t>France</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85</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15.0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48</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9.7</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Germany</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18</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Guatemala</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44</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7.8</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44</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9.0</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15</w:t>
            </w:r>
          </w:p>
        </w:tc>
        <w:tc>
          <w:tcPr>
            <w:tcW w:w="940" w:type="dxa"/>
            <w:vAlign w:val="bottom"/>
          </w:tcPr>
          <w:p>
            <w:pPr>
              <w:jc w:val="right"/>
              <w:spacing w:after="0"/>
              <w:rPr>
                <w:sz w:val="20"/>
                <w:szCs w:val="20"/>
                <w:color w:val="auto"/>
              </w:rPr>
            </w:pPr>
            <w:r>
              <w:rPr>
                <w:rFonts w:ascii="Arial" w:cs="Arial" w:eastAsia="Arial" w:hAnsi="Arial"/>
                <w:sz w:val="16"/>
                <w:szCs w:val="16"/>
                <w:color w:val="auto"/>
              </w:rPr>
              <w:t>3.0</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Honduras</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Mexico</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5</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0.9</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17</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3.5</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23</w:t>
            </w:r>
          </w:p>
        </w:tc>
        <w:tc>
          <w:tcPr>
            <w:tcW w:w="940" w:type="dxa"/>
            <w:vAlign w:val="bottom"/>
          </w:tcPr>
          <w:p>
            <w:pPr>
              <w:jc w:val="right"/>
              <w:spacing w:after="0"/>
              <w:rPr>
                <w:sz w:val="20"/>
                <w:szCs w:val="20"/>
                <w:color w:val="auto"/>
              </w:rPr>
            </w:pPr>
            <w:r>
              <w:rPr>
                <w:rFonts w:ascii="Arial" w:cs="Arial" w:eastAsia="Arial" w:hAnsi="Arial"/>
                <w:sz w:val="16"/>
                <w:szCs w:val="16"/>
                <w:color w:val="auto"/>
              </w:rPr>
              <w:t>4.5</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Panama</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22</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4.4</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29</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Paraguay</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12</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2.1</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11</w:t>
            </w: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2.2</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03"/>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Peru</w:t>
            </w:r>
          </w:p>
        </w:tc>
        <w:tc>
          <w:tcPr>
            <w:tcW w:w="2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8.2</w:t>
            </w: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80" w:type="dxa"/>
            <w:vAlign w:val="bottom"/>
            <w:shd w:val="clear" w:color="auto" w:fill="CCEEFF"/>
          </w:tcPr>
          <w:p>
            <w:pPr>
              <w:spacing w:after="0"/>
              <w:rPr>
                <w:sz w:val="17"/>
                <w:szCs w:val="17"/>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1.2</w:t>
            </w:r>
          </w:p>
        </w:tc>
        <w:tc>
          <w:tcPr>
            <w:tcW w:w="120" w:type="dxa"/>
            <w:vAlign w:val="bottom"/>
            <w:shd w:val="clear" w:color="auto" w:fill="CCEEFF"/>
          </w:tcPr>
          <w:p>
            <w:pPr>
              <w:spacing w:after="0"/>
              <w:rPr>
                <w:sz w:val="17"/>
                <w:szCs w:val="17"/>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3</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0.6</w:t>
            </w:r>
          </w:p>
        </w:tc>
        <w:tc>
          <w:tcPr>
            <w:tcW w:w="80" w:type="dxa"/>
            <w:vAlign w:val="bottom"/>
            <w:shd w:val="clear" w:color="auto" w:fill="CCEEFF"/>
          </w:tcPr>
          <w:p>
            <w:pPr>
              <w:spacing w:after="0"/>
              <w:rPr>
                <w:sz w:val="17"/>
                <w:szCs w:val="17"/>
                <w:color w:val="auto"/>
              </w:rPr>
            </w:pPr>
          </w:p>
        </w:tc>
      </w:tr>
      <w:tr>
        <w:trPr>
          <w:trHeight w:val="203"/>
        </w:trPr>
        <w:tc>
          <w:tcPr>
            <w:tcW w:w="3300" w:type="dxa"/>
            <w:vAlign w:val="bottom"/>
          </w:tcPr>
          <w:p>
            <w:pPr>
              <w:spacing w:after="0"/>
              <w:rPr>
                <w:sz w:val="20"/>
                <w:szCs w:val="20"/>
                <w:color w:val="auto"/>
              </w:rPr>
            </w:pPr>
            <w:r>
              <w:rPr>
                <w:rFonts w:ascii="Arial" w:cs="Arial" w:eastAsia="Arial" w:hAnsi="Arial"/>
                <w:sz w:val="16"/>
                <w:szCs w:val="16"/>
                <w:color w:val="auto"/>
              </w:rPr>
              <w:t>Switzerland</w:t>
            </w: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0" w:type="dxa"/>
            <w:vAlign w:val="bottom"/>
          </w:tcPr>
          <w:p>
            <w:pPr>
              <w:jc w:val="right"/>
              <w:spacing w:after="0"/>
              <w:rPr>
                <w:sz w:val="20"/>
                <w:szCs w:val="20"/>
                <w:color w:val="auto"/>
              </w:rPr>
            </w:pPr>
            <w:r>
              <w:rPr>
                <w:rFonts w:ascii="Arial" w:cs="Arial" w:eastAsia="Arial" w:hAnsi="Arial"/>
                <w:sz w:val="16"/>
                <w:szCs w:val="16"/>
                <w:color w:val="auto"/>
              </w:rPr>
              <w:t>0</w:t>
            </w:r>
          </w:p>
        </w:tc>
        <w:tc>
          <w:tcPr>
            <w:tcW w:w="200" w:type="dxa"/>
            <w:vAlign w:val="bottom"/>
          </w:tcPr>
          <w:p>
            <w:pPr>
              <w:spacing w:after="0"/>
              <w:rPr>
                <w:sz w:val="17"/>
                <w:szCs w:val="17"/>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10</w:t>
            </w:r>
          </w:p>
        </w:tc>
        <w:tc>
          <w:tcPr>
            <w:tcW w:w="80" w:type="dxa"/>
            <w:vAlign w:val="bottom"/>
          </w:tcPr>
          <w:p>
            <w:pPr>
              <w:spacing w:after="0"/>
              <w:rPr>
                <w:sz w:val="17"/>
                <w:szCs w:val="17"/>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color w:val="auto"/>
              </w:rPr>
              <w:t>2.0</w:t>
            </w:r>
          </w:p>
        </w:tc>
        <w:tc>
          <w:tcPr>
            <w:tcW w:w="120" w:type="dxa"/>
            <w:vAlign w:val="bottom"/>
          </w:tcPr>
          <w:p>
            <w:pPr>
              <w:spacing w:after="0"/>
              <w:rPr>
                <w:sz w:val="17"/>
                <w:szCs w:val="17"/>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6"/>
                <w:szCs w:val="16"/>
                <w:color w:val="auto"/>
              </w:rPr>
              <w:t>0</w:t>
            </w:r>
          </w:p>
        </w:tc>
        <w:tc>
          <w:tcPr>
            <w:tcW w:w="940" w:type="dxa"/>
            <w:vAlign w:val="bottom"/>
          </w:tcPr>
          <w:p>
            <w:pPr>
              <w:jc w:val="right"/>
              <w:spacing w:after="0"/>
              <w:rPr>
                <w:sz w:val="20"/>
                <w:szCs w:val="20"/>
                <w:color w:val="auto"/>
              </w:rPr>
            </w:pPr>
            <w:r>
              <w:rPr>
                <w:rFonts w:ascii="Arial" w:cs="Arial" w:eastAsia="Arial" w:hAnsi="Arial"/>
                <w:sz w:val="16"/>
                <w:szCs w:val="16"/>
                <w:color w:val="auto"/>
              </w:rPr>
              <w:t>0.0</w:t>
            </w:r>
          </w:p>
        </w:tc>
        <w:tc>
          <w:tcPr>
            <w:tcW w:w="80" w:type="dxa"/>
            <w:vAlign w:val="bottom"/>
          </w:tcPr>
          <w:p>
            <w:pPr>
              <w:spacing w:after="0"/>
              <w:rPr>
                <w:sz w:val="17"/>
                <w:szCs w:val="17"/>
                <w:color w:val="auto"/>
              </w:rPr>
            </w:pPr>
          </w:p>
        </w:tc>
      </w:tr>
      <w:tr>
        <w:trPr>
          <w:trHeight w:val="216"/>
        </w:trPr>
        <w:tc>
          <w:tcPr>
            <w:tcW w:w="3300" w:type="dxa"/>
            <w:vAlign w:val="bottom"/>
            <w:shd w:val="clear" w:color="auto" w:fill="CCEEFF"/>
          </w:tcPr>
          <w:p>
            <w:pPr>
              <w:spacing w:after="0"/>
              <w:rPr>
                <w:sz w:val="20"/>
                <w:szCs w:val="20"/>
                <w:color w:val="auto"/>
              </w:rPr>
            </w:pPr>
            <w:r>
              <w:rPr>
                <w:rFonts w:ascii="Arial" w:cs="Arial" w:eastAsia="Arial" w:hAnsi="Arial"/>
                <w:sz w:val="16"/>
                <w:szCs w:val="16"/>
                <w:color w:val="auto"/>
              </w:rPr>
              <w:t>Uruguay</w:t>
            </w: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6.0</w:t>
            </w: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8"/>
                <w:szCs w:val="18"/>
                <w:color w:val="auto"/>
              </w:rPr>
            </w:pPr>
          </w:p>
        </w:tc>
        <w:tc>
          <w:tcPr>
            <w:tcW w:w="1220" w:type="dxa"/>
            <w:vAlign w:val="bottom"/>
            <w:gridSpan w:val="3"/>
            <w:shd w:val="clear" w:color="auto" w:fill="CCEEFF"/>
          </w:tcPr>
          <w:p>
            <w:pPr>
              <w:jc w:val="right"/>
              <w:ind w:right="180"/>
              <w:spacing w:after="0"/>
              <w:rPr>
                <w:sz w:val="20"/>
                <w:szCs w:val="20"/>
                <w:color w:val="auto"/>
              </w:rPr>
            </w:pPr>
            <w:r>
              <w:rPr>
                <w:rFonts w:ascii="Arial" w:cs="Arial" w:eastAsia="Arial" w:hAnsi="Arial"/>
                <w:sz w:val="16"/>
                <w:szCs w:val="16"/>
                <w:color w:val="auto"/>
              </w:rPr>
              <w:t>0.0</w:t>
            </w:r>
          </w:p>
        </w:tc>
        <w:tc>
          <w:tcPr>
            <w:tcW w:w="12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80" w:type="dxa"/>
            <w:vAlign w:val="bottom"/>
            <w:shd w:val="clear" w:color="auto" w:fill="CCEEFF"/>
          </w:tcPr>
          <w:p>
            <w:pPr>
              <w:spacing w:after="0"/>
              <w:rPr>
                <w:sz w:val="18"/>
                <w:szCs w:val="18"/>
                <w:color w:val="auto"/>
              </w:rPr>
            </w:pPr>
          </w:p>
        </w:tc>
      </w:tr>
      <w:tr>
        <w:trPr>
          <w:trHeight w:val="169"/>
        </w:trPr>
        <w:tc>
          <w:tcPr>
            <w:tcW w:w="3300" w:type="dxa"/>
            <w:vAlign w:val="bottom"/>
          </w:tcPr>
          <w:p>
            <w:pPr>
              <w:spacing w:after="0" w:line="169" w:lineRule="exact"/>
              <w:rPr>
                <w:sz w:val="20"/>
                <w:szCs w:val="20"/>
                <w:color w:val="auto"/>
              </w:rPr>
            </w:pPr>
            <w:r>
              <w:rPr>
                <w:rFonts w:ascii="Arial" w:cs="Arial" w:eastAsia="Arial" w:hAnsi="Arial"/>
                <w:sz w:val="16"/>
                <w:szCs w:val="16"/>
                <w:b w:val="1"/>
                <w:bCs w:val="1"/>
                <w:color w:val="auto"/>
              </w:rPr>
              <w:t>Total loan commitments and</w:t>
            </w:r>
          </w:p>
        </w:tc>
        <w:tc>
          <w:tcPr>
            <w:tcW w:w="26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80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940" w:type="dxa"/>
            <w:vAlign w:val="bottom"/>
            <w:tcBorders>
              <w:top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780" w:type="dxa"/>
            <w:vAlign w:val="bottom"/>
            <w:tcBorders>
              <w:top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94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227"/>
        </w:trPr>
        <w:tc>
          <w:tcPr>
            <w:tcW w:w="3300" w:type="dxa"/>
            <w:vAlign w:val="bottom"/>
          </w:tcPr>
          <w:p>
            <w:pPr>
              <w:spacing w:after="0"/>
              <w:rPr>
                <w:sz w:val="20"/>
                <w:szCs w:val="20"/>
                <w:color w:val="auto"/>
              </w:rPr>
            </w:pPr>
            <w:r>
              <w:rPr>
                <w:rFonts w:ascii="Arial" w:cs="Arial" w:eastAsia="Arial" w:hAnsi="Arial"/>
                <w:sz w:val="16"/>
                <w:szCs w:val="16"/>
                <w:b w:val="1"/>
                <w:bCs w:val="1"/>
                <w:color w:val="auto"/>
              </w:rPr>
              <w:t>financial guarantee contracts</w:t>
            </w:r>
          </w:p>
        </w:tc>
        <w:tc>
          <w:tcPr>
            <w:tcW w:w="38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800" w:type="dxa"/>
            <w:vAlign w:val="bottom"/>
          </w:tcPr>
          <w:p>
            <w:pPr>
              <w:jc w:val="right"/>
              <w:spacing w:after="0"/>
              <w:rPr>
                <w:sz w:val="20"/>
                <w:szCs w:val="20"/>
                <w:color w:val="auto"/>
              </w:rPr>
            </w:pPr>
            <w:r>
              <w:rPr>
                <w:rFonts w:ascii="Arial" w:cs="Arial" w:eastAsia="Arial" w:hAnsi="Arial"/>
                <w:sz w:val="16"/>
                <w:szCs w:val="16"/>
                <w:b w:val="1"/>
                <w:bCs w:val="1"/>
                <w:color w:val="auto"/>
              </w:rPr>
              <w:t>565</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Pr>
          <w:p>
            <w:pPr>
              <w:spacing w:after="0"/>
              <w:rPr>
                <w:sz w:val="19"/>
                <w:szCs w:val="19"/>
                <w:color w:val="auto"/>
              </w:rPr>
            </w:pPr>
          </w:p>
        </w:tc>
        <w:tc>
          <w:tcPr>
            <w:tcW w:w="28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780" w:type="dxa"/>
            <w:vAlign w:val="bottom"/>
          </w:tcPr>
          <w:p>
            <w:pPr>
              <w:jc w:val="right"/>
              <w:spacing w:after="0"/>
              <w:rPr>
                <w:sz w:val="20"/>
                <w:szCs w:val="20"/>
                <w:color w:val="auto"/>
              </w:rPr>
            </w:pPr>
            <w:r>
              <w:rPr>
                <w:rFonts w:ascii="Arial" w:cs="Arial" w:eastAsia="Arial" w:hAnsi="Arial"/>
                <w:sz w:val="16"/>
                <w:szCs w:val="16"/>
                <w:b w:val="1"/>
                <w:bCs w:val="1"/>
                <w:color w:val="auto"/>
              </w:rPr>
              <w:t>493</w:t>
            </w:r>
          </w:p>
        </w:tc>
        <w:tc>
          <w:tcPr>
            <w:tcW w:w="80" w:type="dxa"/>
            <w:vAlign w:val="bottom"/>
          </w:tcPr>
          <w:p>
            <w:pPr>
              <w:spacing w:after="0"/>
              <w:rPr>
                <w:sz w:val="19"/>
                <w:szCs w:val="19"/>
                <w:color w:val="auto"/>
              </w:rPr>
            </w:pPr>
          </w:p>
        </w:tc>
        <w:tc>
          <w:tcPr>
            <w:tcW w:w="1220" w:type="dxa"/>
            <w:vAlign w:val="bottom"/>
            <w:gridSpan w:val="3"/>
          </w:tcPr>
          <w:p>
            <w:pPr>
              <w:jc w:val="right"/>
              <w:ind w:right="180"/>
              <w:spacing w:after="0"/>
              <w:rPr>
                <w:sz w:val="20"/>
                <w:szCs w:val="20"/>
                <w:color w:val="auto"/>
              </w:rPr>
            </w:pPr>
            <w:r>
              <w:rPr>
                <w:rFonts w:ascii="Arial" w:cs="Arial" w:eastAsia="Arial" w:hAnsi="Arial"/>
                <w:sz w:val="16"/>
                <w:szCs w:val="16"/>
                <w:b w:val="1"/>
                <w:bCs w:val="1"/>
                <w:color w:val="auto"/>
              </w:rPr>
              <w:t>100.0</w:t>
            </w:r>
          </w:p>
        </w:tc>
        <w:tc>
          <w:tcPr>
            <w:tcW w:w="12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960" w:type="dxa"/>
            <w:vAlign w:val="bottom"/>
            <w:gridSpan w:val="2"/>
          </w:tcPr>
          <w:p>
            <w:pPr>
              <w:jc w:val="right"/>
              <w:ind w:right="180"/>
              <w:spacing w:after="0"/>
              <w:rPr>
                <w:sz w:val="20"/>
                <w:szCs w:val="20"/>
                <w:color w:val="auto"/>
              </w:rPr>
            </w:pPr>
            <w:r>
              <w:rPr>
                <w:rFonts w:ascii="Arial" w:cs="Arial" w:eastAsia="Arial" w:hAnsi="Arial"/>
                <w:sz w:val="16"/>
                <w:szCs w:val="16"/>
                <w:b w:val="1"/>
                <w:bCs w:val="1"/>
                <w:color w:val="auto"/>
              </w:rPr>
              <w:t>502</w:t>
            </w:r>
          </w:p>
        </w:tc>
        <w:tc>
          <w:tcPr>
            <w:tcW w:w="940" w:type="dxa"/>
            <w:vAlign w:val="bottom"/>
          </w:tcPr>
          <w:p>
            <w:pPr>
              <w:jc w:val="right"/>
              <w:spacing w:after="0"/>
              <w:rPr>
                <w:sz w:val="20"/>
                <w:szCs w:val="20"/>
                <w:color w:val="auto"/>
              </w:rPr>
            </w:pPr>
            <w:r>
              <w:rPr>
                <w:rFonts w:ascii="Arial" w:cs="Arial" w:eastAsia="Arial" w:hAnsi="Arial"/>
                <w:sz w:val="16"/>
                <w:szCs w:val="16"/>
                <w:b w:val="1"/>
                <w:bCs w:val="1"/>
                <w:color w:val="auto"/>
              </w:rPr>
              <w:t>100.0</w:t>
            </w:r>
          </w:p>
        </w:tc>
        <w:tc>
          <w:tcPr>
            <w:tcW w:w="80" w:type="dxa"/>
            <w:vAlign w:val="bottom"/>
          </w:tcPr>
          <w:p>
            <w:pPr>
              <w:spacing w:after="0"/>
              <w:rPr>
                <w:sz w:val="19"/>
                <w:szCs w:val="19"/>
                <w:color w:val="auto"/>
              </w:rPr>
            </w:pPr>
          </w:p>
        </w:tc>
      </w:tr>
      <w:tr>
        <w:trPr>
          <w:trHeight w:val="20"/>
        </w:trPr>
        <w:tc>
          <w:tcPr>
            <w:tcW w:w="33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Investment Portfolio</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part of its Credit Portfolio, the Bank holds an Investment Portfolio, in the form of both securities at FVOCI and investment securities at amortized cost, consisting of highly liquid corporate debt securities rated above ‘A’, and investments in securities issued by Latin American entities related to the Bank’s investment management activities.</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information regarding the carrying value of the Bank’s Investment Portfolio and other financial assets, net, as of the dates indicated.</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36" w:name="page37"/>
    <w:bookmarkEnd w:id="36"/>
    <w:tbl>
      <w:tblPr>
        <w:tblLayout w:type="fixed"/>
        <w:tblInd w:w="0" w:type="dxa"/>
        <w:tblCellMar>
          <w:top w:w="0" w:type="dxa"/>
          <w:left w:w="0" w:type="dxa"/>
          <w:bottom w:w="0" w:type="dxa"/>
          <w:right w:w="0" w:type="dxa"/>
        </w:tblCellMar>
      </w:tblPr>
      <w:tr>
        <w:trPr>
          <w:trHeight w:val="229"/>
        </w:trPr>
        <w:tc>
          <w:tcPr>
            <w:tcW w:w="60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60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88"/>
              </w:rPr>
              <w:t>As of December 31,</w:t>
            </w:r>
          </w:p>
        </w:tc>
        <w:tc>
          <w:tcPr>
            <w:tcW w:w="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60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00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800" w:type="dxa"/>
            <w:vAlign w:val="bottom"/>
          </w:tcPr>
          <w:p>
            <w:pPr>
              <w:jc w:val="right"/>
              <w:ind w:right="10"/>
              <w:spacing w:after="0"/>
              <w:rPr>
                <w:sz w:val="20"/>
                <w:szCs w:val="20"/>
                <w:color w:val="auto"/>
              </w:rPr>
            </w:pPr>
            <w:r>
              <w:rPr>
                <w:rFonts w:ascii="Arial" w:cs="Arial" w:eastAsia="Arial" w:hAnsi="Arial"/>
                <w:sz w:val="18"/>
                <w:szCs w:val="18"/>
                <w:color w:val="auto"/>
              </w:rPr>
              <w:t>millions)</w:t>
            </w:r>
          </w:p>
        </w:tc>
        <w:tc>
          <w:tcPr>
            <w:tcW w:w="2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26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164</w:t>
            </w:r>
          </w:p>
        </w:tc>
        <w:tc>
          <w:tcPr>
            <w:tcW w:w="580" w:type="dxa"/>
            <w:vAlign w:val="bottom"/>
            <w:gridSpan w:val="2"/>
            <w:shd w:val="clear" w:color="auto" w:fill="CCEEFF"/>
          </w:tcPr>
          <w:p>
            <w:pPr>
              <w:jc w:val="right"/>
              <w:ind w:right="261"/>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w:t>
            </w:r>
          </w:p>
        </w:tc>
        <w:tc>
          <w:tcPr>
            <w:tcW w:w="260" w:type="dxa"/>
            <w:vAlign w:val="bottom"/>
            <w:gridSpan w:val="2"/>
            <w:shd w:val="clear" w:color="auto" w:fill="CCEEFF"/>
          </w:tcPr>
          <w:p>
            <w:pPr>
              <w:jc w:val="right"/>
              <w:ind w:right="87"/>
              <w:spacing w:after="0"/>
              <w:rPr>
                <w:sz w:val="20"/>
                <w:szCs w:val="20"/>
                <w:color w:val="auto"/>
              </w:rPr>
            </w:pPr>
            <w:r>
              <w:rPr>
                <w:rFonts w:ascii="Arial" w:cs="Arial" w:eastAsia="Arial" w:hAnsi="Arial"/>
                <w:sz w:val="18"/>
                <w:szCs w:val="18"/>
                <w:color w:val="auto"/>
                <w:w w:val="79"/>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000" w:type="dxa"/>
            <w:vAlign w:val="bottom"/>
          </w:tcPr>
          <w:p>
            <w:pPr>
              <w:spacing w:after="0"/>
              <w:rPr>
                <w:sz w:val="20"/>
                <w:szCs w:val="20"/>
                <w:color w:val="auto"/>
              </w:rPr>
            </w:pPr>
            <w:r>
              <w:rPr>
                <w:rFonts w:ascii="Arial" w:cs="Arial" w:eastAsia="Arial" w:hAnsi="Arial"/>
                <w:sz w:val="18"/>
                <w:szCs w:val="18"/>
                <w:color w:val="auto"/>
              </w:rPr>
              <w:t>Securities at FVOCI</w:t>
            </w:r>
          </w:p>
        </w:tc>
        <w:tc>
          <w:tcPr>
            <w:tcW w:w="9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231</w:t>
            </w:r>
          </w:p>
        </w:tc>
        <w:tc>
          <w:tcPr>
            <w:tcW w:w="16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22</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Investment Portfolio</w:t>
            </w:r>
          </w:p>
        </w:tc>
        <w:tc>
          <w:tcPr>
            <w:tcW w:w="98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420" w:type="dxa"/>
            <w:vAlign w:val="bottom"/>
            <w:tcBorders>
              <w:top w:val="single" w:sz="8" w:color="auto"/>
              <w:bottom w:val="single" w:sz="8" w:color="auto"/>
            </w:tcBorders>
            <w:shd w:val="clear" w:color="auto" w:fill="CCEEFF"/>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auto"/>
              <w:bottom w:val="single" w:sz="8" w:color="auto"/>
            </w:tcBorders>
            <w:shd w:val="clear" w:color="auto" w:fill="CCEEFF"/>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vMerge w:val="restart"/>
          </w:tcPr>
          <w:p>
            <w:pPr>
              <w:spacing w:after="0"/>
              <w:rPr>
                <w:sz w:val="20"/>
                <w:szCs w:val="20"/>
                <w:color w:val="auto"/>
              </w:rPr>
            </w:pPr>
            <w:r>
              <w:rPr>
                <w:rFonts w:ascii="Arial" w:cs="Arial" w:eastAsia="Arial" w:hAnsi="Arial"/>
                <w:sz w:val="18"/>
                <w:szCs w:val="18"/>
                <w:color w:val="auto"/>
              </w:rPr>
              <w:t>Equity instrument at FVOCI</w:t>
            </w:r>
          </w:p>
        </w:tc>
        <w:tc>
          <w:tcPr>
            <w:tcW w:w="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000" w:type="dxa"/>
            <w:vAlign w:val="bottom"/>
            <w:vMerge w:val="continue"/>
          </w:tcPr>
          <w:p>
            <w:pPr>
              <w:spacing w:after="0"/>
              <w:rPr>
                <w:sz w:val="17"/>
                <w:szCs w:val="17"/>
                <w:color w:val="auto"/>
              </w:rPr>
            </w:pPr>
          </w:p>
        </w:tc>
        <w:tc>
          <w:tcPr>
            <w:tcW w:w="9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80" w:type="dxa"/>
            <w:vAlign w:val="bottom"/>
          </w:tcPr>
          <w:p>
            <w:pPr>
              <w:jc w:val="right"/>
              <w:spacing w:after="0" w:line="196" w:lineRule="exact"/>
              <w:rPr>
                <w:sz w:val="20"/>
                <w:szCs w:val="20"/>
                <w:color w:val="auto"/>
              </w:rPr>
            </w:pPr>
            <w:r>
              <w:rPr>
                <w:rFonts w:ascii="Arial" w:cs="Arial" w:eastAsia="Arial" w:hAnsi="Arial"/>
                <w:sz w:val="18"/>
                <w:szCs w:val="18"/>
                <w:color w:val="auto"/>
              </w:rPr>
              <w:t>0</w:t>
            </w:r>
          </w:p>
        </w:tc>
        <w:tc>
          <w:tcPr>
            <w:tcW w:w="60" w:type="dxa"/>
            <w:vAlign w:val="bottom"/>
            <w:vMerge w:val="continue"/>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jc w:val="right"/>
              <w:spacing w:after="0" w:line="196" w:lineRule="exact"/>
              <w:rPr>
                <w:sz w:val="20"/>
                <w:szCs w:val="20"/>
                <w:color w:val="auto"/>
              </w:rPr>
            </w:pPr>
            <w:r>
              <w:rPr>
                <w:rFonts w:ascii="Arial" w:cs="Arial" w:eastAsia="Arial" w:hAnsi="Arial"/>
                <w:sz w:val="18"/>
                <w:szCs w:val="18"/>
                <w:color w:val="auto"/>
              </w:rPr>
              <w:t>2</w:t>
            </w:r>
          </w:p>
        </w:tc>
        <w:tc>
          <w:tcPr>
            <w:tcW w:w="22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jc w:val="right"/>
              <w:spacing w:after="0" w:line="196" w:lineRule="exact"/>
              <w:rPr>
                <w:sz w:val="20"/>
                <w:szCs w:val="20"/>
                <w:color w:val="auto"/>
              </w:rPr>
            </w:pPr>
            <w:r>
              <w:rPr>
                <w:rFonts w:ascii="Arial" w:cs="Arial" w:eastAsia="Arial" w:hAnsi="Arial"/>
                <w:sz w:val="18"/>
                <w:szCs w:val="18"/>
                <w:color w:val="auto"/>
              </w:rPr>
              <w:t>6</w:t>
            </w:r>
          </w:p>
        </w:tc>
        <w:tc>
          <w:tcPr>
            <w:tcW w:w="2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 at fair value through profit and loss (debentures)</w:t>
            </w:r>
          </w:p>
        </w:tc>
        <w:tc>
          <w:tcPr>
            <w:tcW w:w="9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000" w:type="dxa"/>
            <w:vAlign w:val="bottom"/>
          </w:tcPr>
          <w:p>
            <w:pPr>
              <w:spacing w:after="0"/>
              <w:rPr>
                <w:sz w:val="20"/>
                <w:szCs w:val="20"/>
                <w:color w:val="auto"/>
              </w:rPr>
            </w:pPr>
            <w:r>
              <w:rPr>
                <w:rFonts w:ascii="Arial" w:cs="Arial" w:eastAsia="Arial" w:hAnsi="Arial"/>
                <w:sz w:val="18"/>
                <w:szCs w:val="18"/>
                <w:color w:val="auto"/>
              </w:rPr>
              <w:t>Interest receivable</w:t>
            </w:r>
          </w:p>
        </w:tc>
        <w:tc>
          <w:tcPr>
            <w:tcW w:w="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3</w:t>
            </w:r>
          </w:p>
        </w:tc>
        <w:tc>
          <w:tcPr>
            <w:tcW w:w="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Reserves</w:t>
            </w:r>
          </w:p>
        </w:tc>
        <w:tc>
          <w:tcPr>
            <w:tcW w:w="9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6000" w:type="dxa"/>
            <w:vAlign w:val="bottom"/>
          </w:tcPr>
          <w:p>
            <w:pPr>
              <w:spacing w:after="0"/>
              <w:rPr>
                <w:sz w:val="20"/>
                <w:szCs w:val="20"/>
                <w:color w:val="auto"/>
              </w:rPr>
            </w:pPr>
            <w:r>
              <w:rPr>
                <w:rFonts w:ascii="Arial" w:cs="Arial" w:eastAsia="Arial" w:hAnsi="Arial"/>
                <w:sz w:val="18"/>
                <w:szCs w:val="18"/>
                <w:b w:val="1"/>
                <w:bCs w:val="1"/>
                <w:color w:val="auto"/>
              </w:rPr>
              <w:t>Total securities and other financial assets, net</w:t>
            </w:r>
          </w:p>
        </w:tc>
        <w:tc>
          <w:tcPr>
            <w:tcW w:w="980" w:type="dxa"/>
            <w:vAlign w:val="bottom"/>
          </w:tcPr>
          <w:p>
            <w:pPr>
              <w:spacing w:after="0"/>
              <w:rPr>
                <w:sz w:val="19"/>
                <w:szCs w:val="19"/>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20" w:type="dxa"/>
            <w:vAlign w:val="bottom"/>
            <w:tcBorders>
              <w:top w:val="single" w:sz="8" w:color="auto"/>
              <w:bottom w:val="single" w:sz="8" w:color="auto"/>
            </w:tcBorders>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22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periods under review herein, the Bank did not hold instruments in obligations of the U.S. Treasury or other U.S. Government agencies or corporations, or in states of the U.S. or their municipalities.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tables set forth the distribution of the Bank’s Investment Portfolio, presented in principal amounts, by country risk, type of borrower and contractual maturity, as of the dates indicated:</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280" w:type="dxa"/>
            <w:vAlign w:val="bottom"/>
            <w:tcBorders>
              <w:bottom w:val="single" w:sz="8" w:color="auto"/>
            </w:tcBorders>
            <w:gridSpan w:val="5"/>
          </w:tcPr>
          <w:p>
            <w:pPr>
              <w:jc w:val="center"/>
              <w:ind w:right="460"/>
              <w:spacing w:after="0"/>
              <w:rPr>
                <w:sz w:val="20"/>
                <w:szCs w:val="20"/>
                <w:color w:val="auto"/>
              </w:rPr>
            </w:pPr>
            <w:r>
              <w:rPr>
                <w:rFonts w:ascii="Arial" w:cs="Arial" w:eastAsia="Arial" w:hAnsi="Arial"/>
                <w:sz w:val="16"/>
                <w:szCs w:val="16"/>
                <w:b w:val="1"/>
                <w:bCs w:val="1"/>
                <w:color w:val="auto"/>
                <w:w w:val="90"/>
              </w:rPr>
              <w:t>As of December 31,</w:t>
            </w: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6"/>
                <w:szCs w:val="16"/>
                <w:b w:val="1"/>
                <w:bCs w:val="1"/>
                <w:color w:val="auto"/>
              </w:rPr>
              <w:t>2020</w:t>
            </w:r>
          </w:p>
        </w:tc>
        <w:tc>
          <w:tcPr>
            <w:tcW w:w="78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2019</w:t>
            </w:r>
          </w:p>
        </w:tc>
        <w:tc>
          <w:tcPr>
            <w:tcW w:w="76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2018</w:t>
            </w:r>
          </w:p>
        </w:tc>
        <w:tc>
          <w:tcPr>
            <w:tcW w:w="78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159"/>
              <w:spacing w:after="0"/>
              <w:rPr>
                <w:sz w:val="20"/>
                <w:szCs w:val="20"/>
                <w:color w:val="auto"/>
              </w:rPr>
            </w:pPr>
            <w:r>
              <w:rPr>
                <w:rFonts w:ascii="Arial" w:cs="Arial" w:eastAsia="Arial" w:hAnsi="Arial"/>
                <w:sz w:val="16"/>
                <w:szCs w:val="16"/>
                <w:b w:val="1"/>
                <w:bCs w:val="1"/>
                <w:color w:val="auto"/>
              </w:rPr>
              <w:t>Amount</w:t>
            </w:r>
          </w:p>
        </w:tc>
        <w:tc>
          <w:tcPr>
            <w:tcW w:w="24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ind w:left="60"/>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9"/>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580" w:type="dxa"/>
            <w:vAlign w:val="bottom"/>
            <w:gridSpan w:val="7"/>
          </w:tcPr>
          <w:p>
            <w:pPr>
              <w:jc w:val="center"/>
              <w:ind w:right="180"/>
              <w:spacing w:after="0"/>
              <w:rPr>
                <w:sz w:val="20"/>
                <w:szCs w:val="20"/>
                <w:color w:val="auto"/>
              </w:rPr>
            </w:pPr>
            <w:r>
              <w:rPr>
                <w:rFonts w:ascii="Arial" w:cs="Arial" w:eastAsia="Arial" w:hAnsi="Arial"/>
                <w:sz w:val="16"/>
                <w:szCs w:val="16"/>
                <w:color w:val="auto"/>
                <w:w w:val="92"/>
              </w:rPr>
              <w:t>(in $ millions, except percentages)</w:t>
            </w: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5"/>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41</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10.4</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1.8</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4.1</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Chile</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41</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10.4</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5</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6.4</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5</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4.7</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Colombia</w:t>
            </w:r>
          </w:p>
        </w:tc>
        <w:tc>
          <w:tcPr>
            <w:tcW w:w="16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30</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7.6</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15</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19.3</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28</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26.3</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Mexico</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44</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11.1</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22</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27.0</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27</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25.3</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Multilateral Organizations</w:t>
            </w:r>
          </w:p>
        </w:tc>
        <w:tc>
          <w:tcPr>
            <w:tcW w:w="16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113</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28.5</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Panama</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10</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2.6</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36</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45.5</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35</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32.4</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Peru</w:t>
            </w:r>
          </w:p>
        </w:tc>
        <w:tc>
          <w:tcPr>
            <w:tcW w:w="16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26</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6.7</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Trinidad and Tobago</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8</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7.2</w:t>
            </w:r>
          </w:p>
        </w:tc>
        <w:tc>
          <w:tcPr>
            <w:tcW w:w="80" w:type="dxa"/>
            <w:vAlign w:val="bottom"/>
          </w:tcPr>
          <w:p>
            <w:pPr>
              <w:spacing w:after="0"/>
              <w:rPr>
                <w:sz w:val="17"/>
                <w:szCs w:val="17"/>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United States of America</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90</w:t>
            </w:r>
          </w:p>
        </w:tc>
        <w:tc>
          <w:tcPr>
            <w:tcW w:w="24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22.7</w:t>
            </w:r>
          </w:p>
        </w:tc>
        <w:tc>
          <w:tcPr>
            <w:tcW w:w="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0.0</w:t>
            </w:r>
          </w:p>
        </w:tc>
        <w:tc>
          <w:tcPr>
            <w:tcW w:w="80" w:type="dxa"/>
            <w:vAlign w:val="bottom"/>
            <w:shd w:val="clear" w:color="auto" w:fill="CCEEFF"/>
          </w:tcPr>
          <w:p>
            <w:pPr>
              <w:spacing w:after="0"/>
              <w:rPr>
                <w:sz w:val="18"/>
                <w:szCs w:val="18"/>
                <w:color w:val="auto"/>
              </w:rPr>
            </w:pPr>
          </w:p>
        </w:tc>
      </w:tr>
      <w:tr>
        <w:trPr>
          <w:trHeight w:val="226"/>
        </w:trPr>
        <w:tc>
          <w:tcPr>
            <w:tcW w:w="3940" w:type="dxa"/>
            <w:vAlign w:val="bottom"/>
          </w:tcPr>
          <w:p>
            <w:pPr>
              <w:ind w:left="180"/>
              <w:spacing w:after="0"/>
              <w:rPr>
                <w:sz w:val="20"/>
                <w:szCs w:val="20"/>
                <w:color w:val="auto"/>
              </w:rPr>
            </w:pPr>
            <w:r>
              <w:rPr>
                <w:rFonts w:ascii="Arial" w:cs="Arial" w:eastAsia="Arial" w:hAnsi="Arial"/>
                <w:sz w:val="16"/>
                <w:szCs w:val="16"/>
                <w:b w:val="1"/>
                <w:bCs w:val="1"/>
                <w:color w:val="auto"/>
              </w:rPr>
              <w:t>Total</w:t>
            </w:r>
          </w:p>
        </w:tc>
        <w:tc>
          <w:tcPr>
            <w:tcW w:w="160" w:type="dxa"/>
            <w:vAlign w:val="bottom"/>
          </w:tcPr>
          <w:p>
            <w:pPr>
              <w:jc w:val="right"/>
              <w:spacing w:after="0"/>
              <w:rPr>
                <w:sz w:val="20"/>
                <w:szCs w:val="20"/>
                <w:color w:val="auto"/>
              </w:rPr>
            </w:pPr>
            <w:r>
              <w:rPr>
                <w:rFonts w:ascii="Arial" w:cs="Arial" w:eastAsia="Arial" w:hAnsi="Arial"/>
                <w:sz w:val="16"/>
                <w:szCs w:val="16"/>
                <w:b w:val="1"/>
                <w:bCs w:val="1"/>
                <w:color w:val="auto"/>
                <w:w w:val="89"/>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b w:val="1"/>
                <w:bCs w:val="1"/>
                <w:color w:val="auto"/>
              </w:rPr>
              <w:t>395</w:t>
            </w:r>
          </w:p>
        </w:tc>
        <w:tc>
          <w:tcPr>
            <w:tcW w:w="240" w:type="dxa"/>
            <w:vAlign w:val="bottom"/>
          </w:tcPr>
          <w:p>
            <w:pPr>
              <w:spacing w:after="0"/>
              <w:rPr>
                <w:sz w:val="19"/>
                <w:szCs w:val="19"/>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300" w:type="dxa"/>
            <w:vAlign w:val="bottom"/>
            <w:gridSpan w:val="2"/>
          </w:tcPr>
          <w:p>
            <w:pPr>
              <w:jc w:val="right"/>
              <w:ind w:right="4"/>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80</w:t>
            </w:r>
          </w:p>
        </w:tc>
        <w:tc>
          <w:tcPr>
            <w:tcW w:w="24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100.0</w:t>
            </w: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107</w:t>
            </w:r>
          </w:p>
        </w:tc>
        <w:tc>
          <w:tcPr>
            <w:tcW w:w="220" w:type="dxa"/>
            <w:vAlign w:val="bottom"/>
          </w:tcPr>
          <w:p>
            <w:pPr>
              <w:spacing w:after="0"/>
              <w:rPr>
                <w:sz w:val="19"/>
                <w:szCs w:val="19"/>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100.0</w:t>
            </w:r>
          </w:p>
        </w:tc>
        <w:tc>
          <w:tcPr>
            <w:tcW w:w="80" w:type="dxa"/>
            <w:vAlign w:val="bottom"/>
          </w:tcPr>
          <w:p>
            <w:pPr>
              <w:spacing w:after="0"/>
              <w:rPr>
                <w:sz w:val="19"/>
                <w:szCs w:val="19"/>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3"/>
        </w:trPr>
        <w:tc>
          <w:tcPr>
            <w:tcW w:w="394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5"/>
          </w:tcPr>
          <w:p>
            <w:pPr>
              <w:jc w:val="center"/>
              <w:ind w:right="460"/>
              <w:spacing w:after="0"/>
              <w:rPr>
                <w:sz w:val="20"/>
                <w:szCs w:val="20"/>
                <w:color w:val="auto"/>
              </w:rPr>
            </w:pPr>
            <w:r>
              <w:rPr>
                <w:rFonts w:ascii="Arial" w:cs="Arial" w:eastAsia="Arial" w:hAnsi="Arial"/>
                <w:sz w:val="16"/>
                <w:szCs w:val="16"/>
                <w:b w:val="1"/>
                <w:bCs w:val="1"/>
                <w:color w:val="auto"/>
                <w:w w:val="90"/>
              </w:rPr>
              <w:t>As of December 31,</w:t>
            </w: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10"/>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6"/>
                <w:szCs w:val="16"/>
                <w:b w:val="1"/>
                <w:bCs w:val="1"/>
                <w:color w:val="auto"/>
              </w:rPr>
              <w:t>2020</w:t>
            </w:r>
          </w:p>
        </w:tc>
        <w:tc>
          <w:tcPr>
            <w:tcW w:w="78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2019</w:t>
            </w:r>
          </w:p>
        </w:tc>
        <w:tc>
          <w:tcPr>
            <w:tcW w:w="76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2018</w:t>
            </w:r>
          </w:p>
        </w:tc>
        <w:tc>
          <w:tcPr>
            <w:tcW w:w="78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159"/>
              <w:spacing w:after="0"/>
              <w:rPr>
                <w:sz w:val="20"/>
                <w:szCs w:val="20"/>
                <w:color w:val="auto"/>
              </w:rPr>
            </w:pPr>
            <w:r>
              <w:rPr>
                <w:rFonts w:ascii="Arial" w:cs="Arial" w:eastAsia="Arial" w:hAnsi="Arial"/>
                <w:sz w:val="16"/>
                <w:szCs w:val="16"/>
                <w:b w:val="1"/>
                <w:bCs w:val="1"/>
                <w:color w:val="auto"/>
              </w:rPr>
              <w:t>Amount</w:t>
            </w:r>
          </w:p>
        </w:tc>
        <w:tc>
          <w:tcPr>
            <w:tcW w:w="24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ind w:left="60"/>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9"/>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580" w:type="dxa"/>
            <w:vAlign w:val="bottom"/>
            <w:gridSpan w:val="7"/>
          </w:tcPr>
          <w:p>
            <w:pPr>
              <w:jc w:val="center"/>
              <w:ind w:right="180"/>
              <w:spacing w:after="0"/>
              <w:rPr>
                <w:sz w:val="20"/>
                <w:szCs w:val="20"/>
                <w:color w:val="auto"/>
              </w:rPr>
            </w:pPr>
            <w:r>
              <w:rPr>
                <w:rFonts w:ascii="Arial" w:cs="Arial" w:eastAsia="Arial" w:hAnsi="Arial"/>
                <w:sz w:val="16"/>
                <w:szCs w:val="16"/>
                <w:color w:val="auto"/>
                <w:w w:val="92"/>
              </w:rPr>
              <w:t>(in $ millions, except percentages)</w:t>
            </w: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w w:val="96"/>
              </w:rPr>
              <w:t>Private sector commercial banks and financial institutions</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34</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8.5</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19</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24.2</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19</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17.5</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State-owned commercial banks</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28</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7.2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3</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2.7</w:t>
            </w:r>
          </w:p>
        </w:tc>
        <w:tc>
          <w:tcPr>
            <w:tcW w:w="80" w:type="dxa"/>
            <w:vAlign w:val="bottom"/>
          </w:tcPr>
          <w:p>
            <w:pPr>
              <w:spacing w:after="0"/>
              <w:rPr>
                <w:sz w:val="17"/>
                <w:szCs w:val="17"/>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Sovereign debt</w:t>
            </w:r>
          </w:p>
        </w:tc>
        <w:tc>
          <w:tcPr>
            <w:tcW w:w="16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20</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5.1</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34</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42.2</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46</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43.5</w:t>
            </w:r>
          </w:p>
        </w:tc>
        <w:tc>
          <w:tcPr>
            <w:tcW w:w="80" w:type="dxa"/>
            <w:vAlign w:val="bottom"/>
            <w:shd w:val="clear" w:color="auto" w:fill="CCEEFF"/>
          </w:tcPr>
          <w:p>
            <w:pPr>
              <w:spacing w:after="0"/>
              <w:rPr>
                <w:sz w:val="17"/>
                <w:szCs w:val="17"/>
                <w:color w:val="auto"/>
              </w:rPr>
            </w:pPr>
          </w:p>
        </w:tc>
      </w:tr>
      <w:tr>
        <w:trPr>
          <w:trHeight w:val="202"/>
        </w:trPr>
        <w:tc>
          <w:tcPr>
            <w:tcW w:w="3940" w:type="dxa"/>
            <w:vAlign w:val="bottom"/>
          </w:tcPr>
          <w:p>
            <w:pPr>
              <w:spacing w:after="0"/>
              <w:rPr>
                <w:sz w:val="20"/>
                <w:szCs w:val="20"/>
                <w:color w:val="auto"/>
              </w:rPr>
            </w:pPr>
            <w:r>
              <w:rPr>
                <w:rFonts w:ascii="Arial" w:cs="Arial" w:eastAsia="Arial" w:hAnsi="Arial"/>
                <w:sz w:val="16"/>
                <w:szCs w:val="16"/>
                <w:color w:val="auto"/>
              </w:rPr>
              <w:t>State-owned organizations</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196</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49.5</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24</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29.8</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32</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29.5</w:t>
            </w:r>
          </w:p>
        </w:tc>
        <w:tc>
          <w:tcPr>
            <w:tcW w:w="80" w:type="dxa"/>
            <w:vAlign w:val="bottom"/>
          </w:tcPr>
          <w:p>
            <w:pPr>
              <w:spacing w:after="0"/>
              <w:rPr>
                <w:sz w:val="17"/>
                <w:szCs w:val="17"/>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Private corporations</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117</w:t>
            </w:r>
          </w:p>
        </w:tc>
        <w:tc>
          <w:tcPr>
            <w:tcW w:w="24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29.7</w:t>
            </w:r>
          </w:p>
        </w:tc>
        <w:tc>
          <w:tcPr>
            <w:tcW w:w="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w:t>
            </w:r>
          </w:p>
        </w:tc>
        <w:tc>
          <w:tcPr>
            <w:tcW w:w="24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3.8</w:t>
            </w: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6.8</w:t>
            </w:r>
          </w:p>
        </w:tc>
        <w:tc>
          <w:tcPr>
            <w:tcW w:w="80" w:type="dxa"/>
            <w:vAlign w:val="bottom"/>
            <w:shd w:val="clear" w:color="auto" w:fill="CCEEFF"/>
          </w:tcPr>
          <w:p>
            <w:pPr>
              <w:spacing w:after="0"/>
              <w:rPr>
                <w:sz w:val="18"/>
                <w:szCs w:val="18"/>
                <w:color w:val="auto"/>
              </w:rPr>
            </w:pPr>
          </w:p>
        </w:tc>
      </w:tr>
      <w:tr>
        <w:trPr>
          <w:trHeight w:val="207"/>
        </w:trPr>
        <w:tc>
          <w:tcPr>
            <w:tcW w:w="3940" w:type="dxa"/>
            <w:vAlign w:val="bottom"/>
          </w:tcPr>
          <w:p>
            <w:pPr>
              <w:ind w:left="180"/>
              <w:spacing w:after="0"/>
              <w:rPr>
                <w:sz w:val="20"/>
                <w:szCs w:val="20"/>
                <w:color w:val="auto"/>
              </w:rPr>
            </w:pPr>
            <w:r>
              <w:rPr>
                <w:rFonts w:ascii="Arial" w:cs="Arial" w:eastAsia="Arial" w:hAnsi="Arial"/>
                <w:sz w:val="16"/>
                <w:szCs w:val="16"/>
                <w:b w:val="1"/>
                <w:bCs w:val="1"/>
                <w:color w:val="auto"/>
              </w:rPr>
              <w:t>Total</w:t>
            </w:r>
          </w:p>
        </w:tc>
        <w:tc>
          <w:tcPr>
            <w:tcW w:w="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395</w:t>
            </w:r>
          </w:p>
        </w:tc>
        <w:tc>
          <w:tcPr>
            <w:tcW w:w="240" w:type="dxa"/>
            <w:vAlign w:val="bottom"/>
          </w:tcPr>
          <w:p>
            <w:pPr>
              <w:spacing w:after="0"/>
              <w:rPr>
                <w:sz w:val="17"/>
                <w:szCs w:val="17"/>
                <w:color w:val="auto"/>
              </w:rPr>
            </w:pPr>
          </w:p>
        </w:tc>
        <w:tc>
          <w:tcPr>
            <w:tcW w:w="240" w:type="dxa"/>
            <w:vAlign w:val="bottom"/>
            <w:tcBorders>
              <w:top w:val="single" w:sz="8" w:color="auto"/>
              <w:bottom w:val="single" w:sz="8" w:color="auto"/>
            </w:tcBorders>
          </w:tcPr>
          <w:p>
            <w:pPr>
              <w:spacing w:after="0"/>
              <w:rPr>
                <w:sz w:val="17"/>
                <w:szCs w:val="17"/>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60" w:type="dxa"/>
            <w:vAlign w:val="bottom"/>
            <w:tcBorders>
              <w:top w:val="single" w:sz="8" w:color="auto"/>
              <w:bottom w:val="single" w:sz="8" w:color="auto"/>
            </w:tcBorders>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80</w:t>
            </w:r>
          </w:p>
        </w:tc>
        <w:tc>
          <w:tcPr>
            <w:tcW w:w="220" w:type="dxa"/>
            <w:vAlign w:val="bottom"/>
          </w:tcPr>
          <w:p>
            <w:pPr>
              <w:spacing w:after="0"/>
              <w:rPr>
                <w:sz w:val="17"/>
                <w:szCs w:val="17"/>
                <w:color w:val="auto"/>
              </w:rPr>
            </w:pPr>
          </w:p>
        </w:tc>
        <w:tc>
          <w:tcPr>
            <w:tcW w:w="240" w:type="dxa"/>
            <w:vAlign w:val="bottom"/>
            <w:tcBorders>
              <w:top w:val="single" w:sz="8" w:color="auto"/>
              <w:bottom w:val="single" w:sz="8" w:color="auto"/>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20" w:type="dxa"/>
            <w:vAlign w:val="bottom"/>
          </w:tcPr>
          <w:p>
            <w:pPr>
              <w:spacing w:after="0"/>
              <w:rPr>
                <w:sz w:val="17"/>
                <w:szCs w:val="17"/>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107</w:t>
            </w:r>
          </w:p>
        </w:tc>
        <w:tc>
          <w:tcPr>
            <w:tcW w:w="220" w:type="dxa"/>
            <w:vAlign w:val="bottom"/>
          </w:tcPr>
          <w:p>
            <w:pPr>
              <w:spacing w:after="0"/>
              <w:rPr>
                <w:sz w:val="17"/>
                <w:szCs w:val="17"/>
                <w:color w:val="auto"/>
              </w:rPr>
            </w:pPr>
          </w:p>
        </w:tc>
        <w:tc>
          <w:tcPr>
            <w:tcW w:w="220" w:type="dxa"/>
            <w:vAlign w:val="bottom"/>
            <w:tcBorders>
              <w:top w:val="single" w:sz="8" w:color="auto"/>
              <w:bottom w:val="single" w:sz="8" w:color="auto"/>
            </w:tcBorders>
          </w:tcPr>
          <w:p>
            <w:pPr>
              <w:spacing w:after="0"/>
              <w:rPr>
                <w:sz w:val="17"/>
                <w:szCs w:val="17"/>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100.0</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2"/>
        </w:trPr>
        <w:tc>
          <w:tcPr>
            <w:tcW w:w="3940" w:type="dxa"/>
            <w:vAlign w:val="bottom"/>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5"/>
          </w:tcPr>
          <w:p>
            <w:pPr>
              <w:jc w:val="center"/>
              <w:ind w:right="460"/>
              <w:spacing w:after="0"/>
              <w:rPr>
                <w:sz w:val="20"/>
                <w:szCs w:val="20"/>
                <w:color w:val="auto"/>
              </w:rPr>
            </w:pPr>
            <w:r>
              <w:rPr>
                <w:rFonts w:ascii="Arial" w:cs="Arial" w:eastAsia="Arial" w:hAnsi="Arial"/>
                <w:sz w:val="16"/>
                <w:szCs w:val="16"/>
                <w:b w:val="1"/>
                <w:bCs w:val="1"/>
                <w:color w:val="auto"/>
                <w:w w:val="90"/>
              </w:rPr>
              <w:t>As of December 31,</w:t>
            </w:r>
          </w:p>
        </w:tc>
        <w:tc>
          <w:tcPr>
            <w:tcW w:w="1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10"/>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6"/>
                <w:szCs w:val="16"/>
                <w:b w:val="1"/>
                <w:bCs w:val="1"/>
                <w:color w:val="auto"/>
              </w:rPr>
              <w:t>2020</w:t>
            </w:r>
          </w:p>
        </w:tc>
        <w:tc>
          <w:tcPr>
            <w:tcW w:w="78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2019</w:t>
            </w:r>
          </w:p>
        </w:tc>
        <w:tc>
          <w:tcPr>
            <w:tcW w:w="76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13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6"/>
                <w:szCs w:val="16"/>
                <w:b w:val="1"/>
                <w:bCs w:val="1"/>
                <w:color w:val="auto"/>
              </w:rPr>
              <w:t>2018</w:t>
            </w:r>
          </w:p>
        </w:tc>
        <w:tc>
          <w:tcPr>
            <w:tcW w:w="78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9"/>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159"/>
              <w:spacing w:after="0"/>
              <w:rPr>
                <w:sz w:val="20"/>
                <w:szCs w:val="20"/>
                <w:color w:val="auto"/>
              </w:rPr>
            </w:pPr>
            <w:r>
              <w:rPr>
                <w:rFonts w:ascii="Arial" w:cs="Arial" w:eastAsia="Arial" w:hAnsi="Arial"/>
                <w:sz w:val="16"/>
                <w:szCs w:val="16"/>
                <w:b w:val="1"/>
                <w:bCs w:val="1"/>
                <w:color w:val="auto"/>
              </w:rPr>
              <w:t>Amount</w:t>
            </w:r>
          </w:p>
        </w:tc>
        <w:tc>
          <w:tcPr>
            <w:tcW w:w="24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ind w:left="60"/>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33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9"/>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580" w:type="dxa"/>
            <w:vAlign w:val="bottom"/>
            <w:gridSpan w:val="7"/>
          </w:tcPr>
          <w:p>
            <w:pPr>
              <w:jc w:val="center"/>
              <w:ind w:right="180"/>
              <w:spacing w:after="0"/>
              <w:rPr>
                <w:sz w:val="20"/>
                <w:szCs w:val="20"/>
                <w:color w:val="auto"/>
              </w:rPr>
            </w:pPr>
            <w:r>
              <w:rPr>
                <w:rFonts w:ascii="Arial" w:cs="Arial" w:eastAsia="Arial" w:hAnsi="Arial"/>
                <w:sz w:val="16"/>
                <w:szCs w:val="16"/>
                <w:color w:val="auto"/>
                <w:w w:val="92"/>
              </w:rPr>
              <w:t>(in $ millions, except percentages)</w:t>
            </w: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5"/>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In one year or less</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75</w:t>
            </w:r>
          </w:p>
        </w:tc>
        <w:tc>
          <w:tcPr>
            <w:tcW w:w="240" w:type="dxa"/>
            <w:vAlign w:val="bottom"/>
            <w:shd w:val="clear" w:color="auto" w:fill="CCEEFF"/>
          </w:tcPr>
          <w:p>
            <w:pPr>
              <w:spacing w:after="0"/>
              <w:rPr>
                <w:sz w:val="17"/>
                <w:szCs w:val="17"/>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18.9</w:t>
            </w:r>
          </w:p>
        </w:tc>
        <w:tc>
          <w:tcPr>
            <w:tcW w:w="300" w:type="dxa"/>
            <w:vAlign w:val="bottom"/>
            <w:gridSpan w:val="2"/>
            <w:shd w:val="clear" w:color="auto" w:fill="CCEEFF"/>
          </w:tcPr>
          <w:p>
            <w:pPr>
              <w:jc w:val="right"/>
              <w:ind w:right="4"/>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28</w:t>
            </w:r>
          </w:p>
        </w:tc>
        <w:tc>
          <w:tcPr>
            <w:tcW w:w="2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35.5</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36</w:t>
            </w:r>
          </w:p>
        </w:tc>
        <w:tc>
          <w:tcPr>
            <w:tcW w:w="22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33.9</w:t>
            </w:r>
          </w:p>
        </w:tc>
        <w:tc>
          <w:tcPr>
            <w:tcW w:w="80" w:type="dxa"/>
            <w:vAlign w:val="bottom"/>
            <w:shd w:val="clear" w:color="auto" w:fill="CCEEFF"/>
          </w:tcPr>
          <w:p>
            <w:pPr>
              <w:spacing w:after="0"/>
              <w:rPr>
                <w:sz w:val="17"/>
                <w:szCs w:val="17"/>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After one year through five years</w:t>
            </w:r>
          </w:p>
        </w:tc>
        <w:tc>
          <w:tcPr>
            <w:tcW w:w="160" w:type="dxa"/>
            <w:vAlign w:val="bottom"/>
          </w:tcPr>
          <w:p>
            <w:pPr>
              <w:spacing w:after="0"/>
              <w:rPr>
                <w:sz w:val="17"/>
                <w:szCs w:val="17"/>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6"/>
                <w:szCs w:val="16"/>
                <w:color w:val="auto"/>
              </w:rPr>
              <w:t>320</w:t>
            </w:r>
          </w:p>
        </w:tc>
        <w:tc>
          <w:tcPr>
            <w:tcW w:w="240" w:type="dxa"/>
            <w:vAlign w:val="bottom"/>
          </w:tcPr>
          <w:p>
            <w:pPr>
              <w:spacing w:after="0"/>
              <w:rPr>
                <w:sz w:val="17"/>
                <w:szCs w:val="17"/>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color w:val="auto"/>
              </w:rPr>
              <w:t>81.1</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51</w:t>
            </w:r>
          </w:p>
        </w:tc>
        <w:tc>
          <w:tcPr>
            <w:tcW w:w="240" w:type="dxa"/>
            <w:vAlign w:val="bottom"/>
          </w:tcPr>
          <w:p>
            <w:pPr>
              <w:spacing w:after="0"/>
              <w:rPr>
                <w:sz w:val="17"/>
                <w:szCs w:val="17"/>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color w:val="auto"/>
              </w:rPr>
              <w:t>64.5</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65</w:t>
            </w:r>
          </w:p>
        </w:tc>
        <w:tc>
          <w:tcPr>
            <w:tcW w:w="220" w:type="dxa"/>
            <w:vAlign w:val="bottom"/>
          </w:tcPr>
          <w:p>
            <w:pPr>
              <w:spacing w:after="0"/>
              <w:rPr>
                <w:sz w:val="17"/>
                <w:szCs w:val="17"/>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color w:val="auto"/>
              </w:rPr>
              <w:t>60.4</w:t>
            </w:r>
          </w:p>
        </w:tc>
        <w:tc>
          <w:tcPr>
            <w:tcW w:w="80" w:type="dxa"/>
            <w:vAlign w:val="bottom"/>
          </w:tcPr>
          <w:p>
            <w:pPr>
              <w:spacing w:after="0"/>
              <w:rPr>
                <w:sz w:val="17"/>
                <w:szCs w:val="17"/>
                <w:color w:val="auto"/>
              </w:rPr>
            </w:pPr>
          </w:p>
        </w:tc>
      </w:tr>
      <w:tr>
        <w:trPr>
          <w:trHeight w:val="216"/>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After five years through ten years</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0</w:t>
            </w:r>
          </w:p>
        </w:tc>
        <w:tc>
          <w:tcPr>
            <w:tcW w:w="24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24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0.0</w:t>
            </w:r>
          </w:p>
        </w:tc>
        <w:tc>
          <w:tcPr>
            <w:tcW w:w="1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w:t>
            </w:r>
          </w:p>
        </w:tc>
        <w:tc>
          <w:tcPr>
            <w:tcW w:w="2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5.7</w:t>
            </w:r>
          </w:p>
        </w:tc>
        <w:tc>
          <w:tcPr>
            <w:tcW w:w="80" w:type="dxa"/>
            <w:vAlign w:val="bottom"/>
            <w:shd w:val="clear" w:color="auto" w:fill="CCEEFF"/>
          </w:tcPr>
          <w:p>
            <w:pPr>
              <w:spacing w:after="0"/>
              <w:rPr>
                <w:sz w:val="18"/>
                <w:szCs w:val="18"/>
                <w:color w:val="auto"/>
              </w:rPr>
            </w:pPr>
          </w:p>
        </w:tc>
      </w:tr>
      <w:tr>
        <w:trPr>
          <w:trHeight w:val="226"/>
        </w:trPr>
        <w:tc>
          <w:tcPr>
            <w:tcW w:w="3940" w:type="dxa"/>
            <w:vAlign w:val="bottom"/>
          </w:tcPr>
          <w:p>
            <w:pPr>
              <w:ind w:left="180"/>
              <w:spacing w:after="0"/>
              <w:rPr>
                <w:sz w:val="20"/>
                <w:szCs w:val="20"/>
                <w:color w:val="auto"/>
              </w:rPr>
            </w:pPr>
            <w:r>
              <w:rPr>
                <w:rFonts w:ascii="Arial" w:cs="Arial" w:eastAsia="Arial" w:hAnsi="Arial"/>
                <w:sz w:val="16"/>
                <w:szCs w:val="16"/>
                <w:b w:val="1"/>
                <w:bCs w:val="1"/>
                <w:color w:val="auto"/>
              </w:rPr>
              <w:t>Total</w:t>
            </w:r>
          </w:p>
        </w:tc>
        <w:tc>
          <w:tcPr>
            <w:tcW w:w="160" w:type="dxa"/>
            <w:vAlign w:val="bottom"/>
          </w:tcPr>
          <w:p>
            <w:pPr>
              <w:jc w:val="right"/>
              <w:spacing w:after="0"/>
              <w:rPr>
                <w:sz w:val="20"/>
                <w:szCs w:val="20"/>
                <w:color w:val="auto"/>
              </w:rPr>
            </w:pPr>
            <w:r>
              <w:rPr>
                <w:rFonts w:ascii="Arial" w:cs="Arial" w:eastAsia="Arial" w:hAnsi="Arial"/>
                <w:sz w:val="16"/>
                <w:szCs w:val="16"/>
                <w:b w:val="1"/>
                <w:bCs w:val="1"/>
                <w:color w:val="auto"/>
                <w:w w:val="89"/>
              </w:rPr>
              <w:t>$</w:t>
            </w:r>
          </w:p>
        </w:tc>
        <w:tc>
          <w:tcPr>
            <w:tcW w:w="1120" w:type="dxa"/>
            <w:vAlign w:val="bottom"/>
            <w:gridSpan w:val="2"/>
          </w:tcPr>
          <w:p>
            <w:pPr>
              <w:jc w:val="right"/>
              <w:ind w:right="240"/>
              <w:spacing w:after="0"/>
              <w:rPr>
                <w:sz w:val="20"/>
                <w:szCs w:val="20"/>
                <w:color w:val="auto"/>
              </w:rPr>
            </w:pPr>
            <w:r>
              <w:rPr>
                <w:rFonts w:ascii="Arial" w:cs="Arial" w:eastAsia="Arial" w:hAnsi="Arial"/>
                <w:sz w:val="16"/>
                <w:szCs w:val="16"/>
                <w:b w:val="1"/>
                <w:bCs w:val="1"/>
                <w:color w:val="auto"/>
              </w:rPr>
              <w:t>395</w:t>
            </w:r>
          </w:p>
        </w:tc>
        <w:tc>
          <w:tcPr>
            <w:tcW w:w="240" w:type="dxa"/>
            <w:vAlign w:val="bottom"/>
          </w:tcPr>
          <w:p>
            <w:pPr>
              <w:spacing w:after="0"/>
              <w:rPr>
                <w:sz w:val="19"/>
                <w:szCs w:val="19"/>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300" w:type="dxa"/>
            <w:vAlign w:val="bottom"/>
            <w:gridSpan w:val="2"/>
          </w:tcPr>
          <w:p>
            <w:pPr>
              <w:jc w:val="right"/>
              <w:ind w:right="4"/>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80</w:t>
            </w:r>
          </w:p>
        </w:tc>
        <w:tc>
          <w:tcPr>
            <w:tcW w:w="24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100.0</w:t>
            </w: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107</w:t>
            </w:r>
          </w:p>
        </w:tc>
        <w:tc>
          <w:tcPr>
            <w:tcW w:w="220" w:type="dxa"/>
            <w:vAlign w:val="bottom"/>
          </w:tcPr>
          <w:p>
            <w:pPr>
              <w:spacing w:after="0"/>
              <w:rPr>
                <w:sz w:val="19"/>
                <w:szCs w:val="19"/>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100.0</w:t>
            </w:r>
          </w:p>
        </w:tc>
        <w:tc>
          <w:tcPr>
            <w:tcW w:w="80" w:type="dxa"/>
            <w:vAlign w:val="bottom"/>
          </w:tcPr>
          <w:p>
            <w:pPr>
              <w:spacing w:after="0"/>
              <w:rPr>
                <w:sz w:val="19"/>
                <w:szCs w:val="19"/>
                <w:color w:val="auto"/>
              </w:rPr>
            </w:pPr>
          </w:p>
        </w:tc>
      </w:tr>
      <w:tr>
        <w:trPr>
          <w:trHeight w:val="20"/>
        </w:trPr>
        <w:tc>
          <w:tcPr>
            <w:tcW w:w="39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2020, 2019 and 2018, securities held by the Bank of any single issuer did not exceed 10% of the Bank’s equity.</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7" w:name="page38"/>
    <w:bookmarkEnd w:id="37"/>
    <w:p>
      <w:pPr>
        <w:spacing w:after="0"/>
        <w:rPr>
          <w:sz w:val="20"/>
          <w:szCs w:val="20"/>
          <w:color w:val="auto"/>
        </w:rPr>
      </w:pPr>
      <w:r>
        <w:rPr>
          <w:rFonts w:ascii="Arial" w:cs="Arial" w:eastAsia="Arial" w:hAnsi="Arial"/>
          <w:sz w:val="18"/>
          <w:szCs w:val="18"/>
          <w:i w:val="1"/>
          <w:iCs w:val="1"/>
          <w:color w:val="auto"/>
        </w:rPr>
        <w:t>Securities at amortized cost</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the Bank’s securities at amortized cost increased to $164 million, from $75 million as of December 31, 2019. The $89 million, or 119% increase during the year in the securities at amortized cost portfolio was mostly attributable to $144 million of investment securities acquired in 2020 as part of the strategy to increase Treasury’s investment management activities, partially offset by $53 million in proceeds received from redemption of investment securities during 2020. As of December 31, 2020, securities at amortized cost with a carrying value of $11 million were pledged to secure repurchase transactions accounted for as secured financings.</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As of December 31, 2019, the Bank’s securities at amortized cost decreased to $75 million, from $85 million as of December 31, 2018. The $10 million, or 12% decrease during the year in the securities at amortized cost portfolio was mostly attributable to $28 million in proceeds received from matured investment securities during 2019, which was partially offset by $18 million of investment securities acquired in 2019. As of December 31, 2019, securities at amortized cost with a carrying value of $36 million were pledged to secure repurchase transactions accounted for as secured financings.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Securities at FVOCI</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the Bank’s securities at FVOCI increased to $231 million, from $5 million as of December 31, 2019. The $226 million increase during the year in the securities at FVOCI was mainly attributable to $227 million in securities purchases by the creation of a highly liquid corporate debt securities portfolio during the year. As of December 31, 2020, the Bank’s securities at FVOCI consisted of investments in securities of issuers in the Region, of which 100% corresponded to sovereign and state-owned issuers, and corporate debt securities classified as high quality liquid assets (“HQLA”) in accordance with the specifications of the Basel Committee.</w:t>
      </w:r>
    </w:p>
    <w:p>
      <w:pPr>
        <w:spacing w:after="0" w:line="188"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As of December 31, 2019, the Bank’s securities at FVOCI decreased to $5 million, from $22 million as of December 31, 2018. The $17 million, or 77% decrease during the year in the securities at FVOCI was attributable to the proceeds of $9 million and $8 million from the sale and redemption, respectively, of securities at FVOCI during the year. As of December 31, 2019, the Bank’s securities at FVOCI consisted of investments in securities of issuers in the Region, of which 100% corresponded to sovereign and state-owned issuers. As of December 31, 2019, securities at FVOCI with a carrying value of $4.9 million were pledged to secure repurchase transactions accounted for as secured financings.</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i w:val="1"/>
          <w:iCs w:val="1"/>
          <w:color w:val="auto"/>
        </w:rPr>
        <w:t>Total Gross Outstandings by Country</w:t>
      </w:r>
    </w:p>
    <w:p>
      <w:pPr>
        <w:spacing w:after="0" w:line="225" w:lineRule="exact"/>
        <w:rPr>
          <w:sz w:val="20"/>
          <w:szCs w:val="20"/>
          <w:color w:val="auto"/>
        </w:rPr>
      </w:pPr>
    </w:p>
    <w:p>
      <w:pPr>
        <w:spacing w:after="0" w:line="342" w:lineRule="auto"/>
        <w:rPr>
          <w:sz w:val="20"/>
          <w:szCs w:val="20"/>
          <w:color w:val="auto"/>
        </w:rPr>
      </w:pPr>
      <w:r>
        <w:rPr>
          <w:rFonts w:ascii="Arial" w:cs="Arial" w:eastAsia="Arial" w:hAnsi="Arial"/>
          <w:sz w:val="16"/>
          <w:szCs w:val="16"/>
          <w:color w:val="auto"/>
        </w:rPr>
        <w:t>The following table sets forth the aggregate gross amount of the Bank’s cross-border outstandings, consisting of cash and due from banks, interest-bearing deposits in banks, securities at FVOCI, securities and loans at amortized cost, and accrued interest receivable, as of December 31 of each year:</w:t>
      </w:r>
    </w:p>
    <w:p>
      <w:pPr>
        <w:spacing w:after="0" w:line="124"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280" w:type="dxa"/>
            <w:vAlign w:val="bottom"/>
            <w:gridSpan w:val="4"/>
          </w:tcPr>
          <w:p>
            <w:pPr>
              <w:jc w:val="right"/>
              <w:ind w:right="700"/>
              <w:spacing w:after="0"/>
              <w:rPr>
                <w:sz w:val="20"/>
                <w:szCs w:val="20"/>
                <w:color w:val="auto"/>
              </w:rPr>
            </w:pPr>
            <w:r>
              <w:rPr>
                <w:rFonts w:ascii="Arial" w:cs="Arial" w:eastAsia="Arial" w:hAnsi="Arial"/>
                <w:sz w:val="16"/>
                <w:szCs w:val="16"/>
                <w:b w:val="1"/>
                <w:bCs w:val="1"/>
                <w:color w:val="auto"/>
              </w:rPr>
              <w:t>As of December 31,</w:t>
            </w: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16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2020</w:t>
            </w:r>
          </w:p>
        </w:tc>
        <w:tc>
          <w:tcPr>
            <w:tcW w:w="98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060" w:type="dxa"/>
            <w:vAlign w:val="bottom"/>
            <w:tcBorders>
              <w:bottom w:val="single" w:sz="8" w:color="auto"/>
            </w:tcBorders>
            <w:gridSpan w:val="3"/>
          </w:tcPr>
          <w:p>
            <w:pPr>
              <w:jc w:val="right"/>
              <w:ind w:right="859"/>
              <w:spacing w:after="0"/>
              <w:rPr>
                <w:sz w:val="20"/>
                <w:szCs w:val="20"/>
                <w:color w:val="auto"/>
              </w:rPr>
            </w:pPr>
            <w:r>
              <w:rPr>
                <w:rFonts w:ascii="Arial" w:cs="Arial" w:eastAsia="Arial" w:hAnsi="Arial"/>
                <w:sz w:val="16"/>
                <w:szCs w:val="16"/>
                <w:b w:val="1"/>
                <w:bCs w:val="1"/>
                <w:color w:val="auto"/>
              </w:rPr>
              <w:t>2019</w:t>
            </w: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2080" w:type="dxa"/>
            <w:vAlign w:val="bottom"/>
            <w:tcBorders>
              <w:bottom w:val="single" w:sz="8" w:color="auto"/>
            </w:tcBorders>
            <w:gridSpan w:val="3"/>
          </w:tcPr>
          <w:p>
            <w:pPr>
              <w:jc w:val="right"/>
              <w:ind w:right="879"/>
              <w:spacing w:after="0"/>
              <w:rPr>
                <w:sz w:val="20"/>
                <w:szCs w:val="20"/>
                <w:color w:val="auto"/>
              </w:rPr>
            </w:pPr>
            <w:r>
              <w:rPr>
                <w:rFonts w:ascii="Arial" w:cs="Arial" w:eastAsia="Arial" w:hAnsi="Arial"/>
                <w:sz w:val="16"/>
                <w:szCs w:val="16"/>
                <w:b w:val="1"/>
                <w:bCs w:val="1"/>
                <w:color w:val="auto"/>
              </w:rPr>
              <w:t>2018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8"/>
        </w:trPr>
        <w:tc>
          <w:tcPr>
            <w:tcW w:w="39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tcPr>
          <w:p>
            <w:pPr>
              <w:jc w:val="center"/>
              <w:spacing w:after="0"/>
              <w:rPr>
                <w:sz w:val="20"/>
                <w:szCs w:val="20"/>
                <w:color w:val="auto"/>
              </w:rPr>
            </w:pPr>
            <w:r>
              <w:rPr>
                <w:rFonts w:ascii="Arial" w:cs="Arial" w:eastAsia="Arial" w:hAnsi="Arial"/>
                <w:sz w:val="16"/>
                <w:szCs w:val="16"/>
                <w:b w:val="1"/>
                <w:bCs w:val="1"/>
                <w:color w:val="auto"/>
                <w:w w:val="96"/>
              </w:rPr>
              <w:t>% of Total</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jc w:val="right"/>
              <w:ind w:right="59"/>
              <w:spacing w:after="0"/>
              <w:rPr>
                <w:sz w:val="20"/>
                <w:szCs w:val="20"/>
                <w:color w:val="auto"/>
              </w:rPr>
            </w:pPr>
            <w:r>
              <w:rPr>
                <w:rFonts w:ascii="Arial" w:cs="Arial" w:eastAsia="Arial" w:hAnsi="Arial"/>
                <w:sz w:val="16"/>
                <w:szCs w:val="16"/>
                <w:b w:val="1"/>
                <w:bCs w:val="1"/>
                <w:color w:val="auto"/>
              </w:rPr>
              <w:t>% of Total</w:t>
            </w:r>
          </w:p>
        </w:tc>
        <w:tc>
          <w:tcPr>
            <w:tcW w:w="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jc w:val="right"/>
              <w:ind w:right="59"/>
              <w:spacing w:after="0"/>
              <w:rPr>
                <w:sz w:val="20"/>
                <w:szCs w:val="20"/>
                <w:color w:val="auto"/>
              </w:rPr>
            </w:pPr>
            <w:r>
              <w:rPr>
                <w:rFonts w:ascii="Arial" w:cs="Arial" w:eastAsia="Arial" w:hAnsi="Arial"/>
                <w:sz w:val="16"/>
                <w:szCs w:val="16"/>
                <w:b w:val="1"/>
                <w:bCs w:val="1"/>
                <w:color w:val="auto"/>
              </w:rPr>
              <w:t>% of Total</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39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jc w:val="right"/>
              <w:ind w:right="159"/>
              <w:spacing w:after="0"/>
              <w:rPr>
                <w:sz w:val="20"/>
                <w:szCs w:val="20"/>
                <w:color w:val="auto"/>
              </w:rPr>
            </w:pPr>
            <w:r>
              <w:rPr>
                <w:rFonts w:ascii="Arial" w:cs="Arial" w:eastAsia="Arial" w:hAnsi="Arial"/>
                <w:sz w:val="16"/>
                <w:szCs w:val="16"/>
                <w:b w:val="1"/>
                <w:bCs w:val="1"/>
                <w:color w:val="auto"/>
              </w:rPr>
              <w:t>Amount</w:t>
            </w:r>
          </w:p>
        </w:tc>
        <w:tc>
          <w:tcPr>
            <w:tcW w:w="280" w:type="dxa"/>
            <w:vAlign w:val="bottom"/>
          </w:tcPr>
          <w:p>
            <w:pPr>
              <w:spacing w:after="0"/>
              <w:rPr>
                <w:sz w:val="18"/>
                <w:szCs w:val="18"/>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1"/>
              </w:rPr>
              <w:t>Outstandings</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ind w:left="60"/>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91"/>
              </w:rPr>
              <w:t>Outstandings</w:t>
            </w: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Amount</w:t>
            </w:r>
          </w:p>
        </w:tc>
        <w:tc>
          <w:tcPr>
            <w:tcW w:w="220" w:type="dxa"/>
            <w:vAlign w:val="bottom"/>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91"/>
              </w:rPr>
              <w:t>Outstandings</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580" w:type="dxa"/>
            <w:vAlign w:val="bottom"/>
            <w:gridSpan w:val="6"/>
          </w:tcPr>
          <w:p>
            <w:pPr>
              <w:jc w:val="right"/>
              <w:ind w:right="260"/>
              <w:spacing w:after="0"/>
              <w:rPr>
                <w:sz w:val="20"/>
                <w:szCs w:val="20"/>
                <w:color w:val="auto"/>
              </w:rPr>
            </w:pPr>
            <w:r>
              <w:rPr>
                <w:rFonts w:ascii="Arial" w:cs="Arial" w:eastAsia="Arial" w:hAnsi="Arial"/>
                <w:sz w:val="16"/>
                <w:szCs w:val="16"/>
                <w:color w:val="auto"/>
                <w:w w:val="94"/>
              </w:rPr>
              <w:t>(in $ millions, except percentages)</w:t>
            </w:r>
          </w:p>
        </w:tc>
        <w:tc>
          <w:tcPr>
            <w:tcW w:w="1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Argentina</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133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2.1</w:t>
            </w:r>
          </w:p>
        </w:tc>
        <w:tc>
          <w:tcPr>
            <w:tcW w:w="3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231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3.2</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609</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7.9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Brazil</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1,017</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16.4</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1,023</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14.2</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1,169</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15.2</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Chile</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576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9.3</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690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9.6</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183</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2.4</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Colombia</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752</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12.1</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929</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12.9</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660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8.6</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Costa Rica</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147</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2.4</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222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372</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Dominican Republic</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204</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3.3</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292</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4.1</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304</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4.0</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Ecuador</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47</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0.8</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178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2.5</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189</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2.5</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France</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152</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2.5</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156</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2.2</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Guatemala</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283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4.6</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281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3.9</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332</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4.3</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Honduras</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10</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0.2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131</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1.8</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90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1.2</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Mexico</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657</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10.6</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784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10.9</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899</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11.7</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Multilateral Organizations</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163</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2.6</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20</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0.3</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Panama</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257</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4.2</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4.3</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529</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6.9</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Paraguay</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101</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1.6</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129</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1.8</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161</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2.1</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Peru</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300</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4.8</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151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2.1</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79</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1.0</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Singapore</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75</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1.2</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91</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1.3</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38</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0.5</w:t>
            </w:r>
          </w:p>
        </w:tc>
        <w:tc>
          <w:tcPr>
            <w:tcW w:w="0" w:type="dxa"/>
            <w:vAlign w:val="bottom"/>
          </w:tcPr>
          <w:p>
            <w:pPr>
              <w:spacing w:after="0"/>
              <w:rPr>
                <w:sz w:val="1"/>
                <w:szCs w:val="1"/>
                <w:color w:val="auto"/>
              </w:rPr>
            </w:pPr>
          </w:p>
        </w:tc>
      </w:tr>
      <w:tr>
        <w:trPr>
          <w:trHeight w:val="203"/>
        </w:trPr>
        <w:tc>
          <w:tcPr>
            <w:tcW w:w="3940" w:type="dxa"/>
            <w:vAlign w:val="bottom"/>
            <w:shd w:val="clear" w:color="auto" w:fill="CCEEFF"/>
          </w:tcPr>
          <w:p>
            <w:pPr>
              <w:spacing w:after="0"/>
              <w:rPr>
                <w:sz w:val="20"/>
                <w:szCs w:val="20"/>
                <w:color w:val="auto"/>
              </w:rPr>
            </w:pPr>
            <w:r>
              <w:rPr>
                <w:rFonts w:ascii="Arial" w:cs="Arial" w:eastAsia="Arial" w:hAnsi="Arial"/>
                <w:sz w:val="16"/>
                <w:szCs w:val="16"/>
                <w:color w:val="auto"/>
              </w:rPr>
              <w:t>Trinidad &amp; Tobago</w:t>
            </w:r>
          </w:p>
        </w:tc>
        <w:tc>
          <w:tcPr>
            <w:tcW w:w="160" w:type="dxa"/>
            <w:vAlign w:val="bottom"/>
            <w:shd w:val="clear" w:color="auto" w:fill="CCEEFF"/>
          </w:tcPr>
          <w:p>
            <w:pPr>
              <w:spacing w:after="0"/>
              <w:rPr>
                <w:sz w:val="17"/>
                <w:szCs w:val="17"/>
                <w:color w:val="auto"/>
              </w:rPr>
            </w:pPr>
          </w:p>
        </w:tc>
        <w:tc>
          <w:tcPr>
            <w:tcW w:w="116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color w:val="auto"/>
              </w:rPr>
              <w:t>166</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2.7</w:t>
            </w:r>
          </w:p>
        </w:tc>
        <w:tc>
          <w:tcPr>
            <w:tcW w:w="1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182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2.5</w:t>
            </w:r>
          </w:p>
        </w:tc>
        <w:tc>
          <w:tcPr>
            <w:tcW w:w="14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154</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2.0</w:t>
            </w:r>
          </w:p>
        </w:tc>
        <w:tc>
          <w:tcPr>
            <w:tcW w:w="0" w:type="dxa"/>
            <w:vAlign w:val="bottom"/>
          </w:tcPr>
          <w:p>
            <w:pPr>
              <w:spacing w:after="0"/>
              <w:rPr>
                <w:sz w:val="1"/>
                <w:szCs w:val="1"/>
                <w:color w:val="auto"/>
              </w:rPr>
            </w:pPr>
          </w:p>
        </w:tc>
      </w:tr>
      <w:tr>
        <w:trPr>
          <w:trHeight w:val="203"/>
        </w:trPr>
        <w:tc>
          <w:tcPr>
            <w:tcW w:w="3940" w:type="dxa"/>
            <w:vAlign w:val="bottom"/>
          </w:tcPr>
          <w:p>
            <w:pPr>
              <w:spacing w:after="0"/>
              <w:rPr>
                <w:sz w:val="20"/>
                <w:szCs w:val="20"/>
                <w:color w:val="auto"/>
              </w:rPr>
            </w:pPr>
            <w:r>
              <w:rPr>
                <w:rFonts w:ascii="Arial" w:cs="Arial" w:eastAsia="Arial" w:hAnsi="Arial"/>
                <w:sz w:val="16"/>
                <w:szCs w:val="16"/>
                <w:color w:val="auto"/>
              </w:rPr>
              <w:t>United States of America</w:t>
            </w:r>
          </w:p>
        </w:tc>
        <w:tc>
          <w:tcPr>
            <w:tcW w:w="160" w:type="dxa"/>
            <w:vAlign w:val="bottom"/>
          </w:tcPr>
          <w:p>
            <w:pPr>
              <w:spacing w:after="0"/>
              <w:rPr>
                <w:sz w:val="17"/>
                <w:szCs w:val="17"/>
                <w:color w:val="auto"/>
              </w:rPr>
            </w:pPr>
          </w:p>
        </w:tc>
        <w:tc>
          <w:tcPr>
            <w:tcW w:w="1160" w:type="dxa"/>
            <w:vAlign w:val="bottom"/>
            <w:gridSpan w:val="2"/>
          </w:tcPr>
          <w:p>
            <w:pPr>
              <w:jc w:val="right"/>
              <w:ind w:right="280"/>
              <w:spacing w:after="0"/>
              <w:rPr>
                <w:sz w:val="20"/>
                <w:szCs w:val="20"/>
                <w:color w:val="auto"/>
              </w:rPr>
            </w:pPr>
            <w:r>
              <w:rPr>
                <w:rFonts w:ascii="Arial" w:cs="Arial" w:eastAsia="Arial" w:hAnsi="Arial"/>
                <w:sz w:val="16"/>
                <w:szCs w:val="16"/>
                <w:color w:val="auto"/>
              </w:rPr>
              <w:t>896</w:t>
            </w:r>
          </w:p>
        </w:tc>
        <w:tc>
          <w:tcPr>
            <w:tcW w:w="1080" w:type="dxa"/>
            <w:vAlign w:val="bottom"/>
            <w:gridSpan w:val="2"/>
          </w:tcPr>
          <w:p>
            <w:pPr>
              <w:jc w:val="right"/>
              <w:ind w:right="100"/>
              <w:spacing w:after="0"/>
              <w:rPr>
                <w:sz w:val="20"/>
                <w:szCs w:val="20"/>
                <w:color w:val="auto"/>
              </w:rPr>
            </w:pPr>
            <w:r>
              <w:rPr>
                <w:rFonts w:ascii="Arial" w:cs="Arial" w:eastAsia="Arial" w:hAnsi="Arial"/>
                <w:sz w:val="16"/>
                <w:szCs w:val="16"/>
                <w:color w:val="auto"/>
              </w:rPr>
              <w:t>14.5</w:t>
            </w:r>
          </w:p>
        </w:tc>
        <w:tc>
          <w:tcPr>
            <w:tcW w:w="1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6"/>
                <w:szCs w:val="16"/>
                <w:color w:val="auto"/>
              </w:rPr>
              <w:t>1,162</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16.2</w:t>
            </w:r>
          </w:p>
        </w:tc>
        <w:tc>
          <w:tcPr>
            <w:tcW w:w="140" w:type="dxa"/>
            <w:vAlign w:val="bottom"/>
          </w:tcPr>
          <w:p>
            <w:pPr>
              <w:spacing w:after="0"/>
              <w:rPr>
                <w:sz w:val="17"/>
                <w:szCs w:val="17"/>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6"/>
                <w:szCs w:val="16"/>
                <w:color w:val="auto"/>
              </w:rPr>
              <w:t>1,669</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21.8</w:t>
            </w:r>
          </w:p>
        </w:tc>
        <w:tc>
          <w:tcPr>
            <w:tcW w:w="0" w:type="dxa"/>
            <w:vAlign w:val="bottom"/>
          </w:tcPr>
          <w:p>
            <w:pPr>
              <w:spacing w:after="0"/>
              <w:rPr>
                <w:sz w:val="1"/>
                <w:szCs w:val="1"/>
                <w:color w:val="auto"/>
              </w:rPr>
            </w:pPr>
          </w:p>
        </w:tc>
      </w:tr>
      <w:tr>
        <w:trPr>
          <w:trHeight w:val="257"/>
        </w:trPr>
        <w:tc>
          <w:tcPr>
            <w:tcW w:w="3940" w:type="dxa"/>
            <w:vAlign w:val="bottom"/>
            <w:shd w:val="clear" w:color="auto" w:fill="CCEEFF"/>
          </w:tcPr>
          <w:p>
            <w:pPr>
              <w:spacing w:after="0" w:line="256" w:lineRule="exact"/>
              <w:rPr>
                <w:sz w:val="20"/>
                <w:szCs w:val="20"/>
                <w:color w:val="auto"/>
              </w:rPr>
            </w:pPr>
            <w:r>
              <w:rPr>
                <w:rFonts w:ascii="Arial" w:cs="Arial" w:eastAsia="Arial" w:hAnsi="Arial"/>
                <w:sz w:val="16"/>
                <w:szCs w:val="16"/>
                <w:color w:val="auto"/>
              </w:rPr>
              <w:t xml:space="preserve">Other countries </w:t>
            </w:r>
            <w:r>
              <w:rPr>
                <w:rFonts w:ascii="Arial" w:cs="Arial" w:eastAsia="Arial" w:hAnsi="Arial"/>
                <w:sz w:val="26"/>
                <w:szCs w:val="26"/>
                <w:color w:val="auto"/>
                <w:vertAlign w:val="superscript"/>
              </w:rPr>
              <w:t>(1)</w:t>
            </w:r>
          </w:p>
        </w:tc>
        <w:tc>
          <w:tcPr>
            <w:tcW w:w="16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255</w:t>
            </w:r>
          </w:p>
        </w:tc>
        <w:tc>
          <w:tcPr>
            <w:tcW w:w="280" w:type="dxa"/>
            <w:vAlign w:val="bottom"/>
            <w:tcBorders>
              <w:right w:val="single" w:sz="8" w:color="CCEEFF"/>
            </w:tcBorders>
            <w:shd w:val="clear" w:color="auto" w:fill="CCEEFF"/>
          </w:tcPr>
          <w:p>
            <w:pPr>
              <w:spacing w:after="0"/>
              <w:rPr>
                <w:sz w:val="22"/>
                <w:szCs w:val="22"/>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4.1</w:t>
            </w:r>
          </w:p>
        </w:tc>
        <w:tc>
          <w:tcPr>
            <w:tcW w:w="1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231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w:t>
            </w:r>
          </w:p>
        </w:tc>
        <w:tc>
          <w:tcPr>
            <w:tcW w:w="14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237</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3.0</w:t>
            </w:r>
          </w:p>
        </w:tc>
        <w:tc>
          <w:tcPr>
            <w:tcW w:w="0" w:type="dxa"/>
            <w:vAlign w:val="bottom"/>
          </w:tcPr>
          <w:p>
            <w:pPr>
              <w:spacing w:after="0"/>
              <w:rPr>
                <w:sz w:val="1"/>
                <w:szCs w:val="1"/>
                <w:color w:val="auto"/>
              </w:rPr>
            </w:pPr>
          </w:p>
        </w:tc>
      </w:tr>
      <w:tr>
        <w:trPr>
          <w:trHeight w:val="20"/>
        </w:trPr>
        <w:tc>
          <w:tcPr>
            <w:tcW w:w="3940" w:type="dxa"/>
            <w:vAlign w:val="bottom"/>
            <w:vMerge w:val="restart"/>
          </w:tcPr>
          <w:p>
            <w:pPr>
              <w:ind w:left="180"/>
              <w:spacing w:after="0"/>
              <w:rPr>
                <w:sz w:val="20"/>
                <w:szCs w:val="20"/>
                <w:color w:val="auto"/>
              </w:rPr>
            </w:pPr>
            <w:r>
              <w:rPr>
                <w:rFonts w:ascii="Arial" w:cs="Arial" w:eastAsia="Arial" w:hAnsi="Arial"/>
                <w:sz w:val="16"/>
                <w:szCs w:val="16"/>
                <w:b w:val="1"/>
                <w:bCs w:val="1"/>
                <w:color w:val="auto"/>
              </w:rPr>
              <w:t xml:space="preserve">Total </w:t>
            </w:r>
            <w:r>
              <w:rPr>
                <w:rFonts w:ascii="Arial" w:cs="Arial" w:eastAsia="Arial" w:hAnsi="Arial"/>
                <w:sz w:val="26"/>
                <w:szCs w:val="26"/>
                <w:b w:val="1"/>
                <w:bCs w:val="1"/>
                <w:color w:val="auto"/>
                <w:vertAlign w:val="superscript"/>
              </w:rPr>
              <w:t>(2)</w:t>
            </w:r>
          </w:p>
        </w:tc>
        <w:tc>
          <w:tcPr>
            <w:tcW w:w="16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80" w:type="dxa"/>
            <w:vAlign w:val="bottom"/>
            <w:tcBorders>
              <w:right w:val="single" w:sz="8" w:color="auto"/>
            </w:tcBorders>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2"/>
        </w:trPr>
        <w:tc>
          <w:tcPr>
            <w:tcW w:w="3940" w:type="dxa"/>
            <w:vAlign w:val="bottom"/>
            <w:vMerge w:val="continue"/>
          </w:tcPr>
          <w:p>
            <w:pPr>
              <w:spacing w:after="0"/>
              <w:rPr>
                <w:sz w:val="24"/>
                <w:szCs w:val="24"/>
                <w:color w:val="auto"/>
              </w:rPr>
            </w:pPr>
          </w:p>
        </w:tc>
        <w:tc>
          <w:tcPr>
            <w:tcW w:w="160" w:type="dxa"/>
            <w:vAlign w:val="bottom"/>
          </w:tcPr>
          <w:p>
            <w:pPr>
              <w:jc w:val="right"/>
              <w:spacing w:after="0"/>
              <w:rPr>
                <w:sz w:val="20"/>
                <w:szCs w:val="20"/>
                <w:color w:val="auto"/>
              </w:rPr>
            </w:pPr>
            <w:r>
              <w:rPr>
                <w:rFonts w:ascii="Arial" w:cs="Arial" w:eastAsia="Arial" w:hAnsi="Arial"/>
                <w:sz w:val="16"/>
                <w:szCs w:val="16"/>
                <w:b w:val="1"/>
                <w:bCs w:val="1"/>
                <w:color w:val="auto"/>
                <w:w w:val="89"/>
              </w:rPr>
              <w:t>$</w:t>
            </w:r>
          </w:p>
        </w:tc>
        <w:tc>
          <w:tcPr>
            <w:tcW w:w="880" w:type="dxa"/>
            <w:vAlign w:val="bottom"/>
          </w:tcPr>
          <w:p>
            <w:pPr>
              <w:jc w:val="right"/>
              <w:spacing w:after="0"/>
              <w:rPr>
                <w:sz w:val="20"/>
                <w:szCs w:val="20"/>
                <w:color w:val="auto"/>
              </w:rPr>
            </w:pPr>
            <w:r>
              <w:rPr>
                <w:rFonts w:ascii="Arial" w:cs="Arial" w:eastAsia="Arial" w:hAnsi="Arial"/>
                <w:sz w:val="16"/>
                <w:szCs w:val="16"/>
                <w:b w:val="1"/>
                <w:bCs w:val="1"/>
                <w:color w:val="auto"/>
              </w:rPr>
              <w:t>6,191</w:t>
            </w:r>
          </w:p>
        </w:tc>
        <w:tc>
          <w:tcPr>
            <w:tcW w:w="280" w:type="dxa"/>
            <w:vAlign w:val="bottom"/>
          </w:tcPr>
          <w:p>
            <w:pPr>
              <w:spacing w:after="0"/>
              <w:rPr>
                <w:sz w:val="24"/>
                <w:szCs w:val="2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30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7,193</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100.0</w:t>
            </w:r>
          </w:p>
        </w:tc>
        <w:tc>
          <w:tcPr>
            <w:tcW w:w="14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0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7,674</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100.0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2508250</wp:posOffset>
            </wp:positionH>
            <wp:positionV relativeFrom="paragraph">
              <wp:posOffset>-26035</wp:posOffset>
            </wp:positionV>
            <wp:extent cx="4560570" cy="2540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4560570" cy="25400"/>
                    </a:xfrm>
                    <a:prstGeom prst="rect">
                      <a:avLst/>
                    </a:prstGeom>
                    <a:noFill/>
                  </pic:spPr>
                </pic:pic>
              </a:graphicData>
            </a:graphic>
          </wp:anchor>
        </w:drawing>
      </w:r>
    </w:p>
    <w:p>
      <w:pPr>
        <w:jc w:val="both"/>
        <w:ind w:left="340" w:hanging="332"/>
        <w:spacing w:after="0" w:line="231" w:lineRule="auto"/>
        <w:tabs>
          <w:tab w:leader="none" w:pos="340" w:val="left"/>
        </w:tabs>
        <w:numPr>
          <w:ilvl w:val="0"/>
          <w:numId w:val="23"/>
        </w:numPr>
        <w:rPr>
          <w:rFonts w:ascii="Arial" w:cs="Arial" w:eastAsia="Arial" w:hAnsi="Arial"/>
          <w:sz w:val="30"/>
          <w:szCs w:val="30"/>
          <w:color w:val="auto"/>
          <w:vertAlign w:val="superscript"/>
        </w:rPr>
      </w:pPr>
      <w:r>
        <w:rPr>
          <w:rFonts w:ascii="Arial" w:cs="Arial" w:eastAsia="Arial" w:hAnsi="Arial"/>
          <w:sz w:val="18"/>
          <w:szCs w:val="18"/>
          <w:color w:val="auto"/>
        </w:rPr>
        <w:t>“Other countries” consists of cross-border outstandings to countries in which cross-border outstandings did not exceed 1% for any of the periods indicated. “Other countries” in 2020 was comprised of Canada ($51 million), Germany ($50 million), Luxembourg ($50 million), El Salvador ($41 million), Jamaica ($23 million), Bolivia ($12 million), United Kingdom ($11 million), Belgium ($10 million), Switzerland ($3 million), Hong Kong ($2 million) and Japan ($1 million). “Other countries” in 2019 was comprised of Luxembourg ($60 million), El Salvador ($55 million), Jamaica ($38 million), Germany ($35 million), Belgium ($14 million), Switzerland ($10 million), Hong Kong ($10 million), Bolivia ($7 million), Japan ($1 million), and Uruguay ($1 million). “Other countries” in 2018 was comprised of El Salvador ($71 million), Germany ($68 million), Jamaica ($22 million), Japan ($2 million), Luxembourg ($18 million), Belgium ($14 million), Switzerland ($9 million), Bolivia ($14 million), Uruguay ($10 million) and Spain ($9 million).</w:t>
      </w:r>
    </w:p>
    <w:p>
      <w:pPr>
        <w:ind w:left="340" w:hanging="332"/>
        <w:spacing w:after="0" w:line="180" w:lineRule="auto"/>
        <w:tabs>
          <w:tab w:leader="none" w:pos="340" w:val="left"/>
        </w:tabs>
        <w:numPr>
          <w:ilvl w:val="0"/>
          <w:numId w:val="23"/>
        </w:numPr>
        <w:rPr>
          <w:rFonts w:ascii="Arial" w:cs="Arial" w:eastAsia="Arial" w:hAnsi="Arial"/>
          <w:sz w:val="25"/>
          <w:szCs w:val="25"/>
          <w:color w:val="auto"/>
          <w:vertAlign w:val="superscript"/>
        </w:rPr>
      </w:pPr>
      <w:r>
        <w:rPr>
          <w:rFonts w:ascii="Arial" w:cs="Arial" w:eastAsia="Arial" w:hAnsi="Arial"/>
          <w:sz w:val="15"/>
          <w:szCs w:val="15"/>
          <w:color w:val="auto"/>
        </w:rPr>
        <w:t>The outstandings by country does not include loan commitments and financial guarantee contracts, and other assets. See Item 4.B. “Business Overview</w:t>
      </w:r>
    </w:p>
    <w:p>
      <w:pPr>
        <w:spacing w:after="0" w:line="2" w:lineRule="exact"/>
        <w:rPr>
          <w:rFonts w:ascii="Arial" w:cs="Arial" w:eastAsia="Arial" w:hAnsi="Arial"/>
          <w:sz w:val="25"/>
          <w:szCs w:val="25"/>
          <w:color w:val="auto"/>
          <w:vertAlign w:val="superscript"/>
        </w:rPr>
      </w:pPr>
    </w:p>
    <w:p>
      <w:pPr>
        <w:ind w:left="340"/>
        <w:spacing w:after="0"/>
        <w:rPr>
          <w:rFonts w:ascii="Arial" w:cs="Arial" w:eastAsia="Arial" w:hAnsi="Arial"/>
          <w:sz w:val="25"/>
          <w:szCs w:val="25"/>
          <w:color w:val="auto"/>
          <w:vertAlign w:val="superscript"/>
        </w:rPr>
      </w:pPr>
      <w:r>
        <w:rPr>
          <w:rFonts w:ascii="Arial" w:cs="Arial" w:eastAsia="Arial" w:hAnsi="Arial"/>
          <w:sz w:val="18"/>
          <w:szCs w:val="18"/>
          <w:color w:val="auto"/>
        </w:rPr>
        <w:t>— Loan Commitments and Financial Guarantee Contracts.”</w:t>
      </w:r>
    </w:p>
    <w:p>
      <w:pPr>
        <w:spacing w:after="0" w:line="20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170"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As of December 31, 2020, overall cross border outstandings totaled $6,191 million, a $1,002 million, or 14% decrease compared to $7,193 million as of December 31, 2019, mainly as a result of the Bank’s prudential measures implemented since the onset of the COVID-19 pandemic.</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2019, overall cross border outstandings totaled $7,193 million, a $481 million, or 6% decrease compared to $7,674 million as of December 31, 2018, mainly as a result of decreased levels of liquid assets in the form of cash and cash equivalents, mostly placed with the U.S. Federal Reserve Bank.</w:t>
      </w:r>
    </w:p>
    <w:p>
      <w:pPr>
        <w:spacing w:after="0" w:line="184"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Cross-border outstanding exposures in countries outside the Region correspond principally to the Bank’s liquidity placements and secured credits related to transactions carried out in the Region. See Item 5, “Operating and Financial Review and Prospects—Liquidity and Capital Resources—Liquidity.”</w:t>
      </w:r>
    </w:p>
    <w:p>
      <w:pPr>
        <w:spacing w:after="0" w:line="34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39" w:name="page40"/>
    <w:bookmarkEnd w:id="39"/>
    <w:p>
      <w:pPr>
        <w:spacing w:after="0"/>
        <w:rPr>
          <w:sz w:val="20"/>
          <w:szCs w:val="20"/>
          <w:color w:val="auto"/>
        </w:rPr>
      </w:pPr>
      <w:r>
        <w:rPr>
          <w:rFonts w:ascii="Arial" w:cs="Arial" w:eastAsia="Arial" w:hAnsi="Arial"/>
          <w:sz w:val="18"/>
          <w:szCs w:val="18"/>
          <w:color w:val="auto"/>
        </w:rPr>
        <w:t>The following table sets forth the amount of the Bank’s cross-border outstandings by type of institution as of December 31 of each year:</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8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558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2019</w:t>
            </w: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r>
      <w:tr>
        <w:trPr>
          <w:trHeight w:val="223"/>
        </w:trPr>
        <w:tc>
          <w:tcPr>
            <w:tcW w:w="558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800" w:type="dxa"/>
            <w:vAlign w:val="bottom"/>
          </w:tcPr>
          <w:p>
            <w:pPr>
              <w:jc w:val="right"/>
              <w:ind w:right="10"/>
              <w:spacing w:after="0"/>
              <w:rPr>
                <w:sz w:val="20"/>
                <w:szCs w:val="20"/>
                <w:color w:val="auto"/>
              </w:rPr>
            </w:pPr>
            <w:r>
              <w:rPr>
                <w:rFonts w:ascii="Arial" w:cs="Arial" w:eastAsia="Arial" w:hAnsi="Arial"/>
                <w:sz w:val="18"/>
                <w:szCs w:val="18"/>
                <w:color w:val="auto"/>
              </w:rPr>
              <w:t>millions)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Private sector commercial banks and financial institutions</w:t>
            </w:r>
          </w:p>
        </w:tc>
        <w:tc>
          <w:tcPr>
            <w:tcW w:w="168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2,345</w:t>
            </w:r>
          </w:p>
        </w:tc>
        <w:tc>
          <w:tcPr>
            <w:tcW w:w="600" w:type="dxa"/>
            <w:vAlign w:val="bottom"/>
            <w:gridSpan w:val="2"/>
            <w:shd w:val="clear" w:color="auto" w:fill="CCEEFF"/>
          </w:tcPr>
          <w:p>
            <w:pPr>
              <w:jc w:val="right"/>
              <w:ind w:right="258"/>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2,761</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2,546</w:t>
            </w:r>
          </w:p>
        </w:tc>
      </w:tr>
      <w:tr>
        <w:trPr>
          <w:trHeight w:val="216"/>
        </w:trPr>
        <w:tc>
          <w:tcPr>
            <w:tcW w:w="5580" w:type="dxa"/>
            <w:vAlign w:val="bottom"/>
          </w:tcPr>
          <w:p>
            <w:pPr>
              <w:spacing w:after="0"/>
              <w:rPr>
                <w:sz w:val="20"/>
                <w:szCs w:val="20"/>
                <w:color w:val="auto"/>
              </w:rPr>
            </w:pPr>
            <w:r>
              <w:rPr>
                <w:rFonts w:ascii="Arial" w:cs="Arial" w:eastAsia="Arial" w:hAnsi="Arial"/>
                <w:sz w:val="18"/>
                <w:szCs w:val="18"/>
                <w:color w:val="auto"/>
              </w:rPr>
              <w:t>State-owned commercial banks and financial institutions</w:t>
            </w: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558</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613</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681</w:t>
            </w: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Central banks</w:t>
            </w:r>
          </w:p>
        </w:tc>
        <w:tc>
          <w:tcPr>
            <w:tcW w:w="1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689</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1,129</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1,648</w:t>
            </w:r>
          </w:p>
        </w:tc>
      </w:tr>
      <w:tr>
        <w:trPr>
          <w:trHeight w:val="216"/>
        </w:trPr>
        <w:tc>
          <w:tcPr>
            <w:tcW w:w="5580" w:type="dxa"/>
            <w:vAlign w:val="bottom"/>
          </w:tcPr>
          <w:p>
            <w:pPr>
              <w:spacing w:after="0"/>
              <w:rPr>
                <w:sz w:val="20"/>
                <w:szCs w:val="20"/>
                <w:color w:val="auto"/>
              </w:rPr>
            </w:pPr>
            <w:r>
              <w:rPr>
                <w:rFonts w:ascii="Arial" w:cs="Arial" w:eastAsia="Arial" w:hAnsi="Arial"/>
                <w:sz w:val="18"/>
                <w:szCs w:val="18"/>
                <w:color w:val="auto"/>
              </w:rPr>
              <w:t>Sovereign debt</w:t>
            </w: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56</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81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47</w:t>
            </w:r>
          </w:p>
        </w:tc>
      </w:tr>
      <w:tr>
        <w:trPr>
          <w:trHeight w:val="216"/>
        </w:trPr>
        <w:tc>
          <w:tcPr>
            <w:tcW w:w="5580" w:type="dxa"/>
            <w:vAlign w:val="bottom"/>
            <w:shd w:val="clear" w:color="auto" w:fill="CCEEFF"/>
          </w:tcPr>
          <w:p>
            <w:pPr>
              <w:spacing w:after="0"/>
              <w:rPr>
                <w:sz w:val="20"/>
                <w:szCs w:val="20"/>
                <w:color w:val="auto"/>
              </w:rPr>
            </w:pPr>
            <w:r>
              <w:rPr>
                <w:rFonts w:ascii="Arial" w:cs="Arial" w:eastAsia="Arial" w:hAnsi="Arial"/>
                <w:sz w:val="18"/>
                <w:szCs w:val="18"/>
                <w:color w:val="auto"/>
              </w:rPr>
              <w:t>State-owned organizations</w:t>
            </w:r>
          </w:p>
        </w:tc>
        <w:tc>
          <w:tcPr>
            <w:tcW w:w="14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992</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808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838</w:t>
            </w:r>
          </w:p>
        </w:tc>
      </w:tr>
      <w:tr>
        <w:trPr>
          <w:trHeight w:val="216"/>
        </w:trPr>
        <w:tc>
          <w:tcPr>
            <w:tcW w:w="5580" w:type="dxa"/>
            <w:vAlign w:val="bottom"/>
          </w:tcPr>
          <w:p>
            <w:pPr>
              <w:spacing w:after="0"/>
              <w:rPr>
                <w:sz w:val="20"/>
                <w:szCs w:val="20"/>
                <w:color w:val="auto"/>
              </w:rPr>
            </w:pPr>
            <w:r>
              <w:rPr>
                <w:rFonts w:ascii="Arial" w:cs="Arial" w:eastAsia="Arial" w:hAnsi="Arial"/>
                <w:sz w:val="18"/>
                <w:szCs w:val="18"/>
                <w:color w:val="auto"/>
              </w:rPr>
              <w:t>Private corporations</w:t>
            </w:r>
          </w:p>
        </w:tc>
        <w:tc>
          <w:tcPr>
            <w:tcW w:w="14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1,551</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1,801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1,914</w:t>
            </w:r>
          </w:p>
        </w:tc>
      </w:tr>
      <w:tr>
        <w:trPr>
          <w:trHeight w:val="210"/>
        </w:trPr>
        <w:tc>
          <w:tcPr>
            <w:tcW w:w="558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Total</w:t>
            </w:r>
          </w:p>
        </w:tc>
        <w:tc>
          <w:tcPr>
            <w:tcW w:w="140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6,191</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ind w:right="258"/>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7,193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7,674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58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Total Revenues Per Country</w:t>
      </w:r>
    </w:p>
    <w:p>
      <w:pPr>
        <w:spacing w:after="0" w:line="225"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following table sets forth information regarding the Bank’s total revenues by country at the dates indicated, with total revenues calculated as the sum of net interest income plus total other income, net – which includes fees and commissions, net; gain (loss) on financial instruments, net; and other income, net:</w:t>
      </w:r>
    </w:p>
    <w:p>
      <w:pPr>
        <w:spacing w:after="0" w:line="13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4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3080" w:type="dxa"/>
            <w:vAlign w:val="bottom"/>
            <w:tcBorders>
              <w:bottom w:val="single" w:sz="8" w:color="auto"/>
            </w:tcBorders>
            <w:gridSpan w:val="7"/>
          </w:tcPr>
          <w:p>
            <w:pPr>
              <w:jc w:val="center"/>
              <w:ind w:left="430"/>
              <w:spacing w:after="0"/>
              <w:rPr>
                <w:sz w:val="20"/>
                <w:szCs w:val="20"/>
                <w:color w:val="auto"/>
              </w:rPr>
            </w:pPr>
            <w:r>
              <w:rPr>
                <w:rFonts w:ascii="Arial" w:cs="Arial" w:eastAsia="Arial" w:hAnsi="Arial"/>
                <w:sz w:val="18"/>
                <w:szCs w:val="18"/>
                <w:b w:val="1"/>
                <w:bCs w:val="1"/>
                <w:color w:val="auto"/>
                <w:w w:val="90"/>
              </w:rPr>
              <w:t>For the year ended December 31,</w:t>
            </w:r>
          </w:p>
        </w:tc>
        <w:tc>
          <w:tcPr>
            <w:tcW w:w="8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240" w:type="dxa"/>
            <w:vAlign w:val="bottom"/>
          </w:tcPr>
          <w:p>
            <w:pPr>
              <w:spacing w:after="0"/>
              <w:rPr>
                <w:sz w:val="19"/>
                <w:szCs w:val="19"/>
                <w:color w:val="auto"/>
              </w:rPr>
            </w:pPr>
          </w:p>
        </w:tc>
        <w:tc>
          <w:tcPr>
            <w:tcW w:w="27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2019</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2018</w:t>
            </w:r>
          </w:p>
        </w:tc>
        <w:tc>
          <w:tcPr>
            <w:tcW w:w="100" w:type="dxa"/>
            <w:vAlign w:val="bottom"/>
          </w:tcPr>
          <w:p>
            <w:pPr>
              <w:spacing w:after="0"/>
              <w:rPr>
                <w:sz w:val="19"/>
                <w:szCs w:val="19"/>
                <w:color w:val="auto"/>
              </w:rPr>
            </w:pPr>
          </w:p>
        </w:tc>
      </w:tr>
      <w:tr>
        <w:trPr>
          <w:trHeight w:val="223"/>
        </w:trPr>
        <w:tc>
          <w:tcPr>
            <w:tcW w:w="4240" w:type="dxa"/>
            <w:vAlign w:val="bottom"/>
          </w:tcPr>
          <w:p>
            <w:pPr>
              <w:spacing w:after="0"/>
              <w:rPr>
                <w:sz w:val="19"/>
                <w:szCs w:val="19"/>
                <w:color w:val="auto"/>
              </w:rPr>
            </w:pPr>
          </w:p>
        </w:tc>
        <w:tc>
          <w:tcPr>
            <w:tcW w:w="27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800" w:type="dxa"/>
            <w:vAlign w:val="bottom"/>
          </w:tcPr>
          <w:p>
            <w:pPr>
              <w:jc w:val="right"/>
              <w:ind w:right="10"/>
              <w:spacing w:after="0"/>
              <w:rPr>
                <w:sz w:val="20"/>
                <w:szCs w:val="20"/>
                <w:color w:val="auto"/>
              </w:rPr>
            </w:pPr>
            <w:r>
              <w:rPr>
                <w:rFonts w:ascii="Arial" w:cs="Arial" w:eastAsia="Arial" w:hAnsi="Arial"/>
                <w:sz w:val="18"/>
                <w:szCs w:val="18"/>
                <w:color w:val="auto"/>
              </w:rPr>
              <w:t>millions)</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30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w:t>
            </w:r>
          </w:p>
        </w:tc>
        <w:tc>
          <w:tcPr>
            <w:tcW w:w="420" w:type="dxa"/>
            <w:vAlign w:val="bottom"/>
            <w:shd w:val="clear" w:color="auto" w:fill="CCEEFF"/>
          </w:tcPr>
          <w:p>
            <w:pPr>
              <w:jc w:val="right"/>
              <w:ind w:right="261"/>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14.9</w:t>
            </w:r>
          </w:p>
        </w:tc>
        <w:tc>
          <w:tcPr>
            <w:tcW w:w="540" w:type="dxa"/>
            <w:vAlign w:val="bottom"/>
            <w:gridSpan w:val="2"/>
            <w:shd w:val="clear" w:color="auto" w:fill="CCEEFF"/>
          </w:tcPr>
          <w:p>
            <w:pPr>
              <w:jc w:val="right"/>
              <w:ind w:right="25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Brazil</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7.1</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13.1</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17.9</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Colombia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13.5</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10.3</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15.4</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10.7</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Dominican Republic</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3.3</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5.7</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4.1</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13.6</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El Salvador</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1.5</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Germany</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Guatemala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8.5</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7.9</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7.5</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2.9</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Jamaica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14.5</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18.8</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14.6</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Panama</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7.6</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8.6</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13.9</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w:t>
            </w:r>
          </w:p>
        </w:tc>
      </w:tr>
      <w:tr>
        <w:trPr>
          <w:trHeight w:val="216"/>
        </w:trPr>
        <w:tc>
          <w:tcPr>
            <w:tcW w:w="4240" w:type="dxa"/>
            <w:vAlign w:val="bottom"/>
          </w:tcPr>
          <w:p>
            <w:pPr>
              <w:spacing w:after="0"/>
              <w:rPr>
                <w:sz w:val="20"/>
                <w:szCs w:val="20"/>
                <w:color w:val="auto"/>
              </w:rPr>
            </w:pPr>
            <w:r>
              <w:rPr>
                <w:rFonts w:ascii="Arial" w:cs="Arial" w:eastAsia="Arial" w:hAnsi="Arial"/>
                <w:sz w:val="18"/>
                <w:szCs w:val="18"/>
                <w:color w:val="auto"/>
              </w:rPr>
              <w:t>Peru</w:t>
            </w:r>
          </w:p>
        </w:tc>
        <w:tc>
          <w:tcPr>
            <w:tcW w:w="2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0.9</w:t>
            </w:r>
          </w:p>
        </w:tc>
        <w:tc>
          <w:tcPr>
            <w:tcW w:w="420" w:type="dxa"/>
            <w:vAlign w:val="bottom"/>
          </w:tcPr>
          <w:p>
            <w:pPr>
              <w:spacing w:after="0"/>
              <w:rPr>
                <w:sz w:val="18"/>
                <w:szCs w:val="18"/>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0.5</w:t>
            </w:r>
          </w:p>
        </w:tc>
        <w:tc>
          <w:tcPr>
            <w:tcW w:w="1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r>
      <w:tr>
        <w:trPr>
          <w:trHeight w:val="216"/>
        </w:trPr>
        <w:tc>
          <w:tcPr>
            <w:tcW w:w="424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2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w:t>
            </w:r>
          </w:p>
        </w:tc>
        <w:tc>
          <w:tcPr>
            <w:tcW w:w="4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w:t>
            </w:r>
          </w:p>
        </w:tc>
        <w:tc>
          <w:tcPr>
            <w:tcW w:w="1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w:t>
            </w:r>
          </w:p>
        </w:tc>
      </w:tr>
      <w:tr>
        <w:trPr>
          <w:trHeight w:val="270"/>
        </w:trPr>
        <w:tc>
          <w:tcPr>
            <w:tcW w:w="4240" w:type="dxa"/>
            <w:vAlign w:val="bottom"/>
          </w:tcPr>
          <w:p>
            <w:pPr>
              <w:spacing w:after="0" w:line="270" w:lineRule="exact"/>
              <w:rPr>
                <w:sz w:val="20"/>
                <w:szCs w:val="20"/>
                <w:color w:val="auto"/>
              </w:rPr>
            </w:pPr>
            <w:r>
              <w:rPr>
                <w:rFonts w:ascii="Arial" w:cs="Arial" w:eastAsia="Arial" w:hAnsi="Arial"/>
                <w:sz w:val="18"/>
                <w:szCs w:val="18"/>
                <w:color w:val="auto"/>
              </w:rPr>
              <w:t xml:space="preserve">Other countries </w:t>
            </w:r>
            <w:r>
              <w:rPr>
                <w:rFonts w:ascii="Arial" w:cs="Arial" w:eastAsia="Arial" w:hAnsi="Arial"/>
                <w:sz w:val="29"/>
                <w:szCs w:val="29"/>
                <w:color w:val="auto"/>
                <w:vertAlign w:val="superscript"/>
              </w:rPr>
              <w:t>(1)</w:t>
            </w:r>
          </w:p>
        </w:tc>
        <w:tc>
          <w:tcPr>
            <w:tcW w:w="274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0.4</w:t>
            </w:r>
          </w:p>
        </w:tc>
        <w:tc>
          <w:tcPr>
            <w:tcW w:w="420" w:type="dxa"/>
            <w:vAlign w:val="bottom"/>
          </w:tcPr>
          <w:p>
            <w:pPr>
              <w:spacing w:after="0"/>
              <w:rPr>
                <w:sz w:val="23"/>
                <w:szCs w:val="23"/>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23"/>
                <w:szCs w:val="23"/>
                <w:color w:val="auto"/>
              </w:rPr>
            </w:pPr>
          </w:p>
        </w:tc>
        <w:tc>
          <w:tcPr>
            <w:tcW w:w="440" w:type="dxa"/>
            <w:vAlign w:val="bottom"/>
          </w:tcPr>
          <w:p>
            <w:pPr>
              <w:spacing w:after="0"/>
              <w:rPr>
                <w:sz w:val="23"/>
                <w:szCs w:val="23"/>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8"/>
                <w:szCs w:val="18"/>
                <w:color w:val="auto"/>
              </w:rPr>
              <w:t>3.1</w:t>
            </w:r>
          </w:p>
        </w:tc>
      </w:tr>
      <w:tr>
        <w:trPr>
          <w:trHeight w:val="223"/>
        </w:trPr>
        <w:tc>
          <w:tcPr>
            <w:tcW w:w="4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274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99.2</w:t>
            </w:r>
          </w:p>
        </w:tc>
        <w:tc>
          <w:tcPr>
            <w:tcW w:w="220" w:type="dxa"/>
            <w:vAlign w:val="bottom"/>
            <w:tcBorders>
              <w:top w:val="single" w:sz="8" w:color="CCEEFF"/>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jc w:val="right"/>
              <w:ind w:right="261"/>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440" w:type="dxa"/>
            <w:vAlign w:val="bottom"/>
            <w:tcBorders>
              <w:top w:val="single" w:sz="8" w:color="auto"/>
            </w:tcBorders>
            <w:shd w:val="clear" w:color="auto" w:fill="CCEEFF"/>
          </w:tcPr>
          <w:p>
            <w:pPr>
              <w:jc w:val="right"/>
              <w:ind w:right="25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127.6</w:t>
            </w:r>
          </w:p>
        </w:tc>
        <w:tc>
          <w:tcPr>
            <w:tcW w:w="100" w:type="dxa"/>
            <w:vAlign w:val="bottom"/>
            <w:tcBorders>
              <w:top w:val="single" w:sz="8" w:color="CCEEFF"/>
            </w:tcBorders>
            <w:shd w:val="clear" w:color="auto" w:fill="CCEEFF"/>
          </w:tcPr>
          <w:p>
            <w:pPr>
              <w:spacing w:after="0"/>
              <w:rPr>
                <w:sz w:val="19"/>
                <w:szCs w:val="19"/>
                <w:color w:val="auto"/>
              </w:rPr>
            </w:pPr>
          </w:p>
        </w:tc>
      </w:tr>
    </w:tbl>
    <w:p>
      <w:pPr>
        <w:spacing w:after="0" w:line="99" w:lineRule="exact"/>
        <w:rPr>
          <w:sz w:val="20"/>
          <w:szCs w:val="20"/>
          <w:color w:val="auto"/>
        </w:rPr>
      </w:pPr>
    </w:p>
    <w:p>
      <w:pPr>
        <w:ind w:left="300" w:hanging="292"/>
        <w:spacing w:after="0"/>
        <w:tabs>
          <w:tab w:leader="none" w:pos="300" w:val="left"/>
        </w:tabs>
        <w:numPr>
          <w:ilvl w:val="0"/>
          <w:numId w:val="24"/>
        </w:numPr>
        <w:rPr>
          <w:rFonts w:ascii="Arial" w:cs="Arial" w:eastAsia="Arial" w:hAnsi="Arial"/>
          <w:sz w:val="29"/>
          <w:szCs w:val="29"/>
          <w:color w:val="auto"/>
          <w:vertAlign w:val="superscript"/>
        </w:rPr>
      </w:pPr>
      <w:r>
        <w:rPr>
          <w:rFonts w:ascii="Arial" w:cs="Arial" w:eastAsia="Arial" w:hAnsi="Arial"/>
          <w:sz w:val="17"/>
          <w:szCs w:val="17"/>
          <w:color w:val="auto"/>
        </w:rPr>
        <w:t>Other countries consists of total income per country in which total income did not exceed $1 million for any of the periods indicated above.</w:t>
      </w:r>
    </w:p>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above table provides total revenues by country, as they are presented in the Bank’s Consolidated Financial Statements, and which are generated from the Bank’s Commercial and Treasury Business Segments.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Revenues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During the year ended December 31, 2020, the Bank recorded net revenues totaling $99.2 million, representing a $27.5 million or 22% decrease compared to 2019. The main driver of this decline was lower net interest income due to the Bank’s defensive approach to favor liquidity over loan growth during most of the year, as evidenced by lower average lending volumes and higher average cash position levels, coupled with the impact of lower market (LIBOR) rates on the Bank’s assets financed by its equity base.</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0" w:name="page41"/>
    <w:bookmarkEnd w:id="40"/>
    <w:p>
      <w:pPr>
        <w:jc w:val="both"/>
        <w:spacing w:after="0" w:line="257" w:lineRule="auto"/>
        <w:rPr>
          <w:sz w:val="20"/>
          <w:szCs w:val="20"/>
          <w:color w:val="auto"/>
        </w:rPr>
      </w:pPr>
      <w:r>
        <w:rPr>
          <w:rFonts w:ascii="Arial" w:cs="Arial" w:eastAsia="Arial" w:hAnsi="Arial"/>
          <w:sz w:val="18"/>
          <w:szCs w:val="18"/>
          <w:color w:val="auto"/>
        </w:rPr>
        <w:t>During the year ended December 31, 2019, the Bank recorded net revenues totaling $126.7 million, representing a $0.9 million or 1% decrease compared to 2018. The main driver of this decline was attributable to lower average lending volumes, as the Bank improved its portfolio risk profile by reducing unwanted exposures to certain countries, industries and clients, along with decreased average liability deposit balances, which impacted the Bank’s overall funding costs. These factors were only partially offset by the net positive effect of higher average LIBOR-based market rates throughout 2019 compared to 2018.</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Competition</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78"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a client and competitor. Additionally, many local financial institutions are able to gain direct access to the capital markets and low cost funding sources, threatening the Bank’s historical role as a provider of U.S. dollar funding.</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and Regulation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Superintendency of Banks has signed and executed agreements or letters of understanding with 28 foreign supervisory authorities regarding the sharing of supervisory information under principles of reciprocity, appropriateness, national agreement and confidentiality. These entities include the U.S. Federal Reserve Board, the Federal Reserve Bank, the Office of the Comptroller of the Currency of the Treasury Department, or OCC, and the Federal Deposit Insurance Corporation.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1" w:name="page42"/>
    <w:bookmarkEnd w:id="41"/>
    <w:p>
      <w:pPr>
        <w:jc w:val="both"/>
        <w:spacing w:after="0" w:line="277" w:lineRule="auto"/>
        <w:rPr>
          <w:sz w:val="20"/>
          <w:szCs w:val="20"/>
          <w:color w:val="auto"/>
        </w:rPr>
      </w:pPr>
      <w:r>
        <w:rPr>
          <w:rFonts w:ascii="Arial" w:cs="Arial" w:eastAsia="Arial" w:hAnsi="Arial"/>
          <w:sz w:val="18"/>
          <w:szCs w:val="18"/>
          <w:color w:val="auto"/>
        </w:rPr>
        <w:t>Banks in Panama are subject to the Decree Law 9 of February 26, 1998, as amended, as well as banking regulations issued by the Superintendency (the “Banking Law”).</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Panamanian Law</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Capital</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General License Banks must at all times maintain: (i) a paid-in capital of no less than U.S.$10 million and (ii) an adjusted capital of not less than 8% of total risk-weighted assets (Capital Adequacy Ratio). The Superintendency has the power to impose additional capital adequacy requirements not contemplated above on any financial institution to secure the stability of Panama’s financial system.</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Adjusted capital consists of the sum of: (i) primary capital (Tier I Capital), (ii) secondary capital (Tier II Capital) and (iii) the credit balance of the dynamic reserves. Primary capital is further divided into ordinary capital (Common Equity Tier 1) and additional capital (Additional Tier 1).</w:t>
      </w:r>
    </w:p>
    <w:p>
      <w:pPr>
        <w:spacing w:after="0" w:line="166"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Primary Capital</w:t>
      </w:r>
    </w:p>
    <w:p>
      <w:pPr>
        <w:spacing w:after="0" w:line="229" w:lineRule="exact"/>
        <w:rPr>
          <w:sz w:val="20"/>
          <w:szCs w:val="20"/>
          <w:color w:val="auto"/>
        </w:rPr>
      </w:pPr>
    </w:p>
    <w:p>
      <w:pPr>
        <w:ind w:left="1300" w:hanging="644"/>
        <w:spacing w:after="0" w:line="308" w:lineRule="auto"/>
        <w:tabs>
          <w:tab w:leader="none" w:pos="1300" w:val="left"/>
        </w:tabs>
        <w:numPr>
          <w:ilvl w:val="0"/>
          <w:numId w:val="25"/>
        </w:numPr>
        <w:rPr>
          <w:rFonts w:ascii="Arial" w:cs="Arial" w:eastAsia="Arial" w:hAnsi="Arial"/>
          <w:sz w:val="17"/>
          <w:szCs w:val="17"/>
          <w:color w:val="auto"/>
        </w:rPr>
      </w:pPr>
      <w:r>
        <w:rPr>
          <w:rFonts w:ascii="Arial" w:cs="Arial" w:eastAsia="Arial" w:hAnsi="Arial"/>
          <w:sz w:val="17"/>
          <w:szCs w:val="17"/>
          <w:color w:val="auto"/>
        </w:rPr>
        <w:t>Ordinary Capital includes paid-in capital in shares, surplus capital, declared reserves, retained earnings, minority interests in equity accounts of consolidated subsidiaries, other items of net total earnings and any other reserves authorized by the Superintendency.</w:t>
      </w:r>
    </w:p>
    <w:p>
      <w:pPr>
        <w:spacing w:after="0" w:line="146" w:lineRule="exact"/>
        <w:rPr>
          <w:rFonts w:ascii="Arial" w:cs="Arial" w:eastAsia="Arial" w:hAnsi="Arial"/>
          <w:sz w:val="17"/>
          <w:szCs w:val="17"/>
          <w:color w:val="auto"/>
        </w:rPr>
      </w:pPr>
    </w:p>
    <w:p>
      <w:pPr>
        <w:jc w:val="both"/>
        <w:ind w:left="1300" w:hanging="644"/>
        <w:spacing w:after="0" w:line="259" w:lineRule="auto"/>
        <w:tabs>
          <w:tab w:leader="none" w:pos="1300" w:val="left"/>
        </w:tabs>
        <w:numPr>
          <w:ilvl w:val="0"/>
          <w:numId w:val="25"/>
        </w:numPr>
        <w:rPr>
          <w:rFonts w:ascii="Arial" w:cs="Arial" w:eastAsia="Arial" w:hAnsi="Arial"/>
          <w:sz w:val="18"/>
          <w:szCs w:val="18"/>
          <w:color w:val="auto"/>
        </w:rPr>
      </w:pPr>
      <w:r>
        <w:rPr>
          <w:rFonts w:ascii="Arial" w:cs="Arial" w:eastAsia="Arial" w:hAnsi="Arial"/>
          <w:sz w:val="18"/>
          <w:szCs w:val="18"/>
          <w:color w:val="auto"/>
        </w:rPr>
        <w:t>Additional primary capital includes instruments issued by a bank that comply with the criteria to be classified as ordinary primary capital and that are not classified as ordinary primary capital, issuance premiums from financial instruments considered ordinary primary capital, financial instruments that are held by a third party and are issued by consolidated affiliates of the bank, and any other financial instrument resulting from capital adjustments of ordinary primary capital.</w:t>
      </w:r>
    </w:p>
    <w:p>
      <w:pPr>
        <w:spacing w:after="0" w:line="183"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Secondary Capital</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Secondary capital includes: (i) financial instruments that comply with the criteria set forth in Rule No. 1-2015 to be classified as secondary capital,</w:t>
      </w:r>
    </w:p>
    <w:p>
      <w:pPr>
        <w:spacing w:after="0" w:line="46" w:lineRule="exact"/>
        <w:rPr>
          <w:sz w:val="20"/>
          <w:szCs w:val="20"/>
          <w:color w:val="auto"/>
        </w:rPr>
      </w:pPr>
    </w:p>
    <w:p>
      <w:pPr>
        <w:jc w:val="both"/>
        <w:ind w:left="660" w:hanging="4"/>
        <w:spacing w:after="0" w:line="255" w:lineRule="auto"/>
        <w:tabs>
          <w:tab w:leader="none" w:pos="932" w:val="left"/>
        </w:tabs>
        <w:numPr>
          <w:ilvl w:val="0"/>
          <w:numId w:val="26"/>
        </w:numPr>
        <w:rPr>
          <w:rFonts w:ascii="Arial" w:cs="Arial" w:eastAsia="Arial" w:hAnsi="Arial"/>
          <w:sz w:val="18"/>
          <w:szCs w:val="18"/>
          <w:color w:val="auto"/>
        </w:rPr>
      </w:pPr>
      <w:r>
        <w:rPr>
          <w:rFonts w:ascii="Arial" w:cs="Arial" w:eastAsia="Arial" w:hAnsi="Arial"/>
          <w:sz w:val="18"/>
          <w:szCs w:val="18"/>
          <w:color w:val="auto"/>
        </w:rPr>
        <w:t>subscription premiums paid on financial instruments that are classified as secondary capital, (iii) financial instruments issued by consolidated affiliates of the bank to third parties, and (iv) reserves for future losses (excluding provisions assigned to the deterioration of assets valued on an individual or collective basis up to 1.25% of credit risk-weighted assets).</w:t>
      </w:r>
    </w:p>
    <w:p>
      <w:pPr>
        <w:spacing w:after="0" w:line="186"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Dynamic Reserves</w:t>
      </w:r>
    </w:p>
    <w:p>
      <w:pPr>
        <w:spacing w:after="0" w:line="229" w:lineRule="exact"/>
        <w:rPr>
          <w:sz w:val="20"/>
          <w:szCs w:val="20"/>
          <w:color w:val="auto"/>
        </w:rPr>
      </w:pPr>
    </w:p>
    <w:p>
      <w:pPr>
        <w:jc w:val="both"/>
        <w:ind w:left="660"/>
        <w:spacing w:after="0" w:line="255" w:lineRule="auto"/>
        <w:rPr>
          <w:sz w:val="20"/>
          <w:szCs w:val="20"/>
          <w:color w:val="auto"/>
        </w:rPr>
      </w:pPr>
      <w:r>
        <w:rPr>
          <w:rFonts w:ascii="Arial" w:cs="Arial" w:eastAsia="Arial" w:hAnsi="Arial"/>
          <w:sz w:val="18"/>
          <w:szCs w:val="18"/>
          <w:color w:val="auto"/>
        </w:rPr>
        <w:t>The dynamic reserve must be between 1.25% and 2.5% of the risk-weighted assets amount corresponding to the credit facilities classified in the Normal category and cannot decrease with respect to the amount calculated for the previous quarter, except for cases when such decrease is as a result of a conversion from dynamic reserves to specific reserves. As a consequence of the global COVID-19 outbreak, the Superintendency of Banks adopted an exceptional and temporary measure which allows banks to use up to 80% of the dynamic reserves for the creation of specific reserves solely to compensate for any decrease in retained earnings resulting from the creation of IFRS provisions or specific reserves for the modified loan portfolio.</w:t>
      </w:r>
    </w:p>
    <w:p>
      <w:pPr>
        <w:spacing w:after="0" w:line="192" w:lineRule="exact"/>
        <w:rPr>
          <w:sz w:val="20"/>
          <w:szCs w:val="20"/>
          <w:color w:val="auto"/>
        </w:rPr>
      </w:pPr>
    </w:p>
    <w:p>
      <w:pPr>
        <w:jc w:val="both"/>
        <w:ind w:left="660"/>
        <w:spacing w:after="0" w:line="277" w:lineRule="auto"/>
        <w:rPr>
          <w:sz w:val="20"/>
          <w:szCs w:val="20"/>
          <w:color w:val="auto"/>
        </w:rPr>
      </w:pPr>
      <w:r>
        <w:rPr>
          <w:rFonts w:ascii="Arial" w:cs="Arial" w:eastAsia="Arial" w:hAnsi="Arial"/>
          <w:sz w:val="18"/>
          <w:szCs w:val="18"/>
          <w:color w:val="auto"/>
        </w:rPr>
        <w:t>General License Banks are required to maintain a ratio of ordinary primary capital over risk-weighted assets of 4.50%. In addition, General License Banks are required to maintain a ratio of primary capital over risk weighted assets of 6.00%.</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i w:val="1"/>
          <w:iCs w:val="1"/>
          <w:color w:val="auto"/>
        </w:rPr>
        <w:t>Loan Classification and Loan Loss Reserves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Regulations require that banks have loan loss allowances. The calculation of the specific reserves requires that the Loan Portfolio be classified according to parameters prescribed in the regulation. There are five categories of loan classifications: Normal, Special Mention, Sub-standard, Doubtful and Unrecoverable. Regulations require banks to suspend accruing interest on impaired loans.</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Specific reserves are reserves required in connection with the credit classification of a loan. They are created for individual credit facilities as well as for a consolidated group of credit facilities. The minimum reserve requirements depend on the classification of the loan as follows: Normal loans 0%; Special Mention loans 2%; Sub-standard loans 15%; Doubtful loans 50%; and Unrecoverable 100%. Specific reserve requirements take into account the classification of the loan as well as the guarantees provided by the borrowers to secure such loans. Guarantees are calculated at present value in accordance with the requirements established by banking regulations.</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Banks may create their own financial models to determine the amount of the specific reserves, subject to the approval of the Superintendency of Banks. In any event, the internal financial models must comply with the aforementioned minimum specific reserve requirements and the following minimum requirements: Special Mention loans 2%; Sub-standard loans 15%; Doubtful loans 50%; and Unrecoverable 100%. Compliance with regulations on loan classification and loan loss reserves are monitored by the Superintendency through reports, as well as on- and off-site examinations.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Measures implemented as a result of COVID-19 pandemic</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To preserve the health and stability of the financial system, the Superintendency of Banks of Panama issued Agreement No. 02-2020 (as amended to this date) that requires banks to evaluate the loans granted to individual and business clients, whose payment capacity has been affected by the outbreak of COVID-19 and the Panamanian Government's protective measures, and, if appropriate, provide temporary financial relief. The relief measures where originally in place until June 30, 2020 and subsequently extened to June 30, 2021. In addition to these measures, on June 30, 2020, the Panamanian Government enacted Law No. 156 of 2020 on June 30, 2020 (the “Moratorium Law”), which allows for a moratorium on scheduled payments of mortgage loans, personal loans, car loans, credit cards, SME loans, commercial loans, loans to the transportation sector, and loans to the agriculture and livestock sector until December 31, 2020.</w:t>
      </w:r>
    </w:p>
    <w:p>
      <w:pPr>
        <w:spacing w:after="0" w:line="19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new temporary regulations created a temporary regulation for loans classified as “Modified Loans”. The regulation defines a Modified Loan as a loan for which the original terms and conditions have been modified at the request of the borrower or at the Bank’s initiative, without being considered a restructured loan. The new terms of Modified Loans have to consider financial feasibility criteria based on the borrower’s capacity to pay and the bank’s credit policies. Credits that are modified through contractual payment deferrals or other modifications are subject to special monitoring by the Bank and if the borrower does not comply with the new terms will be classified as “Restructured Credits”.</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3" w:name="page44"/>
    <w:bookmarkEnd w:id="43"/>
    <w:p>
      <w:pPr>
        <w:jc w:val="both"/>
        <w:spacing w:after="0" w:line="286" w:lineRule="auto"/>
        <w:rPr>
          <w:sz w:val="20"/>
          <w:szCs w:val="20"/>
          <w:color w:val="auto"/>
        </w:rPr>
      </w:pPr>
      <w:r>
        <w:rPr>
          <w:rFonts w:ascii="Arial" w:cs="Arial" w:eastAsia="Arial" w:hAnsi="Arial"/>
          <w:sz w:val="17"/>
          <w:szCs w:val="17"/>
          <w:color w:val="auto"/>
        </w:rPr>
        <w:t>The Superintendency of Banks recently approved new amendments to Agreement No. 2-2020, which require banking entities to maintain provisions equivalent to three percent (3%) of the modified loan portfolio gross balance, including uncollected accrued interest and capitalized interests; modified loans secured with deposits pledged in the same bank may be excluded from this calculation up to the secured amount.</w:t>
      </w:r>
    </w:p>
    <w:p>
      <w:pPr>
        <w:spacing w:after="0" w:line="16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As of December 31, 2020, the Bank had one credit for a total of $8.8 million classified as a Modified Special Mention Loan subject to this temporary financial relief meassure, with an assigned Stage 2 IFRS 9 allowance for losses of $1.8 million. The Bank did not require additional complementary equity reserves because such Stage 2 IFRS 9 allowance exceeds the generic provision equivalent to the 3% required by Rule No. 9-2020.</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General License Banks are required to maintain 30% of their total gross deposits in qualifying liquid assets as prescribed by the Superintendency (which include short-term loans to other banks and other liquid assets). Qualifying liquid assets must be free of liens, encumbrances and transfer restrictions. The Superintendency may impose concentration limits and cash requirements, as well as weights per type of liquid assets.</w:t>
      </w:r>
    </w:p>
    <w:p>
      <w:pPr>
        <w:spacing w:after="0" w:line="16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Superintendency requires general license banks to monitor their liquidity and identify potential liquidity risk events that may affect the bank. Banks must undertake stress tests and active monitoring of their intra-day liquidity. The stress tests performed by the bank should include at minimum: (a) the simultaneous exhaustion of liquidity in different markets; (b) restrictions on access to secured and unsecured funding; (c) limitations on foreign currency exchange and difficulties on the execution of foreign currency exchange transactions; and (d) analysis of the possible effects of severe stress scenarios.</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Banks are required to have a contingent funding plan which should include: (i) a diversified pool of contingent funding options; (ii) provide detail as to potential amounts and values that could be obtained from each of the funding options; (iii) procedures that detail the priority of the funding sources; and (iv) a flexible framework which will allow the bank to react effectively to different situations.</w:t>
      </w:r>
    </w:p>
    <w:p>
      <w:pPr>
        <w:spacing w:after="0" w:line="184"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General license banks are required to calculate and comply with the liquidity coverage ratio (“LCR”) established by the Superintendency. The regulation establishes two bands of ratios that can be applicable to banks in Panama. The Superintendency determines, according to internal criteria, the band applicable to each bank. The band 1 banks are required to gradually reach a ratio of 50% and the band 2 banks are required to gradually reach a ratio of 100%, each by December 2022. The Superintendency has confirmed that the band 2 is applicable to the Bank. The Superintendency defines the LCR as the stock of high-quality liquid assets over total net cash outflows over the next 30 calendar days. The definition is based on the Basel III Liquidity Coverage Ratio and liquidity risk monitoring tools published by the Basel Committee on Banking Supervision and adjusted by the Superintendency.</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Lending Limits</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and sovereign borrowers.</w:t>
      </w: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4" w:name="page45"/>
    <w:bookmarkEnd w:id="44"/>
    <w:p>
      <w:pPr>
        <w:jc w:val="both"/>
        <w:spacing w:after="0" w:line="288" w:lineRule="auto"/>
        <w:rPr>
          <w:sz w:val="20"/>
          <w:szCs w:val="20"/>
          <w:color w:val="auto"/>
        </w:rPr>
      </w:pPr>
      <w:r>
        <w:rPr>
          <w:rFonts w:ascii="Arial" w:cs="Arial" w:eastAsia="Arial" w:hAnsi="Arial"/>
          <w:sz w:val="16"/>
          <w:szCs w:val="16"/>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shareholder of the bank that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68"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9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shareholders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Corporate Governance</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board of directors of a bank must be comprised of at least seven members, with knowledge and experience in the banking business, including at least two independent directors. The majority of the members of the board of directors may not be part of the banks’ management nor have material conflicts of interest. None of the Chief Executive Officer, Chief Operating Officer or Chief Financial Officer may preside over the board of directors. Members of the board of directors who participate in board-established committees must have specialized knowledge and experience in the areas assigned to the committees in which they participate. The board of directors shall meet at least every three months. The board of directors shall keep detailed minutes of all meetings.</w:t>
      </w:r>
    </w:p>
    <w:p>
      <w:pPr>
        <w:spacing w:after="0" w:line="192" w:lineRule="exact"/>
        <w:rPr>
          <w:sz w:val="20"/>
          <w:szCs w:val="20"/>
          <w:color w:val="auto"/>
        </w:rPr>
      </w:pPr>
    </w:p>
    <w:p>
      <w:pPr>
        <w:jc w:val="both"/>
        <w:spacing w:after="0" w:line="284" w:lineRule="auto"/>
        <w:rPr>
          <w:sz w:val="20"/>
          <w:szCs w:val="20"/>
          <w:color w:val="auto"/>
        </w:rPr>
      </w:pPr>
      <w:r>
        <w:rPr>
          <w:rFonts w:ascii="Arial" w:cs="Arial" w:eastAsia="Arial" w:hAnsi="Arial"/>
          <w:sz w:val="16"/>
          <w:szCs w:val="16"/>
          <w:color w:val="auto"/>
        </w:rPr>
        <w:t>Minimum corporate governance requirements for banking institutions include: (a) documentation of corporate values, strategic objectives and codes of conduct; (b) documentation that evidences compliance with the corporate values and code of conduct of the bank; (c) a defined corporate strategy that can be used to measure the contribution to the bank of each level of the corporate governance structure; (d) the designation of responsibilities and authorized decision-making authorities within the bank, and their individual powers and approval levels; (e) the creation of a system that regulates interaction and cooperation of the board of directors, senior management and external and internal auditors; (f) creation of control systems for independent risk management; (g) prior approval, monitoring and verification of risks for credit facilities with existing conflicts of interest; (h) creation of policies for recruitment, induction, continuous and up-to-date staff training and financial and administrative incentives; (i) existence of internal and public information that guarantee the transparency of the corporate governance system; (j) creation of a direct supervision system for each level of the organizational structure;</w:t>
      </w:r>
    </w:p>
    <w:p>
      <w:pPr>
        <w:spacing w:after="0" w:line="1" w:lineRule="exact"/>
        <w:rPr>
          <w:sz w:val="20"/>
          <w:szCs w:val="20"/>
          <w:color w:val="auto"/>
        </w:rPr>
      </w:pPr>
    </w:p>
    <w:p>
      <w:pPr>
        <w:ind w:left="5540" w:right="920" w:hanging="5532"/>
        <w:spacing w:after="0" w:line="761" w:lineRule="auto"/>
        <w:tabs>
          <w:tab w:leader="none" w:pos="269" w:val="left"/>
        </w:tabs>
        <w:numPr>
          <w:ilvl w:val="0"/>
          <w:numId w:val="27"/>
        </w:numPr>
        <w:rPr>
          <w:rFonts w:ascii="Arial" w:cs="Arial" w:eastAsia="Arial" w:hAnsi="Arial"/>
          <w:sz w:val="18"/>
          <w:szCs w:val="18"/>
          <w:color w:val="auto"/>
        </w:rPr>
      </w:pPr>
      <w:r>
        <w:rPr>
          <w:rFonts w:ascii="Arial" w:cs="Arial" w:eastAsia="Arial" w:hAnsi="Arial"/>
          <w:sz w:val="18"/>
          <w:szCs w:val="18"/>
          <w:color w:val="auto"/>
        </w:rPr>
        <w:t>external audits independent from management and the board of directors; and (l) internal audits independent from management of the bank. 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-284480</wp:posOffset>
            </wp:positionV>
            <wp:extent cx="71323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i w:val="1"/>
          <w:iCs w:val="1"/>
          <w:color w:val="auto"/>
        </w:rPr>
        <w:t>Integral Risk Management</w:t>
      </w:r>
    </w:p>
    <w:p>
      <w:pPr>
        <w:spacing w:after="0" w:line="22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Panamanian banking regulations contain guidelines for integral risk management of financial institutions. Integral risk management is a process intended to identify potential events that can affect banks and to manage those events according to their nature and risk level. These guidelines cover the different risks that could affect banking operations such as: (i) credit risk; (ii) counterparty risk; (iii) liquidity risk; (iv) market risk; (v) operational risk; (vi) reputational risk; (vii) country risk; (viii) contagion risk; (ix) strategic risk; (x) information technology risk; and (xi) concentration risk. Banks are required to have policies for the management and mitigation of all risks to which they are exposed. The board of directors, management and the risk committee of the board of directors are responsible for compliance with the integral risk management policies created to mitigate the exposure of the bank to such risks.</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Additional Regulatory Requirements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within 7 days of such designation, (4) a requirement that a bank obtain prior approval from the Superintendency of the rating agency it wishes to hire to perform the risk analysis and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Supervision, Inspection and Reports</w:t>
      </w:r>
    </w:p>
    <w:p>
      <w:pPr>
        <w:spacing w:after="0" w:line="225"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46" w:name="page47"/>
    <w:bookmarkEnd w:id="46"/>
    <w:p>
      <w:pPr>
        <w:jc w:val="both"/>
        <w:spacing w:after="0" w:line="277" w:lineRule="auto"/>
        <w:rPr>
          <w:sz w:val="20"/>
          <w:szCs w:val="20"/>
          <w:color w:val="auto"/>
        </w:rPr>
      </w:pPr>
      <w:r>
        <w:rPr>
          <w:rFonts w:ascii="Arial" w:cs="Arial" w:eastAsia="Arial" w:hAnsi="Arial"/>
          <w:sz w:val="18"/>
          <w:szCs w:val="18"/>
          <w:b w:val="1"/>
          <w:bCs w:val="1"/>
          <w:i w:val="1"/>
          <w:iCs w:val="1"/>
          <w:color w:val="auto"/>
        </w:rPr>
        <w:t>Panamanian laws and regulations governing Anti Money Laundering, Terrorism Financing and the Prevention of the Proliferation of Weapons of Mass Destruction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Panama has enacted extensive legislation and regulations to prevent and fight money laundering activities and the financing of terrorism and weapons of mass destruction by financial institutions and certain other businesses.</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Financial and non-financial supervised entities are subject to supervision, reporting and compliance requirements by various government agencies. The following entities are deemed to be “financial supervised entities”: (i) banks; (ii) bank groups; (iii) trust companies; (iv) leasing companies; (v) factoring companies; (vi) credit, debit or pre-paid card processing entities; (vii) companies engaged in remittances or wire transfers; and (viii) companies that provide any other service related to trust companies. These entities must comply with measures to prevent their operations and/or transactions from being used for money laundering operations, terrorism financing or any other illicit activity. Banks and trust companies are regulated and supervised by the Superintendency.</w:t>
      </w:r>
    </w:p>
    <w:p>
      <w:pPr>
        <w:spacing w:after="0" w:line="192"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laws and regulations require supervised entities to perform due diligence reviews on their clients and their transactions. The verification of information and documentation will depend on the clients’ risk profile. Supervised entities have the obligation to ensure that the information provided by their clients is up-to-date. In addition, banks are required to know and keep information about the ultimate beneficial owners of their clients. Clients classified as higher risk clients are required to update their information more frequently, as an extended or enhanced due diligence measure. Supervised entities are further required to implement a system of client classification by risk profiles, based on factors such as nationality, country of birth or incorporation, domicile, profession or trade, geographic region of the customer’s activities, corporate structure, type, amount and frequency of transactions, source of funds, politically exposed persons, products, services and channels.</w:t>
      </w:r>
    </w:p>
    <w:p>
      <w:pPr>
        <w:spacing w:after="0" w:line="19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Banks must comply with basic supervision and monitoring measures in order to prevent and avoid the use of their banking operations and/or transactions for money laundering operations. These basic measures include: (i) compliance with “Know Your Customer” policies; (ii) supervision of employee activities; (iii) tracking the movement of every customer’s account to be aware of their regular activities and be able to identify unusual transactions; (iv) keeping a registry of every suspicious transaction and notifying suspicious transactions to the Financial Analysis Unit (a Panamanian governmental agency under the Ministry of the Presidency); (v) conducting internal audits at least every six months on accounts with funds exceeding $10,000, with the purpose of determining if transactions made in these accounts are consistent with the account holder’s usual behavior; and (vi) monitoring accounts of clients labelled as politically exposed persons.</w:t>
      </w:r>
    </w:p>
    <w:p>
      <w:pPr>
        <w:spacing w:after="0" w:line="19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Furthermore, banks that provide correspondent banking services to foreign banks must assess, review and monitor the policies and internal controls of such foreign banks to prevent money laundering, terrorism financing or any other illicit activities.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u w:val="single" w:color="auto"/>
          <w:color w:val="auto"/>
        </w:rPr>
        <w:t>United States Law</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operates the New York Agency, a New York state-licensed agency in White Plains, New York, and maintains a direct wholly-owned non-banking subsidiary in Delaware, Bladex Holdings, which is not engaged in banking activities.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7" w:name="page48"/>
    <w:bookmarkEnd w:id="47"/>
    <w:p>
      <w:pPr>
        <w:jc w:val="both"/>
        <w:spacing w:after="0" w:line="253" w:lineRule="auto"/>
        <w:rPr>
          <w:sz w:val="20"/>
          <w:szCs w:val="20"/>
          <w:color w:val="auto"/>
        </w:rPr>
      </w:pPr>
      <w:r>
        <w:rPr>
          <w:rFonts w:ascii="Arial" w:cs="Arial" w:eastAsia="Arial" w:hAnsi="Arial"/>
          <w:sz w:val="18"/>
          <w:szCs w:val="18"/>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Federal Law</w:t>
      </w:r>
    </w:p>
    <w:p>
      <w:pPr>
        <w:spacing w:after="0" w:line="225" w:lineRule="exact"/>
        <w:rPr>
          <w:sz w:val="20"/>
          <w:szCs w:val="20"/>
          <w:color w:val="auto"/>
        </w:rPr>
      </w:pPr>
    </w:p>
    <w:p>
      <w:pPr>
        <w:jc w:val="both"/>
        <w:spacing w:after="0" w:line="288" w:lineRule="auto"/>
        <w:rPr>
          <w:sz w:val="20"/>
          <w:szCs w:val="20"/>
          <w:color w:val="auto"/>
        </w:rPr>
      </w:pPr>
      <w:r>
        <w:rPr>
          <w:rFonts w:ascii="Arial" w:cs="Arial" w:eastAsia="Arial" w:hAnsi="Arial"/>
          <w:sz w:val="16"/>
          <w:szCs w:val="16"/>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68"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187"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38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8" w:name="page49"/>
    <w:bookmarkEnd w:id="48"/>
    <w:p>
      <w:pPr>
        <w:jc w:val="both"/>
        <w:spacing w:after="0" w:line="273" w:lineRule="auto"/>
        <w:rPr>
          <w:sz w:val="20"/>
          <w:szCs w:val="20"/>
          <w:color w:val="auto"/>
        </w:rPr>
      </w:pPr>
      <w:r>
        <w:rPr>
          <w:rFonts w:ascii="Arial" w:cs="Arial" w:eastAsia="Arial" w:hAnsi="Arial"/>
          <w:sz w:val="17"/>
          <w:szCs w:val="17"/>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New York State Law</w:t>
      </w:r>
    </w:p>
    <w:p>
      <w:pPr>
        <w:spacing w:after="0" w:line="22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161"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2020, the New York Agency maintained a pledge deposit with a carrying value of $10 million with the New York State Department of Financial Services, above the minimum required amount. In addition, the Superintendent retains the authority to impose specific asset maintenance requirements upon individual agencies of foreign banks on a case-by-case basis.</w:t>
      </w:r>
    </w:p>
    <w:p>
      <w:pPr>
        <w:spacing w:after="0" w:line="16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170"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Anti-Money Laundering Laws</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U.S. anti-money laundering laws, including the Financial Recordkeeping and Reporting of Currency and Foreign Transactions Act of 1970 (commonly known as the Bank Secrecy Act), as amended by the Uniting and Strengthening America by Providing Appropriate Tools Required to Intercept and Obstruct Terrorism Act of 2001 (commonly referred to as the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49" w:name="page50"/>
    <w:bookmarkEnd w:id="49"/>
    <w:p>
      <w:pPr>
        <w:jc w:val="both"/>
        <w:spacing w:after="0" w:line="255" w:lineRule="auto"/>
        <w:rPr>
          <w:sz w:val="20"/>
          <w:szCs w:val="20"/>
          <w:color w:val="auto"/>
        </w:rPr>
      </w:pPr>
      <w:r>
        <w:rPr>
          <w:rFonts w:ascii="Arial" w:cs="Arial" w:eastAsia="Arial" w:hAnsi="Arial"/>
          <w:sz w:val="18"/>
          <w:szCs w:val="18"/>
          <w:color w:val="auto"/>
        </w:rPr>
        <w:t>On January 1, 2020, the Anti-Money Laundering Act of 2020 (“AMLA 2020”) became effective when the U.S. Congress overrode former President Donald Trump's veto of the National Defense Authorization Act. AMLA 2020 is the most consequential anti-money laundering legislation passed by the U.S. Congress in decades. Among its many provisions, AMLA 2020 provides for expanded whistleblower rewards and protections, the establishment of a beneficial ownership registration database that will be implemented by the Financial Crimes Enforcement Network (“FinCEN”), new Bank Secrecy Act violations and enhanced penalties for repeat and egregious violators. AMLA 2020 requires that various U.S. regulatory agencies (such as FinCEN) promulgate regulations implementing the requirements of AMLA 2020.</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New York Agency is a “financial institution” for purposes of the Bank Secrecy Act and must comply with the aforementioned anti-money laundering laws and regulations.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compliance in all material respects with these laws and their implementing regulations, but the changes to the Bank Secrecy Act effected through AMLA may expose the New York Agency to heightened anti-money laundering requirements, obligations, or regulatory uncertainty as additional anti-money laundering requirements are developed and implemented.</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U.S. Economic or Financial Sanctions, Requirements or Trade Embargoes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economic or financial sanctions, requirements or trade embargoes (collectively, the “Sanctions”) imposed, administered or enforced from time to time by the U.S. Department of the Treasury’s Office of Foreign Assets Control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 However, despite the Bank's internal controls and good faith attempts to comply with Sanctions, it may, from time to time, process or effect transactions which are the subject of Sanctions or in which a person subject to Sanctions has an interest due to the nature of the Bank's activities, the geographical location of the Bank's counterparties and customer base, or these parties' attempts to conceal or disguise the true nature of their involvement in these transactions.</w:t>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Other U.S. Laws/Regulations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170" w:lineRule="exact"/>
        <w:rPr>
          <w:sz w:val="20"/>
          <w:szCs w:val="20"/>
          <w:color w:val="auto"/>
        </w:rPr>
      </w:pPr>
    </w:p>
    <w:p>
      <w:pPr>
        <w:ind w:left="660" w:hanging="328"/>
        <w:spacing w:after="0"/>
        <w:tabs>
          <w:tab w:leader="none" w:pos="660" w:val="left"/>
        </w:tabs>
        <w:numPr>
          <w:ilvl w:val="0"/>
          <w:numId w:val="28"/>
        </w:numPr>
        <w:rPr>
          <w:rFonts w:ascii="Arial" w:cs="Arial" w:eastAsia="Arial" w:hAnsi="Arial"/>
          <w:sz w:val="18"/>
          <w:szCs w:val="18"/>
          <w:color w:val="auto"/>
        </w:rPr>
      </w:pPr>
      <w:r>
        <w:rPr>
          <w:rFonts w:ascii="Arial" w:cs="Arial" w:eastAsia="Arial" w:hAnsi="Arial"/>
          <w:sz w:val="18"/>
          <w:szCs w:val="18"/>
          <w:color w:val="auto"/>
        </w:rPr>
        <w:t>State usury laws and federal laws concerning interest rates and other charges collected or contracted for by the New York Agency;</w:t>
      </w:r>
    </w:p>
    <w:p>
      <w:pPr>
        <w:spacing w:after="0" w:line="23" w:lineRule="exact"/>
        <w:rPr>
          <w:rFonts w:ascii="Arial" w:cs="Arial" w:eastAsia="Arial" w:hAnsi="Arial"/>
          <w:sz w:val="18"/>
          <w:szCs w:val="18"/>
          <w:color w:val="auto"/>
        </w:rPr>
      </w:pPr>
    </w:p>
    <w:p>
      <w:pPr>
        <w:ind w:left="660" w:hanging="328"/>
        <w:spacing w:after="0"/>
        <w:tabs>
          <w:tab w:leader="none" w:pos="660" w:val="left"/>
        </w:tabs>
        <w:numPr>
          <w:ilvl w:val="0"/>
          <w:numId w:val="28"/>
        </w:numPr>
        <w:rPr>
          <w:rFonts w:ascii="Arial" w:cs="Arial" w:eastAsia="Arial" w:hAnsi="Arial"/>
          <w:sz w:val="18"/>
          <w:szCs w:val="18"/>
          <w:color w:val="auto"/>
        </w:rPr>
      </w:pPr>
      <w:r>
        <w:rPr>
          <w:rFonts w:ascii="Arial" w:cs="Arial" w:eastAsia="Arial" w:hAnsi="Arial"/>
          <w:sz w:val="18"/>
          <w:szCs w:val="18"/>
          <w:color w:val="auto"/>
        </w:rPr>
        <w:t>Equal Credit Opportunity Act, prohibiting discrimination on the basis of race, creed or other prohibited factors in extending credit;</w:t>
      </w: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0" w:name="page51"/>
    <w:bookmarkEnd w:id="50"/>
    <w:p>
      <w:pPr>
        <w:ind w:left="660" w:hanging="328"/>
        <w:spacing w:after="0" w:line="258" w:lineRule="auto"/>
        <w:tabs>
          <w:tab w:leader="none" w:pos="660" w:val="left"/>
        </w:tabs>
        <w:numPr>
          <w:ilvl w:val="0"/>
          <w:numId w:val="29"/>
        </w:numPr>
        <w:rPr>
          <w:rFonts w:ascii="Arial" w:cs="Arial" w:eastAsia="Arial" w:hAnsi="Arial"/>
          <w:sz w:val="18"/>
          <w:szCs w:val="18"/>
          <w:color w:val="auto"/>
        </w:rPr>
      </w:pPr>
      <w:r>
        <w:rPr>
          <w:rFonts w:ascii="Arial" w:cs="Arial" w:eastAsia="Arial" w:hAnsi="Arial"/>
          <w:sz w:val="18"/>
          <w:szCs w:val="18"/>
          <w:color w:val="auto"/>
        </w:rPr>
        <w:t>Check Clearing for the 21st Century Act (also known as “Check 21”), which gives “substitute checks,” such as digital check images and copies made from that image, the same legal standing as the original paper check; and</w:t>
      </w:r>
    </w:p>
    <w:p>
      <w:pPr>
        <w:spacing w:after="0" w:line="1" w:lineRule="exact"/>
        <w:rPr>
          <w:rFonts w:ascii="Arial" w:cs="Arial" w:eastAsia="Arial" w:hAnsi="Arial"/>
          <w:sz w:val="18"/>
          <w:szCs w:val="18"/>
          <w:color w:val="auto"/>
        </w:rPr>
      </w:pPr>
    </w:p>
    <w:p>
      <w:pPr>
        <w:ind w:left="660" w:hanging="328"/>
        <w:spacing w:after="0"/>
        <w:tabs>
          <w:tab w:leader="none" w:pos="660" w:val="left"/>
        </w:tabs>
        <w:numPr>
          <w:ilvl w:val="0"/>
          <w:numId w:val="29"/>
        </w:numPr>
        <w:rPr>
          <w:rFonts w:ascii="Arial" w:cs="Arial" w:eastAsia="Arial" w:hAnsi="Arial"/>
          <w:sz w:val="17"/>
          <w:szCs w:val="17"/>
          <w:color w:val="auto"/>
        </w:rPr>
      </w:pPr>
      <w:r>
        <w:rPr>
          <w:rFonts w:ascii="Arial" w:cs="Arial" w:eastAsia="Arial" w:hAnsi="Arial"/>
          <w:sz w:val="17"/>
          <w:szCs w:val="17"/>
          <w:color w:val="auto"/>
        </w:rPr>
        <w:t>Rules and regulations of the various state and federal agencies charged with the responsibility of implementing such state or federal laws.</w:t>
      </w:r>
    </w:p>
    <w:p>
      <w:pPr>
        <w:spacing w:after="0" w:line="222"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Information Security</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has approved policies and implemented procedures defining roles and responsibilities for managing information security as part of the Information Security and Technological Risk Management Framework. These policies and procedures, which apply throughout the Bank, cover any access to data, resource management and information systems by the Bank’s employees, providers and suppliers, as well as any other person who deals with the Bank on a permanent or temporary basis and has some form of access to data, resource management and IT systems.</w:t>
      </w:r>
    </w:p>
    <w:p>
      <w:pPr>
        <w:spacing w:after="0" w:line="171" w:lineRule="exact"/>
        <w:rPr>
          <w:sz w:val="20"/>
          <w:szCs w:val="20"/>
          <w:color w:val="auto"/>
        </w:rPr>
      </w:pPr>
    </w:p>
    <w:p>
      <w:pPr>
        <w:spacing w:after="0"/>
        <w:rPr>
          <w:sz w:val="20"/>
          <w:szCs w:val="20"/>
          <w:color w:val="auto"/>
        </w:rPr>
      </w:pPr>
      <w:r>
        <w:rPr>
          <w:rFonts w:ascii="Arial" w:cs="Arial" w:eastAsia="Arial" w:hAnsi="Arial"/>
          <w:sz w:val="16"/>
          <w:szCs w:val="16"/>
          <w:color w:val="auto"/>
        </w:rPr>
        <w:t>The Bank’s Information Security Team is responsible for overseeing compliance with the policies and procedures by any person with access to our systems.</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The Bank also engages independent third-party reviews of its cyber-security program.</w:t>
      </w:r>
    </w:p>
    <w:p>
      <w:pPr>
        <w:spacing w:after="0" w:line="211"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cyber-security program was developed using a holistic approach, which enables us to cover both the technical and strategic measures in a single framework. This framework is based on four fundamental pillars: Perimeter Security, Service and Infrastructure Security, User Security and Data Security.</w:t>
      </w:r>
    </w:p>
    <w:p>
      <w:pPr>
        <w:spacing w:after="0" w:line="12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Actions implemented due to the COVID-19 pandemic</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successfully implemented its Business Continuity Plan, which provides, among other things, that 100% of its staff is working remotely (telecommuting). This has increased the frequency of risks associated with cybersecurity, such as increased e-mail attack attempts and increased attack attempts due to the widespread use of remote connection protocols.</w:t>
      </w:r>
    </w:p>
    <w:p>
      <w:pPr>
        <w:spacing w:after="0" w:line="184"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To counteract these risks, the Bank’s management has reinforced the controls and implemented specific cyber-security measures and controls, supported by tools to protect the main points of attack, namely email and end points (laptops). These tools include (i) email protection tools on all mail flows (incoming and outgoing), which identify and protect against phishing, malware and even a zero day attack (zero days); (ii) End-Point Protection, a next generation antivirus software, that allows the detection of threats based on behavior, as well as modules for automatic incident detection and response; and (iii) encrypted and secure communication to access the Bank’s resources through a virtual private network (VPN) platform used to access the Bank’s resources (applications, shared folders). All measures are accompanied by continuous monitoring by the Bank’s information security and technology personnel, as well as by the outsourced SOC.</w:t>
      </w:r>
    </w:p>
    <w:p>
      <w:pPr>
        <w:spacing w:after="0" w:line="19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Managing interest rate benchmark reform and any risks arising due to reform</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LIBOR Transition Steering Committee monitors and manages the transition to ARRs. The Committee evaluates the extent to which contracts reference IBOR cash flows, whether such contracts need to be amended as a result of IBOR reform and how to manage communication about IBOR reform with counterparties. The Committee reports to the Board of Directors and collaborates with other business functions as needed. It provides periodic reports to management regarding interest rate risk and risks arising from IBOR reform.</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35" w:right="339" w:bottom="1440" w:gutter="0" w:footer="0" w:header="0"/>
        </w:sectPr>
      </w:pPr>
    </w:p>
    <w:bookmarkStart w:id="51" w:name="page52"/>
    <w:bookmarkEnd w:id="51"/>
    <w:p>
      <w:pPr>
        <w:jc w:val="both"/>
        <w:spacing w:after="0" w:line="286" w:lineRule="auto"/>
        <w:rPr>
          <w:sz w:val="20"/>
          <w:szCs w:val="20"/>
          <w:color w:val="auto"/>
        </w:rPr>
      </w:pPr>
      <w:r>
        <w:rPr>
          <w:rFonts w:ascii="Arial" w:cs="Arial" w:eastAsia="Arial" w:hAnsi="Arial"/>
          <w:sz w:val="17"/>
          <w:szCs w:val="17"/>
          <w:color w:val="auto"/>
        </w:rPr>
        <w:t>At the end of 2020, the Bank commenced amending existing loans and advances to corporate customers, including loan commitments to corporate customers. These amendments incorporate a fallback provision stating that the existing LIBOR benchmark rate will be replaced by SOFR (Secured Overnight Financing Rate) when LIBOR ceases to exist. The Bank plans to finish the process of amending contractual terms by the end of 2021.</w:t>
      </w:r>
    </w:p>
    <w:p>
      <w:pPr>
        <w:spacing w:after="0" w:line="16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further information regarding the Bank’s interest rate benchmark transitions and related risks, see Item 3.D., “Key Information--Risk Factors—Risks Relating to the Bank’s Business--Reforms to and replacement of interbank offered rates (“IBORs”) and certain other rates or indices may adversely affect the Bank’s business, financial condition and results of operations”, and Item 18, “Financial Statements,” note 4.</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business is not materially affected by seasonality.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Raw Materials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is not dependent on sources or availability of raw materials.</w:t>
      </w:r>
    </w:p>
    <w:p>
      <w:pPr>
        <w:spacing w:after="0" w:line="221" w:lineRule="exact"/>
        <w:rPr>
          <w:sz w:val="20"/>
          <w:szCs w:val="20"/>
          <w:color w:val="auto"/>
        </w:rPr>
      </w:pPr>
    </w:p>
    <w:p>
      <w:pPr>
        <w:ind w:left="500" w:hanging="492"/>
        <w:spacing w:after="0"/>
        <w:tabs>
          <w:tab w:leader="none" w:pos="50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Organizational Structure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For information regarding the Bank’s organizational structure, see Item 18, “Financial Statements,” note 1.</w:t>
      </w:r>
    </w:p>
    <w:p>
      <w:pPr>
        <w:spacing w:after="0" w:line="221" w:lineRule="exact"/>
        <w:rPr>
          <w:sz w:val="20"/>
          <w:szCs w:val="20"/>
          <w:color w:val="auto"/>
        </w:rPr>
      </w:pPr>
    </w:p>
    <w:p>
      <w:pPr>
        <w:ind w:left="500" w:hanging="492"/>
        <w:spacing w:after="0"/>
        <w:tabs>
          <w:tab w:leader="none" w:pos="50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Property, Plant and Equipment</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leases its headquarters, which comprises 4,990 square meters of office space, located at Business Park - Tower V, Costa del Este, Panama City, Panama. The Bank leases computer hosting equipment spaces located at Gavilan Street Balboa, Panama City, Panama and 21 square meters of office space and internet access, as a contingency, located at 75E Street San Francisco, Panama City, Panama.</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Bank leases office space for its representative offices in Mexico City, Mexico; Buenos Aires, Argentina; Bogotá, Colombia; São Paulo, Brazil; and its New York Agency in White Plains, New York.</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4A.</w:t>
      </w:r>
      <w:r>
        <w:rPr>
          <w:sz w:val="20"/>
          <w:szCs w:val="20"/>
          <w:color w:val="auto"/>
        </w:rPr>
        <w:tab/>
      </w:r>
      <w:r>
        <w:rPr>
          <w:rFonts w:ascii="Arial" w:cs="Arial" w:eastAsia="Arial" w:hAnsi="Arial"/>
          <w:sz w:val="16"/>
          <w:szCs w:val="16"/>
          <w:b w:val="1"/>
          <w:bCs w:val="1"/>
          <w:color w:val="auto"/>
        </w:rPr>
        <w:t>Unresolved Staff Comments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2" w:name="page53"/>
    <w:bookmarkEnd w:id="52"/>
    <w:p>
      <w:pPr>
        <w:spacing w:after="0"/>
        <w:tabs>
          <w:tab w:leader="none" w:pos="1280"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Operating and Financial Review and Prospects</w:t>
      </w:r>
    </w:p>
    <w:p>
      <w:pPr>
        <w:spacing w:after="0" w:line="22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The Bank’s consolidated financial position as of December 31, 2018 should be read in conjunction with the Bank’s audited financial statements included in the Bank’s Annual Report on Form 20-F for the year ended December 31, 2019, filed with the SEC on April 30, 2020.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Nature of Earnings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derives income from net interest income and net other income, which includes fees and commissions, net, gain (loss) on financial instruments, net, and other income, net.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w:t>
      </w:r>
    </w:p>
    <w:p>
      <w:pPr>
        <w:spacing w:after="0" w:line="184" w:lineRule="exact"/>
        <w:rPr>
          <w:sz w:val="20"/>
          <w:szCs w:val="20"/>
          <w:color w:val="auto"/>
        </w:rPr>
      </w:pPr>
    </w:p>
    <w:p>
      <w:pPr>
        <w:ind w:left="660" w:hanging="652"/>
        <w:spacing w:after="0"/>
        <w:tabs>
          <w:tab w:leader="none" w:pos="66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Operating Results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3160" w:type="dxa"/>
            <w:vAlign w:val="bottom"/>
            <w:tcBorders>
              <w:bottom w:val="single" w:sz="8" w:color="auto"/>
            </w:tcBorders>
            <w:gridSpan w:val="7"/>
          </w:tcPr>
          <w:p>
            <w:pPr>
              <w:jc w:val="center"/>
              <w:ind w:left="430"/>
              <w:spacing w:after="0"/>
              <w:rPr>
                <w:sz w:val="20"/>
                <w:szCs w:val="20"/>
                <w:color w:val="auto"/>
              </w:rPr>
            </w:pPr>
            <w:r>
              <w:rPr>
                <w:rFonts w:ascii="Arial" w:cs="Arial" w:eastAsia="Arial" w:hAnsi="Arial"/>
                <w:sz w:val="18"/>
                <w:szCs w:val="18"/>
                <w:b w:val="1"/>
                <w:bCs w:val="1"/>
                <w:color w:val="auto"/>
                <w:w w:val="90"/>
              </w:rPr>
              <w:t>For the Year Ended December 31,</w:t>
            </w:r>
          </w:p>
        </w:tc>
        <w:tc>
          <w:tcPr>
            <w:tcW w:w="80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63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8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center"/>
              <w:ind w:right="5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2018</w:t>
            </w:r>
          </w:p>
        </w:tc>
        <w:tc>
          <w:tcPr>
            <w:tcW w:w="160" w:type="dxa"/>
            <w:vAlign w:val="bottom"/>
          </w:tcPr>
          <w:p>
            <w:pPr>
              <w:spacing w:after="0"/>
              <w:rPr>
                <w:sz w:val="19"/>
                <w:szCs w:val="19"/>
                <w:color w:val="auto"/>
              </w:rPr>
            </w:pPr>
          </w:p>
        </w:tc>
      </w:tr>
      <w:tr>
        <w:trPr>
          <w:trHeight w:val="222"/>
        </w:trPr>
        <w:tc>
          <w:tcPr>
            <w:tcW w:w="63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120" w:type="dxa"/>
            <w:vAlign w:val="bottom"/>
            <w:gridSpan w:val="9"/>
          </w:tcPr>
          <w:p>
            <w:pPr>
              <w:jc w:val="center"/>
              <w:ind w:right="361"/>
              <w:spacing w:after="0"/>
              <w:rPr>
                <w:sz w:val="20"/>
                <w:szCs w:val="20"/>
                <w:color w:val="auto"/>
              </w:rPr>
            </w:pPr>
            <w:r>
              <w:rPr>
                <w:rFonts w:ascii="Arial" w:cs="Arial" w:eastAsia="Arial" w:hAnsi="Arial"/>
                <w:sz w:val="18"/>
                <w:szCs w:val="18"/>
                <w:color w:val="auto"/>
                <w:w w:val="88"/>
              </w:rPr>
              <w:t>(in $ thousands, except per share amounts and</w:t>
            </w:r>
          </w:p>
        </w:tc>
      </w:tr>
      <w:tr>
        <w:trPr>
          <w:trHeight w:val="230"/>
        </w:trPr>
        <w:tc>
          <w:tcPr>
            <w:tcW w:w="6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00" w:type="dxa"/>
            <w:vAlign w:val="bottom"/>
            <w:gridSpan w:val="2"/>
          </w:tcPr>
          <w:p>
            <w:pPr>
              <w:jc w:val="center"/>
              <w:ind w:right="241"/>
              <w:spacing w:after="0"/>
              <w:rPr>
                <w:sz w:val="20"/>
                <w:szCs w:val="20"/>
                <w:color w:val="auto"/>
              </w:rPr>
            </w:pPr>
            <w:r>
              <w:rPr>
                <w:rFonts w:ascii="Arial" w:cs="Arial" w:eastAsia="Arial" w:hAnsi="Arial"/>
                <w:sz w:val="18"/>
                <w:szCs w:val="18"/>
                <w:color w:val="auto"/>
                <w:w w:val="85"/>
              </w:rPr>
              <w:t>percentages)</w:t>
            </w: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216"/>
        </w:trPr>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820" w:type="dxa"/>
            <w:vAlign w:val="bottom"/>
            <w:gridSpan w:val="2"/>
            <w:shd w:val="clear" w:color="auto" w:fill="CCEEFF"/>
          </w:tcPr>
          <w:p>
            <w:pPr>
              <w:jc w:val="right"/>
              <w:ind w:right="107"/>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180,973</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273,682</w:t>
            </w:r>
          </w:p>
        </w:tc>
        <w:tc>
          <w:tcPr>
            <w:tcW w:w="500" w:type="dxa"/>
            <w:vAlign w:val="bottom"/>
            <w:gridSpan w:val="2"/>
            <w:shd w:val="clear" w:color="auto" w:fill="CCEEFF"/>
          </w:tcPr>
          <w:p>
            <w:pPr>
              <w:jc w:val="right"/>
              <w:ind w:right="25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258,490</w:t>
            </w:r>
          </w:p>
        </w:tc>
      </w:tr>
      <w:tr>
        <w:trPr>
          <w:trHeight w:val="230"/>
        </w:trPr>
        <w:tc>
          <w:tcPr>
            <w:tcW w:w="6300" w:type="dxa"/>
            <w:vAlign w:val="bottom"/>
          </w:tcPr>
          <w:p>
            <w:pPr>
              <w:spacing w:after="0"/>
              <w:rPr>
                <w:sz w:val="20"/>
                <w:szCs w:val="20"/>
                <w:color w:val="auto"/>
              </w:rPr>
            </w:pPr>
            <w:r>
              <w:rPr>
                <w:rFonts w:ascii="Arial" w:cs="Arial" w:eastAsia="Arial" w:hAnsi="Arial"/>
                <w:sz w:val="18"/>
                <w:szCs w:val="18"/>
                <w:color w:val="auto"/>
              </w:rPr>
              <w:t>Interest expense</w:t>
            </w:r>
          </w:p>
        </w:tc>
        <w:tc>
          <w:tcPr>
            <w:tcW w:w="5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(88,523)</w:t>
            </w:r>
          </w:p>
        </w:tc>
        <w:tc>
          <w:tcPr>
            <w:tcW w:w="120" w:type="dxa"/>
            <w:vAlign w:val="bottom"/>
          </w:tcPr>
          <w:p>
            <w:pPr>
              <w:spacing w:after="0"/>
              <w:rPr>
                <w:sz w:val="19"/>
                <w:szCs w:val="19"/>
                <w:color w:val="auto"/>
              </w:rPr>
            </w:pPr>
          </w:p>
        </w:tc>
        <w:tc>
          <w:tcPr>
            <w:tcW w:w="1300" w:type="dxa"/>
            <w:vAlign w:val="bottom"/>
            <w:gridSpan w:val="2"/>
          </w:tcPr>
          <w:p>
            <w:pPr>
              <w:jc w:val="right"/>
              <w:ind w:right="61"/>
              <w:spacing w:after="0"/>
              <w:rPr>
                <w:sz w:val="20"/>
                <w:szCs w:val="20"/>
                <w:color w:val="auto"/>
              </w:rPr>
            </w:pPr>
            <w:r>
              <w:rPr>
                <w:rFonts w:ascii="Arial" w:cs="Arial" w:eastAsia="Arial" w:hAnsi="Arial"/>
                <w:sz w:val="18"/>
                <w:szCs w:val="18"/>
                <w:color w:val="auto"/>
              </w:rPr>
              <w:t>(164,167)</w:t>
            </w:r>
          </w:p>
        </w:tc>
        <w:tc>
          <w:tcPr>
            <w:tcW w:w="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gridSpan w:val="2"/>
          </w:tcPr>
          <w:p>
            <w:pPr>
              <w:jc w:val="right"/>
              <w:ind w:right="21"/>
              <w:spacing w:after="0"/>
              <w:rPr>
                <w:sz w:val="20"/>
                <w:szCs w:val="20"/>
                <w:color w:val="auto"/>
              </w:rPr>
            </w:pPr>
            <w:r>
              <w:rPr>
                <w:rFonts w:ascii="Arial" w:cs="Arial" w:eastAsia="Arial" w:hAnsi="Arial"/>
                <w:sz w:val="18"/>
                <w:szCs w:val="18"/>
                <w:color w:val="auto"/>
              </w:rPr>
              <w:t>(148,747)</w:t>
            </w:r>
          </w:p>
        </w:tc>
      </w:tr>
      <w:tr>
        <w:trPr>
          <w:trHeight w:val="210"/>
        </w:trPr>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5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92,450</w:t>
            </w:r>
          </w:p>
        </w:tc>
        <w:tc>
          <w:tcPr>
            <w:tcW w:w="2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109,515</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4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109,743</w:t>
            </w: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6300" w:type="dxa"/>
            <w:vAlign w:val="bottom"/>
          </w:tcPr>
          <w:p>
            <w:pPr>
              <w:spacing w:after="0"/>
              <w:rPr>
                <w:sz w:val="20"/>
                <w:szCs w:val="20"/>
                <w:color w:val="auto"/>
              </w:rPr>
            </w:pPr>
            <w:r>
              <w:rPr>
                <w:rFonts w:ascii="Arial" w:cs="Arial" w:eastAsia="Arial" w:hAnsi="Arial"/>
                <w:sz w:val="18"/>
                <w:szCs w:val="18"/>
                <w:b w:val="1"/>
                <w:bCs w:val="1"/>
                <w:color w:val="auto"/>
              </w:rPr>
              <w:t>Other income (expense):</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10,418</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15,647</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17,185</w:t>
            </w:r>
          </w:p>
        </w:tc>
      </w:tr>
      <w:tr>
        <w:trPr>
          <w:trHeight w:val="216"/>
        </w:trPr>
        <w:tc>
          <w:tcPr>
            <w:tcW w:w="6300" w:type="dxa"/>
            <w:vAlign w:val="bottom"/>
          </w:tcPr>
          <w:p>
            <w:pPr>
              <w:spacing w:after="0"/>
              <w:rPr>
                <w:sz w:val="20"/>
                <w:szCs w:val="20"/>
                <w:color w:val="auto"/>
              </w:rPr>
            </w:pPr>
            <w:r>
              <w:rPr>
                <w:rFonts w:ascii="Arial" w:cs="Arial" w:eastAsia="Arial" w:hAnsi="Arial"/>
                <w:sz w:val="18"/>
                <w:szCs w:val="18"/>
                <w:color w:val="auto"/>
              </w:rPr>
              <w:t>Loss on financial instruments, net</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(4,794)</w:t>
            </w:r>
          </w:p>
        </w:tc>
        <w:tc>
          <w:tcPr>
            <w:tcW w:w="120" w:type="dxa"/>
            <w:vAlign w:val="bottom"/>
          </w:tcPr>
          <w:p>
            <w:pPr>
              <w:spacing w:after="0"/>
              <w:rPr>
                <w:sz w:val="18"/>
                <w:szCs w:val="18"/>
                <w:color w:val="auto"/>
              </w:rPr>
            </w:pPr>
          </w:p>
        </w:tc>
        <w:tc>
          <w:tcPr>
            <w:tcW w:w="1300" w:type="dxa"/>
            <w:vAlign w:val="bottom"/>
            <w:gridSpan w:val="2"/>
          </w:tcPr>
          <w:p>
            <w:pPr>
              <w:jc w:val="right"/>
              <w:ind w:right="61"/>
              <w:spacing w:after="0"/>
              <w:rPr>
                <w:sz w:val="20"/>
                <w:szCs w:val="20"/>
                <w:color w:val="auto"/>
              </w:rPr>
            </w:pPr>
            <w:r>
              <w:rPr>
                <w:rFonts w:ascii="Arial" w:cs="Arial" w:eastAsia="Arial" w:hAnsi="Arial"/>
                <w:sz w:val="18"/>
                <w:szCs w:val="18"/>
                <w:color w:val="auto"/>
              </w:rPr>
              <w:t>(1,379)</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60" w:type="dxa"/>
            <w:vAlign w:val="bottom"/>
            <w:gridSpan w:val="2"/>
          </w:tcPr>
          <w:p>
            <w:pPr>
              <w:jc w:val="right"/>
              <w:ind w:right="21"/>
              <w:spacing w:after="0"/>
              <w:rPr>
                <w:sz w:val="20"/>
                <w:szCs w:val="20"/>
                <w:color w:val="auto"/>
              </w:rPr>
            </w:pPr>
            <w:r>
              <w:rPr>
                <w:rFonts w:ascii="Arial" w:cs="Arial" w:eastAsia="Arial" w:hAnsi="Arial"/>
                <w:sz w:val="18"/>
                <w:szCs w:val="18"/>
                <w:color w:val="auto"/>
              </w:rPr>
              <w:t>(1,009)</w:t>
            </w:r>
          </w:p>
        </w:tc>
      </w:tr>
      <w:tr>
        <w:trPr>
          <w:trHeight w:val="229"/>
        </w:trPr>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Other income, net</w:t>
            </w:r>
          </w:p>
        </w:tc>
        <w:tc>
          <w:tcPr>
            <w:tcW w:w="5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1,083</w:t>
            </w:r>
          </w:p>
        </w:tc>
        <w:tc>
          <w:tcPr>
            <w:tcW w:w="1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2,874</w:t>
            </w:r>
          </w:p>
        </w:tc>
        <w:tc>
          <w:tcPr>
            <w:tcW w:w="6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1,670</w:t>
            </w:r>
          </w:p>
        </w:tc>
      </w:tr>
      <w:tr>
        <w:trPr>
          <w:trHeight w:val="230"/>
        </w:trPr>
        <w:tc>
          <w:tcPr>
            <w:tcW w:w="6300" w:type="dxa"/>
            <w:vAlign w:val="bottom"/>
          </w:tcPr>
          <w:p>
            <w:pPr>
              <w:spacing w:after="0"/>
              <w:rPr>
                <w:sz w:val="20"/>
                <w:szCs w:val="20"/>
                <w:color w:val="auto"/>
              </w:rPr>
            </w:pPr>
            <w:r>
              <w:rPr>
                <w:rFonts w:ascii="Arial" w:cs="Arial" w:eastAsia="Arial" w:hAnsi="Arial"/>
                <w:sz w:val="18"/>
                <w:szCs w:val="18"/>
                <w:color w:val="auto"/>
              </w:rPr>
              <w:t>Total other income, net</w:t>
            </w:r>
          </w:p>
        </w:tc>
        <w:tc>
          <w:tcPr>
            <w:tcW w:w="5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40" w:type="dxa"/>
            <w:vAlign w:val="bottom"/>
            <w:gridSpan w:val="2"/>
          </w:tcPr>
          <w:p>
            <w:pPr>
              <w:jc w:val="right"/>
              <w:ind w:right="201"/>
              <w:spacing w:after="0"/>
              <w:rPr>
                <w:sz w:val="20"/>
                <w:szCs w:val="20"/>
                <w:color w:val="auto"/>
              </w:rPr>
            </w:pPr>
            <w:r>
              <w:rPr>
                <w:rFonts w:ascii="Arial" w:cs="Arial" w:eastAsia="Arial" w:hAnsi="Arial"/>
                <w:sz w:val="18"/>
                <w:szCs w:val="18"/>
                <w:color w:val="auto"/>
              </w:rPr>
              <w:t>6,707</w:t>
            </w:r>
          </w:p>
        </w:tc>
        <w:tc>
          <w:tcPr>
            <w:tcW w:w="120" w:type="dxa"/>
            <w:vAlign w:val="bottom"/>
          </w:tcPr>
          <w:p>
            <w:pPr>
              <w:spacing w:after="0"/>
              <w:rPr>
                <w:sz w:val="19"/>
                <w:szCs w:val="19"/>
                <w:color w:val="auto"/>
              </w:rPr>
            </w:pPr>
          </w:p>
        </w:tc>
        <w:tc>
          <w:tcPr>
            <w:tcW w:w="1300" w:type="dxa"/>
            <w:vAlign w:val="bottom"/>
            <w:gridSpan w:val="2"/>
          </w:tcPr>
          <w:p>
            <w:pPr>
              <w:jc w:val="right"/>
              <w:ind w:right="121"/>
              <w:spacing w:after="0"/>
              <w:rPr>
                <w:sz w:val="20"/>
                <w:szCs w:val="20"/>
                <w:color w:val="auto"/>
              </w:rPr>
            </w:pPr>
            <w:r>
              <w:rPr>
                <w:rFonts w:ascii="Arial" w:cs="Arial" w:eastAsia="Arial" w:hAnsi="Arial"/>
                <w:sz w:val="18"/>
                <w:szCs w:val="18"/>
                <w:color w:val="auto"/>
              </w:rPr>
              <w:t>17,142</w:t>
            </w:r>
          </w:p>
        </w:tc>
        <w:tc>
          <w:tcPr>
            <w:tcW w:w="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gridSpan w:val="2"/>
          </w:tcPr>
          <w:p>
            <w:pPr>
              <w:jc w:val="right"/>
              <w:ind w:right="81"/>
              <w:spacing w:after="0"/>
              <w:rPr>
                <w:sz w:val="20"/>
                <w:szCs w:val="20"/>
                <w:color w:val="auto"/>
              </w:rPr>
            </w:pPr>
            <w:r>
              <w:rPr>
                <w:rFonts w:ascii="Arial" w:cs="Arial" w:eastAsia="Arial" w:hAnsi="Arial"/>
                <w:sz w:val="18"/>
                <w:szCs w:val="18"/>
                <w:color w:val="auto"/>
              </w:rPr>
              <w:t>17,846</w:t>
            </w:r>
          </w:p>
        </w:tc>
      </w:tr>
      <w:tr>
        <w:trPr>
          <w:trHeight w:val="216"/>
        </w:trPr>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b w:val="1"/>
                <w:bCs w:val="1"/>
                <w:color w:val="auto"/>
              </w:rPr>
              <w:t>99,157</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b w:val="1"/>
                <w:bCs w:val="1"/>
                <w:color w:val="auto"/>
              </w:rPr>
              <w:t>126,657</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b w:val="1"/>
                <w:bCs w:val="1"/>
                <w:color w:val="auto"/>
              </w:rPr>
              <w:t>127,589</w:t>
            </w:r>
          </w:p>
        </w:tc>
      </w:tr>
      <w:tr>
        <w:trPr>
          <w:trHeight w:val="216"/>
        </w:trPr>
        <w:tc>
          <w:tcPr>
            <w:tcW w:w="63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Reversal (provision) for credit losses</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1,464</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(430)</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(57,515)</w:t>
            </w:r>
          </w:p>
        </w:tc>
      </w:tr>
      <w:tr>
        <w:trPr>
          <w:trHeight w:val="216"/>
        </w:trPr>
        <w:tc>
          <w:tcPr>
            <w:tcW w:w="6300" w:type="dxa"/>
            <w:vAlign w:val="bottom"/>
          </w:tcPr>
          <w:p>
            <w:pPr>
              <w:spacing w:after="0"/>
              <w:rPr>
                <w:sz w:val="20"/>
                <w:szCs w:val="20"/>
                <w:color w:val="auto"/>
              </w:rPr>
            </w:pPr>
            <w:r>
              <w:rPr>
                <w:rFonts w:ascii="Arial" w:cs="Arial" w:eastAsia="Arial" w:hAnsi="Arial"/>
                <w:sz w:val="18"/>
                <w:szCs w:val="18"/>
                <w:color w:val="auto"/>
              </w:rPr>
              <w:t>Gain (loss) on non-financial assets, net</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tcPr>
          <w:p>
            <w:pPr>
              <w:jc w:val="right"/>
              <w:ind w:right="201"/>
              <w:spacing w:after="0"/>
              <w:rPr>
                <w:sz w:val="20"/>
                <w:szCs w:val="20"/>
                <w:color w:val="auto"/>
              </w:rPr>
            </w:pPr>
            <w:r>
              <w:rPr>
                <w:rFonts w:ascii="Arial" w:cs="Arial" w:eastAsia="Arial" w:hAnsi="Arial"/>
                <w:sz w:val="18"/>
                <w:szCs w:val="18"/>
                <w:color w:val="auto"/>
              </w:rPr>
              <w:t>296</w:t>
            </w:r>
          </w:p>
        </w:tc>
        <w:tc>
          <w:tcPr>
            <w:tcW w:w="120" w:type="dxa"/>
            <w:vAlign w:val="bottom"/>
          </w:tcPr>
          <w:p>
            <w:pPr>
              <w:spacing w:after="0"/>
              <w:rPr>
                <w:sz w:val="18"/>
                <w:szCs w:val="18"/>
                <w:color w:val="auto"/>
              </w:rPr>
            </w:pPr>
          </w:p>
        </w:tc>
        <w:tc>
          <w:tcPr>
            <w:tcW w:w="1300" w:type="dxa"/>
            <w:vAlign w:val="bottom"/>
            <w:gridSpan w:val="2"/>
          </w:tcPr>
          <w:p>
            <w:pPr>
              <w:jc w:val="right"/>
              <w:ind w:right="121"/>
              <w:spacing w:after="0"/>
              <w:rPr>
                <w:sz w:val="20"/>
                <w:szCs w:val="20"/>
                <w:color w:val="auto"/>
              </w:rPr>
            </w:pPr>
            <w:r>
              <w:rPr>
                <w:rFonts w:ascii="Arial" w:cs="Arial" w:eastAsia="Arial" w:hAnsi="Arial"/>
                <w:sz w:val="18"/>
                <w:szCs w:val="18"/>
                <w:color w:val="auto"/>
              </w:rPr>
              <w:t>500</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60" w:type="dxa"/>
            <w:vAlign w:val="bottom"/>
            <w:gridSpan w:val="2"/>
          </w:tcPr>
          <w:p>
            <w:pPr>
              <w:jc w:val="right"/>
              <w:ind w:right="21"/>
              <w:spacing w:after="0"/>
              <w:rPr>
                <w:sz w:val="20"/>
                <w:szCs w:val="20"/>
                <w:color w:val="auto"/>
              </w:rPr>
            </w:pPr>
            <w:r>
              <w:rPr>
                <w:rFonts w:ascii="Arial" w:cs="Arial" w:eastAsia="Arial" w:hAnsi="Arial"/>
                <w:sz w:val="18"/>
                <w:szCs w:val="18"/>
                <w:color w:val="auto"/>
              </w:rPr>
              <w:t>(10,018)</w:t>
            </w:r>
          </w:p>
        </w:tc>
      </w:tr>
      <w:tr>
        <w:trPr>
          <w:trHeight w:val="216"/>
        </w:trPr>
        <w:tc>
          <w:tcPr>
            <w:tcW w:w="63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6300" w:type="dxa"/>
            <w:vAlign w:val="bottom"/>
          </w:tcPr>
          <w:p>
            <w:pPr>
              <w:spacing w:after="0"/>
              <w:rPr>
                <w:sz w:val="20"/>
                <w:szCs w:val="20"/>
                <w:color w:val="auto"/>
              </w:rPr>
            </w:pPr>
            <w:r>
              <w:rPr>
                <w:rFonts w:ascii="Arial" w:cs="Arial" w:eastAsia="Arial" w:hAnsi="Arial"/>
                <w:sz w:val="18"/>
                <w:szCs w:val="18"/>
                <w:color w:val="auto"/>
              </w:rPr>
              <w:t>Operating expenses:</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63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(21,462)</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(24,179)</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(27,989)</w:t>
            </w:r>
          </w:p>
        </w:tc>
      </w:tr>
      <w:tr>
        <w:trPr>
          <w:trHeight w:val="216"/>
        </w:trPr>
        <w:tc>
          <w:tcPr>
            <w:tcW w:w="6300" w:type="dxa"/>
            <w:vAlign w:val="bottom"/>
          </w:tcPr>
          <w:p>
            <w:pPr>
              <w:ind w:left="180"/>
              <w:spacing w:after="0"/>
              <w:rPr>
                <w:sz w:val="20"/>
                <w:szCs w:val="20"/>
                <w:color w:val="auto"/>
              </w:rPr>
            </w:pPr>
            <w:r>
              <w:rPr>
                <w:rFonts w:ascii="Arial" w:cs="Arial" w:eastAsia="Arial" w:hAnsi="Arial"/>
                <w:sz w:val="18"/>
                <w:szCs w:val="18"/>
                <w:color w:val="auto"/>
                <w:w w:val="99"/>
              </w:rPr>
              <w:t>Depreciation of investment property, equipment and leasehold improvements</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(3,587)</w:t>
            </w:r>
          </w:p>
        </w:tc>
        <w:tc>
          <w:tcPr>
            <w:tcW w:w="120" w:type="dxa"/>
            <w:vAlign w:val="bottom"/>
          </w:tcPr>
          <w:p>
            <w:pPr>
              <w:spacing w:after="0"/>
              <w:rPr>
                <w:sz w:val="18"/>
                <w:szCs w:val="18"/>
                <w:color w:val="auto"/>
              </w:rPr>
            </w:pPr>
          </w:p>
        </w:tc>
        <w:tc>
          <w:tcPr>
            <w:tcW w:w="1300" w:type="dxa"/>
            <w:vAlign w:val="bottom"/>
            <w:gridSpan w:val="2"/>
          </w:tcPr>
          <w:p>
            <w:pPr>
              <w:jc w:val="right"/>
              <w:ind w:right="61"/>
              <w:spacing w:after="0"/>
              <w:rPr>
                <w:sz w:val="20"/>
                <w:szCs w:val="20"/>
                <w:color w:val="auto"/>
              </w:rPr>
            </w:pPr>
            <w:r>
              <w:rPr>
                <w:rFonts w:ascii="Arial" w:cs="Arial" w:eastAsia="Arial" w:hAnsi="Arial"/>
                <w:sz w:val="18"/>
                <w:szCs w:val="18"/>
                <w:color w:val="auto"/>
              </w:rPr>
              <w:t>(2,854)</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60" w:type="dxa"/>
            <w:vAlign w:val="bottom"/>
            <w:gridSpan w:val="2"/>
          </w:tcPr>
          <w:p>
            <w:pPr>
              <w:jc w:val="right"/>
              <w:ind w:right="21"/>
              <w:spacing w:after="0"/>
              <w:rPr>
                <w:sz w:val="20"/>
                <w:szCs w:val="20"/>
                <w:color w:val="auto"/>
              </w:rPr>
            </w:pPr>
            <w:r>
              <w:rPr>
                <w:rFonts w:ascii="Arial" w:cs="Arial" w:eastAsia="Arial" w:hAnsi="Arial"/>
                <w:sz w:val="18"/>
                <w:szCs w:val="18"/>
                <w:color w:val="auto"/>
              </w:rPr>
              <w:t>(1,282)</w:t>
            </w:r>
          </w:p>
        </w:tc>
      </w:tr>
      <w:tr>
        <w:trPr>
          <w:trHeight w:val="216"/>
        </w:trPr>
        <w:tc>
          <w:tcPr>
            <w:tcW w:w="63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(753)</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(702)</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(1,176)</w:t>
            </w:r>
          </w:p>
        </w:tc>
      </w:tr>
      <w:tr>
        <w:trPr>
          <w:trHeight w:val="230"/>
        </w:trPr>
        <w:tc>
          <w:tcPr>
            <w:tcW w:w="630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5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(11,522)</w:t>
            </w:r>
          </w:p>
        </w:tc>
        <w:tc>
          <w:tcPr>
            <w:tcW w:w="120" w:type="dxa"/>
            <w:vAlign w:val="bottom"/>
          </w:tcPr>
          <w:p>
            <w:pPr>
              <w:spacing w:after="0"/>
              <w:rPr>
                <w:sz w:val="19"/>
                <w:szCs w:val="19"/>
                <w:color w:val="auto"/>
              </w:rPr>
            </w:pPr>
          </w:p>
        </w:tc>
        <w:tc>
          <w:tcPr>
            <w:tcW w:w="1300" w:type="dxa"/>
            <w:vAlign w:val="bottom"/>
            <w:gridSpan w:val="2"/>
          </w:tcPr>
          <w:p>
            <w:pPr>
              <w:jc w:val="right"/>
              <w:ind w:right="61"/>
              <w:spacing w:after="0"/>
              <w:rPr>
                <w:sz w:val="20"/>
                <w:szCs w:val="20"/>
                <w:color w:val="auto"/>
              </w:rPr>
            </w:pPr>
            <w:r>
              <w:rPr>
                <w:rFonts w:ascii="Arial" w:cs="Arial" w:eastAsia="Arial" w:hAnsi="Arial"/>
                <w:sz w:val="18"/>
                <w:szCs w:val="18"/>
                <w:color w:val="auto"/>
              </w:rPr>
              <w:t>(12,939)</w:t>
            </w:r>
          </w:p>
        </w:tc>
        <w:tc>
          <w:tcPr>
            <w:tcW w:w="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gridSpan w:val="2"/>
          </w:tcPr>
          <w:p>
            <w:pPr>
              <w:jc w:val="right"/>
              <w:ind w:right="21"/>
              <w:spacing w:after="0"/>
              <w:rPr>
                <w:sz w:val="20"/>
                <w:szCs w:val="20"/>
                <w:color w:val="auto"/>
              </w:rPr>
            </w:pPr>
            <w:r>
              <w:rPr>
                <w:rFonts w:ascii="Arial" w:cs="Arial" w:eastAsia="Arial" w:hAnsi="Arial"/>
                <w:sz w:val="18"/>
                <w:szCs w:val="18"/>
                <w:color w:val="auto"/>
              </w:rPr>
              <w:t>(18,471)</w:t>
            </w:r>
          </w:p>
        </w:tc>
      </w:tr>
      <w:tr>
        <w:trPr>
          <w:trHeight w:val="210"/>
        </w:trPr>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56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(37,324</w:t>
            </w:r>
          </w:p>
        </w:tc>
        <w:tc>
          <w:tcPr>
            <w:tcW w:w="280" w:type="dxa"/>
            <w:vAlign w:val="bottom"/>
            <w:tcBorders>
              <w:top w:val="single" w:sz="8" w:color="CCEEFF"/>
            </w:tcBorders>
            <w:shd w:val="clear" w:color="auto" w:fill="CCEEFF"/>
          </w:tcPr>
          <w:p>
            <w:pPr>
              <w:jc w:val="right"/>
              <w:ind w:right="141"/>
              <w:spacing w:after="0"/>
              <w:rPr>
                <w:sz w:val="20"/>
                <w:szCs w:val="20"/>
                <w:color w:val="auto"/>
              </w:rPr>
            </w:pPr>
            <w:r>
              <w:rPr>
                <w:rFonts w:ascii="Arial" w:cs="Arial" w:eastAsia="Arial" w:hAnsi="Arial"/>
                <w:sz w:val="16"/>
                <w:szCs w:val="16"/>
                <w:color w:val="auto"/>
                <w:w w:val="74"/>
              </w:rPr>
              <w:t>)</w:t>
            </w: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44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(48,918</w:t>
            </w:r>
          </w:p>
        </w:tc>
        <w:tc>
          <w:tcPr>
            <w:tcW w:w="160" w:type="dxa"/>
            <w:vAlign w:val="bottom"/>
            <w:tcBorders>
              <w:top w:val="single" w:sz="8" w:color="CCEEFF"/>
            </w:tcBorders>
            <w:shd w:val="clear" w:color="auto" w:fill="CCEEFF"/>
          </w:tcPr>
          <w:p>
            <w:pPr>
              <w:jc w:val="right"/>
              <w:ind w:right="21"/>
              <w:spacing w:after="0"/>
              <w:rPr>
                <w:sz w:val="20"/>
                <w:szCs w:val="20"/>
                <w:color w:val="auto"/>
              </w:rPr>
            </w:pPr>
            <w:r>
              <w:rPr>
                <w:rFonts w:ascii="Arial" w:cs="Arial" w:eastAsia="Arial" w:hAnsi="Arial"/>
                <w:sz w:val="16"/>
                <w:szCs w:val="16"/>
                <w:color w:val="auto"/>
                <w:w w:val="74"/>
              </w:rPr>
              <w:t>)</w:t>
            </w:r>
          </w:p>
        </w:tc>
      </w:tr>
      <w:tr>
        <w:trPr>
          <w:trHeight w:val="263"/>
        </w:trPr>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year</w:t>
            </w:r>
          </w:p>
        </w:tc>
        <w:tc>
          <w:tcPr>
            <w:tcW w:w="560" w:type="dxa"/>
            <w:vAlign w:val="bottom"/>
            <w:tcBorders>
              <w:bottom w:val="single" w:sz="8" w:color="CCEEFF"/>
            </w:tcBorders>
          </w:tcPr>
          <w:p>
            <w:pPr>
              <w:spacing w:after="0"/>
              <w:rPr>
                <w:sz w:val="22"/>
                <w:szCs w:val="22"/>
                <w:color w:val="auto"/>
              </w:rPr>
            </w:pPr>
          </w:p>
        </w:tc>
        <w:tc>
          <w:tcPr>
            <w:tcW w:w="260" w:type="dxa"/>
            <w:vAlign w:val="bottom"/>
            <w:tcBorders>
              <w:bottom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63,593</w:t>
            </w:r>
          </w:p>
        </w:tc>
        <w:tc>
          <w:tcPr>
            <w:tcW w:w="280" w:type="dxa"/>
            <w:vAlign w:val="bottom"/>
            <w:tcBorders>
              <w:bottom w:val="single" w:sz="8" w:color="CCEEFF"/>
            </w:tcBorders>
          </w:tcPr>
          <w:p>
            <w:pPr>
              <w:spacing w:after="0"/>
              <w:rPr>
                <w:sz w:val="22"/>
                <w:szCs w:val="22"/>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86,053</w:t>
            </w:r>
          </w:p>
        </w:tc>
        <w:tc>
          <w:tcPr>
            <w:tcW w:w="20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4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11,138</w:t>
            </w:r>
          </w:p>
        </w:tc>
        <w:tc>
          <w:tcPr>
            <w:tcW w:w="160" w:type="dxa"/>
            <w:vAlign w:val="bottom"/>
            <w:tcBorders>
              <w:bottom w:val="single" w:sz="8" w:color="CCEEFF"/>
            </w:tcBorders>
          </w:tcPr>
          <w:p>
            <w:pPr>
              <w:spacing w:after="0"/>
              <w:rPr>
                <w:sz w:val="22"/>
                <w:szCs w:val="22"/>
                <w:color w:val="auto"/>
              </w:rPr>
            </w:pPr>
          </w:p>
        </w:tc>
      </w:tr>
      <w:tr>
        <w:trPr>
          <w:trHeight w:val="196"/>
        </w:trPr>
        <w:tc>
          <w:tcPr>
            <w:tcW w:w="6300" w:type="dxa"/>
            <w:vAlign w:val="bottom"/>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Basic earnings per share</w:t>
            </w:r>
          </w:p>
        </w:tc>
        <w:tc>
          <w:tcPr>
            <w:tcW w:w="560" w:type="dxa"/>
            <w:vAlign w:val="bottom"/>
            <w:shd w:val="clear" w:color="auto" w:fill="CCEEFF"/>
          </w:tcPr>
          <w:p>
            <w:pPr>
              <w:spacing w:after="0"/>
              <w:rPr>
                <w:sz w:val="17"/>
                <w:szCs w:val="17"/>
                <w:color w:val="auto"/>
              </w:rPr>
            </w:pP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1.60</w:t>
            </w:r>
          </w:p>
        </w:tc>
        <w:tc>
          <w:tcPr>
            <w:tcW w:w="280" w:type="dxa"/>
            <w:vAlign w:val="bottom"/>
            <w:shd w:val="clear" w:color="auto" w:fill="CCEEFF"/>
          </w:tcPr>
          <w:p>
            <w:pPr>
              <w:spacing w:after="0"/>
              <w:rPr>
                <w:sz w:val="17"/>
                <w:szCs w:val="17"/>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11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2.17</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40" w:type="dxa"/>
            <w:vAlign w:val="bottom"/>
            <w:shd w:val="clear" w:color="auto" w:fill="CCEEFF"/>
          </w:tcPr>
          <w:p>
            <w:pPr>
              <w:jc w:val="right"/>
              <w:ind w:right="250"/>
              <w:spacing w:after="0" w:line="196" w:lineRule="exact"/>
              <w:rPr>
                <w:sz w:val="20"/>
                <w:szCs w:val="20"/>
                <w:color w:val="auto"/>
              </w:rPr>
            </w:pPr>
            <w:r>
              <w:rPr>
                <w:rFonts w:ascii="Arial" w:cs="Arial" w:eastAsia="Arial" w:hAnsi="Arial"/>
                <w:sz w:val="18"/>
                <w:szCs w:val="18"/>
                <w:b w:val="1"/>
                <w:bCs w:val="1"/>
                <w:color w:val="auto"/>
                <w:w w:val="79"/>
              </w:rPr>
              <w:t>$</w:t>
            </w:r>
          </w:p>
        </w:tc>
        <w:tc>
          <w:tcPr>
            <w:tcW w:w="800" w:type="dxa"/>
            <w:vAlign w:val="bottom"/>
            <w:shd w:val="clear" w:color="auto" w:fill="CCEEFF"/>
          </w:tcPr>
          <w:p>
            <w:pPr>
              <w:jc w:val="right"/>
              <w:spacing w:after="0" w:line="196" w:lineRule="exact"/>
              <w:rPr>
                <w:sz w:val="20"/>
                <w:szCs w:val="20"/>
                <w:color w:val="auto"/>
              </w:rPr>
            </w:pPr>
            <w:r>
              <w:rPr>
                <w:rFonts w:ascii="Arial" w:cs="Arial" w:eastAsia="Arial" w:hAnsi="Arial"/>
                <w:sz w:val="18"/>
                <w:szCs w:val="18"/>
                <w:b w:val="1"/>
                <w:bCs w:val="1"/>
                <w:color w:val="auto"/>
              </w:rPr>
              <w:t>0.28</w:t>
            </w:r>
          </w:p>
        </w:tc>
        <w:tc>
          <w:tcPr>
            <w:tcW w:w="160" w:type="dxa"/>
            <w:vAlign w:val="bottom"/>
            <w:shd w:val="clear" w:color="auto" w:fill="CCEEFF"/>
          </w:tcPr>
          <w:p>
            <w:pPr>
              <w:spacing w:after="0"/>
              <w:rPr>
                <w:sz w:val="17"/>
                <w:szCs w:val="17"/>
                <w:color w:val="auto"/>
              </w:rPr>
            </w:pPr>
          </w:p>
        </w:tc>
      </w:tr>
      <w:tr>
        <w:trPr>
          <w:trHeight w:val="216"/>
        </w:trPr>
        <w:tc>
          <w:tcPr>
            <w:tcW w:w="630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820" w:type="dxa"/>
            <w:vAlign w:val="bottom"/>
            <w:gridSpan w:val="2"/>
          </w:tcPr>
          <w:p>
            <w:pPr>
              <w:jc w:val="right"/>
              <w:ind w:right="107"/>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01"/>
              <w:spacing w:after="0"/>
              <w:rPr>
                <w:sz w:val="20"/>
                <w:szCs w:val="20"/>
                <w:color w:val="auto"/>
              </w:rPr>
            </w:pPr>
            <w:r>
              <w:rPr>
                <w:rFonts w:ascii="Arial" w:cs="Arial" w:eastAsia="Arial" w:hAnsi="Arial"/>
                <w:sz w:val="18"/>
                <w:szCs w:val="18"/>
                <w:color w:val="auto"/>
              </w:rPr>
              <w:t>1.60</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21"/>
              <w:spacing w:after="0"/>
              <w:rPr>
                <w:sz w:val="20"/>
                <w:szCs w:val="20"/>
                <w:color w:val="auto"/>
              </w:rPr>
            </w:pPr>
            <w:r>
              <w:rPr>
                <w:rFonts w:ascii="Arial" w:cs="Arial" w:eastAsia="Arial" w:hAnsi="Arial"/>
                <w:sz w:val="18"/>
                <w:szCs w:val="18"/>
                <w:color w:val="auto"/>
              </w:rPr>
              <w:t>2.17</w:t>
            </w:r>
          </w:p>
        </w:tc>
        <w:tc>
          <w:tcPr>
            <w:tcW w:w="500" w:type="dxa"/>
            <w:vAlign w:val="bottom"/>
            <w:gridSpan w:val="2"/>
          </w:tcPr>
          <w:p>
            <w:pPr>
              <w:jc w:val="right"/>
              <w:ind w:right="25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81"/>
              <w:spacing w:after="0"/>
              <w:rPr>
                <w:sz w:val="20"/>
                <w:szCs w:val="20"/>
                <w:color w:val="auto"/>
              </w:rPr>
            </w:pPr>
            <w:r>
              <w:rPr>
                <w:rFonts w:ascii="Arial" w:cs="Arial" w:eastAsia="Arial" w:hAnsi="Arial"/>
                <w:sz w:val="18"/>
                <w:szCs w:val="18"/>
                <w:color w:val="auto"/>
              </w:rPr>
              <w:t>0.28</w:t>
            </w:r>
          </w:p>
        </w:tc>
      </w:tr>
      <w:tr>
        <w:trPr>
          <w:trHeight w:val="216"/>
        </w:trPr>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5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1"/>
              <w:spacing w:after="0"/>
              <w:rPr>
                <w:sz w:val="20"/>
                <w:szCs w:val="20"/>
                <w:color w:val="auto"/>
              </w:rPr>
            </w:pPr>
            <w:r>
              <w:rPr>
                <w:rFonts w:ascii="Arial" w:cs="Arial" w:eastAsia="Arial" w:hAnsi="Arial"/>
                <w:sz w:val="18"/>
                <w:szCs w:val="18"/>
                <w:color w:val="auto"/>
              </w:rPr>
              <w:t>39,656</w:t>
            </w:r>
          </w:p>
        </w:tc>
        <w:tc>
          <w:tcPr>
            <w:tcW w:w="1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39,575</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39,543</w:t>
            </w:r>
          </w:p>
        </w:tc>
      </w:tr>
      <w:tr>
        <w:trPr>
          <w:trHeight w:val="216"/>
        </w:trPr>
        <w:tc>
          <w:tcPr>
            <w:tcW w:w="630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40" w:type="dxa"/>
            <w:vAlign w:val="bottom"/>
            <w:gridSpan w:val="2"/>
          </w:tcPr>
          <w:p>
            <w:pPr>
              <w:jc w:val="right"/>
              <w:ind w:right="201"/>
              <w:spacing w:after="0"/>
              <w:rPr>
                <w:sz w:val="20"/>
                <w:szCs w:val="20"/>
                <w:color w:val="auto"/>
              </w:rPr>
            </w:pPr>
            <w:r>
              <w:rPr>
                <w:rFonts w:ascii="Arial" w:cs="Arial" w:eastAsia="Arial" w:hAnsi="Arial"/>
                <w:sz w:val="18"/>
                <w:szCs w:val="18"/>
                <w:color w:val="auto"/>
              </w:rPr>
              <w:t>39,656</w:t>
            </w:r>
          </w:p>
        </w:tc>
        <w:tc>
          <w:tcPr>
            <w:tcW w:w="120" w:type="dxa"/>
            <w:vAlign w:val="bottom"/>
          </w:tcPr>
          <w:p>
            <w:pPr>
              <w:spacing w:after="0"/>
              <w:rPr>
                <w:sz w:val="18"/>
                <w:szCs w:val="18"/>
                <w:color w:val="auto"/>
              </w:rPr>
            </w:pPr>
          </w:p>
        </w:tc>
        <w:tc>
          <w:tcPr>
            <w:tcW w:w="1300" w:type="dxa"/>
            <w:vAlign w:val="bottom"/>
            <w:gridSpan w:val="2"/>
          </w:tcPr>
          <w:p>
            <w:pPr>
              <w:jc w:val="right"/>
              <w:ind w:right="121"/>
              <w:spacing w:after="0"/>
              <w:rPr>
                <w:sz w:val="20"/>
                <w:szCs w:val="20"/>
                <w:color w:val="auto"/>
              </w:rPr>
            </w:pPr>
            <w:r>
              <w:rPr>
                <w:rFonts w:ascii="Arial" w:cs="Arial" w:eastAsia="Arial" w:hAnsi="Arial"/>
                <w:sz w:val="18"/>
                <w:szCs w:val="18"/>
                <w:color w:val="auto"/>
              </w:rPr>
              <w:t>39,575</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960" w:type="dxa"/>
            <w:vAlign w:val="bottom"/>
            <w:gridSpan w:val="2"/>
          </w:tcPr>
          <w:p>
            <w:pPr>
              <w:jc w:val="right"/>
              <w:ind w:right="81"/>
              <w:spacing w:after="0"/>
              <w:rPr>
                <w:sz w:val="20"/>
                <w:szCs w:val="20"/>
                <w:color w:val="auto"/>
              </w:rPr>
            </w:pPr>
            <w:r>
              <w:rPr>
                <w:rFonts w:ascii="Arial" w:cs="Arial" w:eastAsia="Arial" w:hAnsi="Arial"/>
                <w:sz w:val="18"/>
                <w:szCs w:val="18"/>
                <w:color w:val="auto"/>
              </w:rPr>
              <w:t>39,543</w:t>
            </w:r>
          </w:p>
        </w:tc>
      </w:tr>
      <w:tr>
        <w:trPr>
          <w:trHeight w:val="256"/>
        </w:trPr>
        <w:tc>
          <w:tcPr>
            <w:tcW w:w="630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total assets </w:t>
            </w:r>
            <w:r>
              <w:rPr>
                <w:rFonts w:ascii="Arial" w:cs="Arial" w:eastAsia="Arial" w:hAnsi="Arial"/>
                <w:sz w:val="29"/>
                <w:szCs w:val="29"/>
                <w:color w:val="auto"/>
                <w:vertAlign w:val="superscript"/>
              </w:rPr>
              <w:t>(1)</w:t>
            </w:r>
          </w:p>
        </w:tc>
        <w:tc>
          <w:tcPr>
            <w:tcW w:w="56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0.96%</w:t>
            </w:r>
          </w:p>
        </w:tc>
        <w:tc>
          <w:tcPr>
            <w:tcW w:w="1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1.36%</w:t>
            </w:r>
          </w:p>
        </w:tc>
        <w:tc>
          <w:tcPr>
            <w:tcW w:w="60" w:type="dxa"/>
            <w:vAlign w:val="bottom"/>
            <w:shd w:val="clear" w:color="auto" w:fill="CCEEFF"/>
          </w:tcPr>
          <w:p>
            <w:pPr>
              <w:spacing w:after="0"/>
              <w:rPr>
                <w:sz w:val="22"/>
                <w:szCs w:val="22"/>
                <w:color w:val="auto"/>
              </w:rPr>
            </w:pPr>
          </w:p>
        </w:tc>
        <w:tc>
          <w:tcPr>
            <w:tcW w:w="44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0.17%</w:t>
            </w:r>
          </w:p>
        </w:tc>
      </w:tr>
      <w:tr>
        <w:trPr>
          <w:trHeight w:val="390"/>
        </w:trPr>
        <w:tc>
          <w:tcPr>
            <w:tcW w:w="6300" w:type="dxa"/>
            <w:vAlign w:val="bottom"/>
          </w:tcPr>
          <w:p>
            <w:pPr>
              <w:spacing w:after="0"/>
              <w:rPr>
                <w:sz w:val="20"/>
                <w:szCs w:val="20"/>
                <w:color w:val="auto"/>
              </w:rPr>
            </w:pPr>
            <w:r>
              <w:rPr>
                <w:rFonts w:ascii="Arial" w:cs="Arial" w:eastAsia="Arial" w:hAnsi="Arial"/>
                <w:sz w:val="18"/>
                <w:szCs w:val="18"/>
                <w:color w:val="auto"/>
              </w:rPr>
              <w:t xml:space="preserve">Return on average total equity </w:t>
            </w:r>
            <w:r>
              <w:rPr>
                <w:rFonts w:ascii="Arial" w:cs="Arial" w:eastAsia="Arial" w:hAnsi="Arial"/>
                <w:sz w:val="29"/>
                <w:szCs w:val="29"/>
                <w:color w:val="auto"/>
                <w:vertAlign w:val="superscript"/>
              </w:rPr>
              <w:t>(2)</w:t>
            </w:r>
          </w:p>
        </w:tc>
        <w:tc>
          <w:tcPr>
            <w:tcW w:w="5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40" w:type="dxa"/>
            <w:vAlign w:val="bottom"/>
            <w:gridSpan w:val="2"/>
          </w:tcPr>
          <w:p>
            <w:pPr>
              <w:jc w:val="right"/>
              <w:ind w:right="41"/>
              <w:spacing w:after="0"/>
              <w:rPr>
                <w:sz w:val="20"/>
                <w:szCs w:val="20"/>
                <w:color w:val="auto"/>
              </w:rPr>
            </w:pPr>
            <w:r>
              <w:rPr>
                <w:rFonts w:ascii="Arial" w:cs="Arial" w:eastAsia="Arial" w:hAnsi="Arial"/>
                <w:sz w:val="18"/>
                <w:szCs w:val="18"/>
                <w:color w:val="auto"/>
              </w:rPr>
              <w:t>6.19%</w:t>
            </w:r>
          </w:p>
        </w:tc>
        <w:tc>
          <w:tcPr>
            <w:tcW w:w="120" w:type="dxa"/>
            <w:vAlign w:val="bottom"/>
          </w:tcPr>
          <w:p>
            <w:pPr>
              <w:spacing w:after="0"/>
              <w:rPr>
                <w:sz w:val="24"/>
                <w:szCs w:val="24"/>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8.56%</w:t>
            </w:r>
          </w:p>
        </w:tc>
        <w:tc>
          <w:tcPr>
            <w:tcW w:w="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960" w:type="dxa"/>
            <w:vAlign w:val="bottom"/>
            <w:gridSpan w:val="2"/>
          </w:tcPr>
          <w:p>
            <w:pPr>
              <w:jc w:val="right"/>
              <w:spacing w:after="0"/>
              <w:rPr>
                <w:sz w:val="20"/>
                <w:szCs w:val="20"/>
                <w:color w:val="auto"/>
              </w:rPr>
            </w:pPr>
            <w:r>
              <w:rPr>
                <w:rFonts w:ascii="Arial" w:cs="Arial" w:eastAsia="Arial" w:hAnsi="Arial"/>
                <w:sz w:val="18"/>
                <w:szCs w:val="18"/>
                <w:color w:val="auto"/>
              </w:rPr>
              <w:t>1.08%</w:t>
            </w:r>
          </w:p>
        </w:tc>
      </w:tr>
    </w:tbl>
    <w:p>
      <w:pPr>
        <w:spacing w:after="0" w:line="95" w:lineRule="exact"/>
        <w:rPr>
          <w:sz w:val="20"/>
          <w:szCs w:val="20"/>
          <w:color w:val="auto"/>
        </w:rPr>
      </w:pPr>
    </w:p>
    <w:p>
      <w:pPr>
        <w:ind w:left="340" w:hanging="332"/>
        <w:spacing w:after="0" w:line="194" w:lineRule="auto"/>
        <w:tabs>
          <w:tab w:leader="none" w:pos="34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For the years 2020, 2019 and 2018, return on average total assets is calculated as profit for the year divided by average total assets. Average total assets for 2020, 2019 and 2018 is calculated on the basis of daily average balances.</w:t>
      </w:r>
    </w:p>
    <w:p>
      <w:pPr>
        <w:ind w:left="340" w:right="20" w:hanging="332"/>
        <w:spacing w:after="0" w:line="187" w:lineRule="auto"/>
        <w:tabs>
          <w:tab w:leader="none" w:pos="340" w:val="left"/>
        </w:tabs>
        <w:numPr>
          <w:ilvl w:val="0"/>
          <w:numId w:val="33"/>
        </w:numPr>
        <w:rPr>
          <w:rFonts w:ascii="Arial" w:cs="Arial" w:eastAsia="Arial" w:hAnsi="Arial"/>
          <w:sz w:val="30"/>
          <w:szCs w:val="30"/>
          <w:color w:val="auto"/>
          <w:vertAlign w:val="superscript"/>
        </w:rPr>
      </w:pPr>
      <w:r>
        <w:rPr>
          <w:rFonts w:ascii="Arial" w:cs="Arial" w:eastAsia="Arial" w:hAnsi="Arial"/>
          <w:sz w:val="18"/>
          <w:szCs w:val="18"/>
          <w:color w:val="auto"/>
        </w:rPr>
        <w:t>For the years 2020, 2019 and 2018, return on average total equity is calculated as profit for the year divided by average total equity. Average total equity for 2020, 2019 and 2018 is calculated on the basis of daily average balances.</w:t>
      </w:r>
    </w:p>
    <w:p>
      <w:pPr>
        <w:spacing w:after="0" w:line="200" w:lineRule="exact"/>
        <w:rPr>
          <w:sz w:val="20"/>
          <w:szCs w:val="20"/>
          <w:color w:val="auto"/>
        </w:rPr>
      </w:pPr>
    </w:p>
    <w:p>
      <w:pPr>
        <w:spacing w:after="0" w:line="2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i w:val="1"/>
          <w:iCs w:val="1"/>
          <w:color w:val="auto"/>
        </w:rPr>
        <w:t>Profit for the year</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Bladex’s profit for the year 2020 totaled $63.6 million, or $1.60 per share, compared to $86.1 million, or $2.17 per share for 2019. This decrease in profits was mainly driven by the Bank’s defensive approach of favoring liquidity over loan growth during most of 2020, as part of the prudential measures implemented since the onset of the COVID-19 pandemic. This mainly resulted in a $17.1 million, or 16% decrease in net interest income during 2020, following management’s decision to preserve the Bank’s liquidity, to implement stricter credit underwriting standards, and to focus on sectors considered to be defensive in the current economic context (such as oil &amp; gas (downstream), electric power and food and beverage), together with its successful collection of virtually all scheduled loan maturities, all of which resulted in a reduction of average lending volumes throughout the year, an effect that was coupled with the negative impact of decreased market rates in the Bank’s net interest margin. The reduction in profit in 2020 was also a result of a $5.2 million, or 33% decrease in fees and commissions, mostly due to the absence of mandated structured transactions in a year impacted by market uncertainty. These negative effects were partially offset by: (i) a $3.4 million, or 8% decrease in operating expenses as a result of lower variable compensation and other savings generated by the Bank as a response to the current economic climate, and (ii) reversal of provisions for credit losses of $1.5 million in 2020, compared to provision charges of $0.4 million in 2019, derived from reduced levels of credit-impaired loans, lower Commercial Portfolio balances and the collection of loans in higher risk sectors and countries.</w:t>
      </w:r>
    </w:p>
    <w:p>
      <w:pPr>
        <w:spacing w:after="0" w:line="17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Bladex’s profit for the year 2019 totaled $86.1 million, or $2.17 per share, compared to $11.1 million, or $0.28 per share for 2018. This increase in profits was mainly driven by: (i) substantially lower impairment losses of $0.4 million in 2019, compared to $57.5 million in 2018, which was due to the Bank’s improved risk profile as a result of higher quality loan originations, the timely collection of scheduled maturities of its watch-list exposures, and no new credits classified as credit-impaired loans since the third quarter of 2018, (ii) steady top line total revenues resulting in a $1.5 million or 1% decline, as the Bank was able to maintain relatively stable financial margins and average Commercial Portfolio volumes, mainly resulting from the shifting of its credit underwriting toward lower risk countries and (iii) an $8.2 million or 17% decrease in operating expenses as a result of the Bank's continued efforts and focus on effective cost control management and overall improved structural and operational efficiencies, leading to an improved efficiency ratio of 32% in 2019 from 38% in 2018.</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and Margins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4" w:name="page55"/>
    <w:bookmarkEnd w:id="54"/>
    <w:tbl>
      <w:tblPr>
        <w:tblLayout w:type="fixed"/>
        <w:tblInd w:w="0" w:type="dxa"/>
        <w:tblCellMar>
          <w:top w:w="0" w:type="dxa"/>
          <w:left w:w="0" w:type="dxa"/>
          <w:bottom w:w="0" w:type="dxa"/>
          <w:right w:w="0" w:type="dxa"/>
        </w:tblCellMar>
      </w:tblPr>
      <w:tr>
        <w:trPr>
          <w:trHeight w:val="234"/>
        </w:trPr>
        <w:tc>
          <w:tcPr>
            <w:tcW w:w="514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800" w:type="dxa"/>
            <w:vAlign w:val="bottom"/>
            <w:tcBorders>
              <w:bottom w:val="single" w:sz="8" w:color="auto"/>
            </w:tcBorders>
          </w:tcPr>
          <w:p>
            <w:pPr>
              <w:spacing w:after="0"/>
              <w:rPr>
                <w:sz w:val="20"/>
                <w:szCs w:val="20"/>
                <w:color w:val="auto"/>
              </w:rPr>
            </w:pPr>
          </w:p>
        </w:tc>
        <w:tc>
          <w:tcPr>
            <w:tcW w:w="2620" w:type="dxa"/>
            <w:vAlign w:val="bottom"/>
            <w:tcBorders>
              <w:bottom w:val="single" w:sz="8" w:color="auto"/>
            </w:tcBorders>
            <w:gridSpan w:val="7"/>
          </w:tcPr>
          <w:p>
            <w:pPr>
              <w:jc w:val="center"/>
              <w:ind w:right="20"/>
              <w:spacing w:after="0"/>
              <w:rPr>
                <w:sz w:val="20"/>
                <w:szCs w:val="20"/>
                <w:color w:val="auto"/>
              </w:rPr>
            </w:pPr>
            <w:r>
              <w:rPr>
                <w:rFonts w:ascii="Arial" w:cs="Arial" w:eastAsia="Arial" w:hAnsi="Arial"/>
                <w:sz w:val="18"/>
                <w:szCs w:val="18"/>
                <w:b w:val="1"/>
                <w:bCs w:val="1"/>
                <w:color w:val="auto"/>
                <w:w w:val="90"/>
              </w:rPr>
              <w:t>For the Year Ended December 31,</w:t>
            </w:r>
          </w:p>
        </w:tc>
        <w:tc>
          <w:tcPr>
            <w:tcW w:w="80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140" w:type="dxa"/>
            <w:vAlign w:val="bottom"/>
          </w:tcPr>
          <w:p>
            <w:pPr>
              <w:spacing w:after="0"/>
              <w:rPr>
                <w:sz w:val="19"/>
                <w:szCs w:val="19"/>
                <w:color w:val="auto"/>
              </w:rPr>
            </w:pPr>
          </w:p>
        </w:tc>
        <w:tc>
          <w:tcPr>
            <w:tcW w:w="172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420" w:type="dxa"/>
            <w:vAlign w:val="bottom"/>
            <w:tcBorders>
              <w:bottom w:val="single" w:sz="8" w:color="auto"/>
            </w:tcBorders>
          </w:tcPr>
          <w:p>
            <w:pPr>
              <w:spacing w:after="0"/>
              <w:rPr>
                <w:sz w:val="19"/>
                <w:szCs w:val="19"/>
                <w:color w:val="auto"/>
              </w:rPr>
            </w:pPr>
          </w:p>
        </w:tc>
        <w:tc>
          <w:tcPr>
            <w:tcW w:w="2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center"/>
              <w:ind w:right="19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2018</w:t>
            </w: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514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620" w:type="dxa"/>
            <w:vAlign w:val="bottom"/>
            <w:gridSpan w:val="7"/>
          </w:tcPr>
          <w:p>
            <w:pPr>
              <w:jc w:val="center"/>
              <w:ind w:right="20"/>
              <w:spacing w:after="0"/>
              <w:rPr>
                <w:sz w:val="20"/>
                <w:szCs w:val="20"/>
                <w:color w:val="auto"/>
              </w:rPr>
            </w:pPr>
            <w:r>
              <w:rPr>
                <w:rFonts w:ascii="Arial" w:cs="Arial" w:eastAsia="Arial" w:hAnsi="Arial"/>
                <w:sz w:val="18"/>
                <w:szCs w:val="18"/>
                <w:color w:val="auto"/>
                <w:w w:val="90"/>
              </w:rPr>
              <w:t>(in $ millions, except percentages)</w:t>
            </w: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 (loss) by Business Segment</w:t>
            </w:r>
          </w:p>
        </w:tc>
        <w:tc>
          <w:tcPr>
            <w:tcW w:w="17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40" w:type="dxa"/>
            <w:vAlign w:val="bottom"/>
          </w:tcPr>
          <w:p>
            <w:pPr>
              <w:ind w:left="160"/>
              <w:spacing w:after="0"/>
              <w:rPr>
                <w:sz w:val="20"/>
                <w:szCs w:val="20"/>
                <w:color w:val="auto"/>
              </w:rPr>
            </w:pPr>
            <w:r>
              <w:rPr>
                <w:rFonts w:ascii="Arial" w:cs="Arial" w:eastAsia="Arial" w:hAnsi="Arial"/>
                <w:sz w:val="18"/>
                <w:szCs w:val="18"/>
                <w:color w:val="auto"/>
              </w:rPr>
              <w:t>Commercial</w:t>
            </w:r>
          </w:p>
        </w:tc>
        <w:tc>
          <w:tcPr>
            <w:tcW w:w="252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rPr>
              <w:t>87.9</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108.4</w:t>
            </w:r>
          </w:p>
        </w:tc>
        <w:tc>
          <w:tcPr>
            <w:tcW w:w="500" w:type="dxa"/>
            <w:vAlign w:val="bottom"/>
            <w:gridSpan w:val="2"/>
          </w:tcPr>
          <w:p>
            <w:pPr>
              <w:jc w:val="right"/>
              <w:ind w:right="34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109.8</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w:t>
            </w:r>
          </w:p>
        </w:tc>
        <w:tc>
          <w:tcPr>
            <w:tcW w:w="1720" w:type="dxa"/>
            <w:vAlign w:val="bottom"/>
            <w:shd w:val="clear" w:color="auto" w:fill="CCEEFF"/>
          </w:tcPr>
          <w:p>
            <w:pPr>
              <w:spacing w:after="0"/>
              <w:rPr>
                <w:sz w:val="19"/>
                <w:szCs w:val="19"/>
                <w:color w:val="auto"/>
              </w:rPr>
            </w:pPr>
          </w:p>
        </w:tc>
        <w:tc>
          <w:tcPr>
            <w:tcW w:w="800" w:type="dxa"/>
            <w:vAlign w:val="bottom"/>
            <w:shd w:val="clear" w:color="auto" w:fill="CCEEFF"/>
          </w:tcPr>
          <w:p>
            <w:pPr>
              <w:spacing w:after="0"/>
              <w:rPr>
                <w:sz w:val="19"/>
                <w:szCs w:val="19"/>
                <w:color w:val="auto"/>
              </w:rPr>
            </w:pP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4.5</w:t>
            </w:r>
          </w:p>
        </w:tc>
        <w:tc>
          <w:tcPr>
            <w:tcW w:w="26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w:t>
            </w:r>
          </w:p>
        </w:tc>
        <w:tc>
          <w:tcPr>
            <w:tcW w:w="6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0"/>
        </w:trPr>
        <w:tc>
          <w:tcPr>
            <w:tcW w:w="514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Total Net Interest Income</w:t>
            </w:r>
          </w:p>
        </w:tc>
        <w:tc>
          <w:tcPr>
            <w:tcW w:w="17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5140" w:type="dxa"/>
            <w:vAlign w:val="bottom"/>
            <w:vMerge w:val="continue"/>
          </w:tcPr>
          <w:p>
            <w:pPr>
              <w:spacing w:after="0"/>
              <w:rPr>
                <w:sz w:val="20"/>
                <w:szCs w:val="20"/>
                <w:color w:val="auto"/>
              </w:rPr>
            </w:pPr>
          </w:p>
        </w:tc>
        <w:tc>
          <w:tcPr>
            <w:tcW w:w="2520" w:type="dxa"/>
            <w:vAlign w:val="bottom"/>
            <w:gridSpan w:val="2"/>
          </w:tcPr>
          <w:p>
            <w:pPr>
              <w:jc w:val="right"/>
              <w:ind w:right="630"/>
              <w:spacing w:after="0"/>
              <w:rPr>
                <w:sz w:val="20"/>
                <w:szCs w:val="20"/>
                <w:color w:val="auto"/>
              </w:rPr>
            </w:pPr>
            <w:r>
              <w:rPr>
                <w:rFonts w:ascii="Arial" w:cs="Arial" w:eastAsia="Arial" w:hAnsi="Arial"/>
                <w:sz w:val="18"/>
                <w:szCs w:val="18"/>
                <w:b w:val="1"/>
                <w:bCs w:val="1"/>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92.4</w:t>
            </w:r>
          </w:p>
        </w:tc>
        <w:tc>
          <w:tcPr>
            <w:tcW w:w="260" w:type="dxa"/>
            <w:vAlign w:val="bottom"/>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109.5</w:t>
            </w:r>
          </w:p>
        </w:tc>
        <w:tc>
          <w:tcPr>
            <w:tcW w:w="5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w:t>
            </w: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109.7</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514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interest margin (1)</w:t>
            </w:r>
          </w:p>
        </w:tc>
        <w:tc>
          <w:tcPr>
            <w:tcW w:w="17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1.41%</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1.74%</w:t>
            </w:r>
          </w:p>
        </w:tc>
        <w:tc>
          <w:tcPr>
            <w:tcW w:w="6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1.71%</w:t>
            </w:r>
          </w:p>
        </w:tc>
        <w:tc>
          <w:tcPr>
            <w:tcW w:w="0" w:type="dxa"/>
            <w:vAlign w:val="bottom"/>
          </w:tcPr>
          <w:p>
            <w:pPr>
              <w:spacing w:after="0"/>
              <w:rPr>
                <w:sz w:val="1"/>
                <w:szCs w:val="1"/>
                <w:color w:val="auto"/>
              </w:rPr>
            </w:pPr>
          </w:p>
        </w:tc>
      </w:tr>
      <w:tr>
        <w:trPr>
          <w:trHeight w:val="229"/>
        </w:trPr>
        <w:tc>
          <w:tcPr>
            <w:tcW w:w="5140" w:type="dxa"/>
            <w:vAlign w:val="bottom"/>
          </w:tcPr>
          <w:p>
            <w:pPr>
              <w:ind w:left="20"/>
              <w:spacing w:after="0"/>
              <w:rPr>
                <w:sz w:val="20"/>
                <w:szCs w:val="20"/>
                <w:color w:val="auto"/>
              </w:rPr>
            </w:pPr>
            <w:r>
              <w:rPr>
                <w:rFonts w:ascii="Arial" w:cs="Arial" w:eastAsia="Arial" w:hAnsi="Arial"/>
                <w:sz w:val="18"/>
                <w:szCs w:val="18"/>
                <w:color w:val="auto"/>
              </w:rPr>
              <w:t>Net interest spread</w:t>
            </w:r>
          </w:p>
        </w:tc>
        <w:tc>
          <w:tcPr>
            <w:tcW w:w="172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rPr>
              <w:t>1.13%</w:t>
            </w:r>
          </w:p>
        </w:tc>
        <w:tc>
          <w:tcPr>
            <w:tcW w:w="260" w:type="dxa"/>
            <w:vAlign w:val="bottom"/>
          </w:tcPr>
          <w:p>
            <w:pPr>
              <w:spacing w:after="0"/>
              <w:rPr>
                <w:sz w:val="19"/>
                <w:szCs w:val="19"/>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1.21%</w:t>
            </w:r>
          </w:p>
        </w:tc>
        <w:tc>
          <w:tcPr>
            <w:tcW w:w="0" w:type="dxa"/>
            <w:vAlign w:val="bottom"/>
          </w:tcPr>
          <w:p>
            <w:pPr>
              <w:spacing w:after="0"/>
              <w:rPr>
                <w:sz w:val="1"/>
                <w:szCs w:val="1"/>
                <w:color w:val="auto"/>
              </w:rPr>
            </w:pPr>
          </w:p>
        </w:tc>
      </w:tr>
      <w:tr>
        <w:trPr>
          <w:trHeight w:val="20"/>
        </w:trPr>
        <w:tc>
          <w:tcPr>
            <w:tcW w:w="5140" w:type="dxa"/>
            <w:vAlign w:val="bottom"/>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Changes in Net Interest Income — Volume and Rate Analysis</w:t>
      </w:r>
    </w:p>
    <w:p>
      <w:pPr>
        <w:spacing w:after="0" w:line="212"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2020 compared to 2019 and 2019 compared to 2018. Volume and rate variances have been calculated based on average balances and average interest rates over the periods presented. The annual rates include the impact of changes in market rates, as well as the impact of any change in composition of the various products within each category of asset or liability. This analysis is calculated separately for each product and, as a result, changes in the granularity or groupings considered in this analysis would produce a different attribution result, and due to the complexities involved, precise allocation of changes in interest rates between volume and rates is inherently complex and judgmental.</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8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9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4"/>
          </w:tcPr>
          <w:p>
            <w:pPr>
              <w:ind w:left="40"/>
              <w:spacing w:after="0"/>
              <w:rPr>
                <w:sz w:val="20"/>
                <w:szCs w:val="20"/>
                <w:color w:val="auto"/>
              </w:rPr>
            </w:pPr>
            <w:r>
              <w:rPr>
                <w:rFonts w:ascii="Arial" w:cs="Arial" w:eastAsia="Arial" w:hAnsi="Arial"/>
                <w:sz w:val="18"/>
                <w:szCs w:val="18"/>
                <w:b w:val="1"/>
                <w:bCs w:val="1"/>
                <w:color w:val="auto"/>
                <w:w w:val="99"/>
              </w:rPr>
              <w:t>2020 vs. 2019</w:t>
            </w:r>
          </w:p>
        </w:tc>
        <w:tc>
          <w:tcPr>
            <w:tcW w:w="6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gridSpan w:val="4"/>
          </w:tcPr>
          <w:p>
            <w:pPr>
              <w:jc w:val="right"/>
              <w:ind w:right="61"/>
              <w:spacing w:after="0"/>
              <w:rPr>
                <w:sz w:val="20"/>
                <w:szCs w:val="20"/>
                <w:color w:val="auto"/>
              </w:rPr>
            </w:pPr>
            <w:r>
              <w:rPr>
                <w:rFonts w:ascii="Arial" w:cs="Arial" w:eastAsia="Arial" w:hAnsi="Arial"/>
                <w:sz w:val="18"/>
                <w:szCs w:val="18"/>
                <w:b w:val="1"/>
                <w:bCs w:val="1"/>
                <w:color w:val="auto"/>
                <w:w w:val="90"/>
              </w:rPr>
              <w:t>2019 vs. 2018</w:t>
            </w:r>
          </w:p>
        </w:tc>
        <w:tc>
          <w:tcPr>
            <w:tcW w:w="26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257"/>
        </w:trPr>
        <w:tc>
          <w:tcPr>
            <w:tcW w:w="2080" w:type="dxa"/>
            <w:vAlign w:val="bottom"/>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900" w:type="dxa"/>
            <w:vAlign w:val="bottom"/>
            <w:tcBorders>
              <w:bottom w:val="single" w:sz="8" w:color="auto"/>
            </w:tcBorders>
          </w:tcPr>
          <w:p>
            <w:pPr>
              <w:jc w:val="right"/>
              <w:ind w:right="30"/>
              <w:spacing w:after="0" w:line="250" w:lineRule="exact"/>
              <w:rPr>
                <w:sz w:val="20"/>
                <w:szCs w:val="20"/>
                <w:color w:val="auto"/>
              </w:rPr>
            </w:pPr>
            <w:r>
              <w:rPr>
                <w:rFonts w:ascii="Arial" w:cs="Arial" w:eastAsia="Arial" w:hAnsi="Arial"/>
                <w:sz w:val="17"/>
                <w:szCs w:val="17"/>
                <w:b w:val="1"/>
                <w:bCs w:val="1"/>
                <w:color w:val="auto"/>
                <w:w w:val="93"/>
              </w:rPr>
              <w:t>Volume</w:t>
            </w:r>
            <w:r>
              <w:rPr>
                <w:rFonts w:ascii="Arial" w:cs="Arial" w:eastAsia="Arial" w:hAnsi="Arial"/>
                <w:sz w:val="28"/>
                <w:szCs w:val="28"/>
                <w:b w:val="1"/>
                <w:bCs w:val="1"/>
                <w:color w:val="auto"/>
                <w:w w:val="93"/>
                <w:vertAlign w:val="superscript"/>
              </w:rPr>
              <w:t>(*)</w:t>
            </w:r>
          </w:p>
        </w:tc>
        <w:tc>
          <w:tcPr>
            <w:tcW w:w="1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80" w:type="dxa"/>
            <w:vAlign w:val="bottom"/>
            <w:tcBorders>
              <w:bottom w:val="single" w:sz="8" w:color="auto"/>
            </w:tcBorders>
          </w:tcPr>
          <w:p>
            <w:pPr>
              <w:spacing w:after="0"/>
              <w:rPr>
                <w:sz w:val="22"/>
                <w:szCs w:val="22"/>
                <w:color w:val="auto"/>
              </w:rPr>
            </w:pPr>
          </w:p>
        </w:tc>
        <w:tc>
          <w:tcPr>
            <w:tcW w:w="840" w:type="dxa"/>
            <w:vAlign w:val="bottom"/>
            <w:tcBorders>
              <w:bottom w:val="single" w:sz="8" w:color="auto"/>
            </w:tcBorders>
          </w:tcPr>
          <w:p>
            <w:pPr>
              <w:jc w:val="right"/>
              <w:ind w:right="150"/>
              <w:spacing w:after="0" w:line="250" w:lineRule="exact"/>
              <w:rPr>
                <w:sz w:val="20"/>
                <w:szCs w:val="20"/>
                <w:color w:val="auto"/>
              </w:rPr>
            </w:pPr>
            <w:r>
              <w:rPr>
                <w:rFonts w:ascii="Arial" w:cs="Arial" w:eastAsia="Arial" w:hAnsi="Arial"/>
                <w:sz w:val="17"/>
                <w:szCs w:val="17"/>
                <w:b w:val="1"/>
                <w:bCs w:val="1"/>
                <w:color w:val="auto"/>
              </w:rPr>
              <w:t>Rate</w:t>
            </w:r>
            <w:r>
              <w:rPr>
                <w:rFonts w:ascii="Arial" w:cs="Arial" w:eastAsia="Arial" w:hAnsi="Arial"/>
                <w:sz w:val="28"/>
                <w:szCs w:val="28"/>
                <w:b w:val="1"/>
                <w:bCs w:val="1"/>
                <w:color w:val="auto"/>
                <w:vertAlign w:val="superscript"/>
              </w:rPr>
              <w:t>(*)</w:t>
            </w:r>
          </w:p>
        </w:tc>
        <w:tc>
          <w:tcPr>
            <w:tcW w:w="1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9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1"/>
              </w:rPr>
              <w:t>Net Change</w:t>
            </w:r>
          </w:p>
        </w:tc>
        <w:tc>
          <w:tcPr>
            <w:tcW w:w="160" w:type="dxa"/>
            <w:vAlign w:val="bottom"/>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880" w:type="dxa"/>
            <w:vAlign w:val="bottom"/>
            <w:tcBorders>
              <w:bottom w:val="single" w:sz="8" w:color="auto"/>
            </w:tcBorders>
          </w:tcPr>
          <w:p>
            <w:pPr>
              <w:jc w:val="right"/>
              <w:ind w:right="10"/>
              <w:spacing w:after="0" w:line="250" w:lineRule="exact"/>
              <w:rPr>
                <w:sz w:val="20"/>
                <w:szCs w:val="20"/>
                <w:color w:val="auto"/>
              </w:rPr>
            </w:pPr>
            <w:r>
              <w:rPr>
                <w:rFonts w:ascii="Arial" w:cs="Arial" w:eastAsia="Arial" w:hAnsi="Arial"/>
                <w:sz w:val="17"/>
                <w:szCs w:val="17"/>
                <w:b w:val="1"/>
                <w:bCs w:val="1"/>
                <w:color w:val="auto"/>
                <w:w w:val="93"/>
              </w:rPr>
              <w:t>Volume</w:t>
            </w:r>
            <w:r>
              <w:rPr>
                <w:rFonts w:ascii="Arial" w:cs="Arial" w:eastAsia="Arial" w:hAnsi="Arial"/>
                <w:sz w:val="28"/>
                <w:szCs w:val="28"/>
                <w:b w:val="1"/>
                <w:bCs w:val="1"/>
                <w:color w:val="auto"/>
                <w:w w:val="93"/>
                <w:vertAlign w:val="superscript"/>
              </w:rPr>
              <w:t>(*)</w:t>
            </w:r>
          </w:p>
        </w:tc>
        <w:tc>
          <w:tcPr>
            <w:tcW w:w="1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840" w:type="dxa"/>
            <w:vAlign w:val="bottom"/>
            <w:tcBorders>
              <w:bottom w:val="single" w:sz="8" w:color="auto"/>
            </w:tcBorders>
          </w:tcPr>
          <w:p>
            <w:pPr>
              <w:jc w:val="right"/>
              <w:ind w:right="130"/>
              <w:spacing w:after="0" w:line="250" w:lineRule="exact"/>
              <w:rPr>
                <w:sz w:val="20"/>
                <w:szCs w:val="20"/>
                <w:color w:val="auto"/>
              </w:rPr>
            </w:pPr>
            <w:r>
              <w:rPr>
                <w:rFonts w:ascii="Arial" w:cs="Arial" w:eastAsia="Arial" w:hAnsi="Arial"/>
                <w:sz w:val="17"/>
                <w:szCs w:val="17"/>
                <w:b w:val="1"/>
                <w:bCs w:val="1"/>
                <w:color w:val="auto"/>
              </w:rPr>
              <w:t>Rate</w:t>
            </w:r>
            <w:r>
              <w:rPr>
                <w:rFonts w:ascii="Arial" w:cs="Arial" w:eastAsia="Arial" w:hAnsi="Arial"/>
                <w:sz w:val="28"/>
                <w:szCs w:val="28"/>
                <w:b w:val="1"/>
                <w:bCs w:val="1"/>
                <w:color w:val="auto"/>
                <w:vertAlign w:val="superscript"/>
              </w:rPr>
              <w:t>(*)</w:t>
            </w:r>
          </w:p>
        </w:tc>
        <w:tc>
          <w:tcPr>
            <w:tcW w:w="160" w:type="dxa"/>
            <w:vAlign w:val="bottom"/>
          </w:tcPr>
          <w:p>
            <w:pPr>
              <w:spacing w:after="0"/>
              <w:rPr>
                <w:sz w:val="22"/>
                <w:szCs w:val="22"/>
                <w:color w:val="auto"/>
              </w:rPr>
            </w:pPr>
          </w:p>
        </w:tc>
        <w:tc>
          <w:tcPr>
            <w:tcW w:w="9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1"/>
              </w:rPr>
              <w:t>Net Change</w:t>
            </w:r>
          </w:p>
        </w:tc>
        <w:tc>
          <w:tcPr>
            <w:tcW w:w="80" w:type="dxa"/>
            <w:vAlign w:val="bottom"/>
          </w:tcPr>
          <w:p>
            <w:pPr>
              <w:spacing w:after="0"/>
              <w:rPr>
                <w:sz w:val="22"/>
                <w:szCs w:val="22"/>
                <w:color w:val="auto"/>
              </w:rPr>
            </w:pPr>
          </w:p>
        </w:tc>
      </w:tr>
      <w:tr>
        <w:trPr>
          <w:trHeight w:val="243"/>
        </w:trPr>
        <w:tc>
          <w:tcPr>
            <w:tcW w:w="20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9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980" w:type="dxa"/>
            <w:vAlign w:val="bottom"/>
            <w:gridSpan w:val="5"/>
          </w:tcPr>
          <w:p>
            <w:pPr>
              <w:jc w:val="right"/>
              <w:ind w:right="640"/>
              <w:spacing w:after="0"/>
              <w:rPr>
                <w:sz w:val="20"/>
                <w:szCs w:val="20"/>
                <w:color w:val="auto"/>
              </w:rPr>
            </w:pPr>
            <w:r>
              <w:rPr>
                <w:rFonts w:ascii="Arial" w:cs="Arial" w:eastAsia="Arial" w:hAnsi="Arial"/>
                <w:sz w:val="18"/>
                <w:szCs w:val="18"/>
                <w:color w:val="auto"/>
              </w:rPr>
              <w:t>(in $ thousands)</w:t>
            </w:r>
          </w:p>
        </w:tc>
        <w:tc>
          <w:tcPr>
            <w:tcW w:w="6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7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198"/>
        </w:trPr>
        <w:tc>
          <w:tcPr>
            <w:tcW w:w="20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Increase (decrease) in</w:t>
            </w: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2080" w:type="dxa"/>
            <w:vAlign w:val="bottom"/>
            <w:shd w:val="clear" w:color="auto" w:fill="CCEEFF"/>
          </w:tcPr>
          <w:p>
            <w:pPr>
              <w:ind w:left="260"/>
              <w:spacing w:after="0"/>
              <w:rPr>
                <w:sz w:val="20"/>
                <w:szCs w:val="20"/>
                <w:color w:val="auto"/>
              </w:rPr>
            </w:pPr>
            <w:r>
              <w:rPr>
                <w:rFonts w:ascii="Arial" w:cs="Arial" w:eastAsia="Arial" w:hAnsi="Arial"/>
                <w:sz w:val="18"/>
                <w:szCs w:val="18"/>
                <w:b w:val="1"/>
                <w:bCs w:val="1"/>
                <w:color w:val="auto"/>
              </w:rPr>
              <w:t>interest income</w:t>
            </w:r>
          </w:p>
        </w:tc>
        <w:tc>
          <w:tcPr>
            <w:tcW w:w="120" w:type="dxa"/>
            <w:vAlign w:val="bottom"/>
            <w:shd w:val="clear" w:color="auto" w:fill="CCEEFF"/>
          </w:tcPr>
          <w:p>
            <w:pPr>
              <w:spacing w:after="0"/>
              <w:rPr>
                <w:sz w:val="20"/>
                <w:szCs w:val="20"/>
                <w:color w:val="auto"/>
              </w:rPr>
            </w:pPr>
          </w:p>
        </w:tc>
        <w:tc>
          <w:tcPr>
            <w:tcW w:w="9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4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02"/>
        </w:trPr>
        <w:tc>
          <w:tcPr>
            <w:tcW w:w="2080" w:type="dxa"/>
            <w:vAlign w:val="bottom"/>
          </w:tcPr>
          <w:p>
            <w:pPr>
              <w:spacing w:after="0" w:line="201" w:lineRule="exact"/>
              <w:rPr>
                <w:sz w:val="20"/>
                <w:szCs w:val="20"/>
                <w:color w:val="auto"/>
              </w:rPr>
            </w:pPr>
            <w:r>
              <w:rPr>
                <w:rFonts w:ascii="Arial" w:cs="Arial" w:eastAsia="Arial" w:hAnsi="Arial"/>
                <w:sz w:val="18"/>
                <w:szCs w:val="18"/>
                <w:color w:val="auto"/>
              </w:rPr>
              <w:t>Interest bearing deposits</w:t>
            </w: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0"/>
        </w:trPr>
        <w:tc>
          <w:tcPr>
            <w:tcW w:w="2080" w:type="dxa"/>
            <w:vAlign w:val="bottom"/>
          </w:tcPr>
          <w:p>
            <w:pPr>
              <w:ind w:left="260"/>
              <w:spacing w:after="0"/>
              <w:rPr>
                <w:sz w:val="20"/>
                <w:szCs w:val="20"/>
                <w:color w:val="auto"/>
              </w:rPr>
            </w:pPr>
            <w:r>
              <w:rPr>
                <w:rFonts w:ascii="Arial" w:cs="Arial" w:eastAsia="Arial" w:hAnsi="Arial"/>
                <w:sz w:val="18"/>
                <w:szCs w:val="18"/>
                <w:color w:val="auto"/>
              </w:rPr>
              <w:t>with banks</w:t>
            </w:r>
          </w:p>
        </w:tc>
        <w:tc>
          <w:tcPr>
            <w:tcW w:w="12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41"/>
              <w:spacing w:after="0"/>
              <w:rPr>
                <w:sz w:val="20"/>
                <w:szCs w:val="20"/>
                <w:color w:val="auto"/>
              </w:rPr>
            </w:pPr>
            <w:r>
              <w:rPr>
                <w:rFonts w:ascii="Arial" w:cs="Arial" w:eastAsia="Arial" w:hAnsi="Arial"/>
                <w:sz w:val="18"/>
                <w:szCs w:val="18"/>
                <w:color w:val="auto"/>
              </w:rPr>
              <w:t>2,456</w:t>
            </w:r>
          </w:p>
        </w:tc>
        <w:tc>
          <w:tcPr>
            <w:tcW w:w="24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(14,572)</w:t>
            </w:r>
          </w:p>
        </w:tc>
        <w:tc>
          <w:tcPr>
            <w:tcW w:w="32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(12,116)</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(636)</w:t>
            </w:r>
          </w:p>
        </w:tc>
        <w:tc>
          <w:tcPr>
            <w:tcW w:w="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1"/>
              <w:spacing w:after="0"/>
              <w:rPr>
                <w:sz w:val="20"/>
                <w:szCs w:val="20"/>
                <w:color w:val="auto"/>
              </w:rPr>
            </w:pPr>
            <w:r>
              <w:rPr>
                <w:rFonts w:ascii="Arial" w:cs="Arial" w:eastAsia="Arial" w:hAnsi="Arial"/>
                <w:sz w:val="18"/>
                <w:szCs w:val="18"/>
                <w:color w:val="auto"/>
              </w:rPr>
              <w:t>2,032</w:t>
            </w:r>
          </w:p>
        </w:tc>
        <w:tc>
          <w:tcPr>
            <w:tcW w:w="260" w:type="dxa"/>
            <w:vAlign w:val="bottom"/>
          </w:tcPr>
          <w:p>
            <w:pPr>
              <w:jc w:val="right"/>
              <w:ind w:right="104"/>
              <w:spacing w:after="0"/>
              <w:rPr>
                <w:sz w:val="20"/>
                <w:szCs w:val="20"/>
                <w:color w:val="auto"/>
              </w:rPr>
            </w:pPr>
            <w:r>
              <w:rPr>
                <w:rFonts w:ascii="Arial" w:cs="Arial" w:eastAsia="Arial" w:hAnsi="Arial"/>
                <w:sz w:val="15"/>
                <w:szCs w:val="15"/>
                <w:color w:val="auto"/>
                <w:w w:val="71"/>
              </w:rPr>
              <w:t>$</w:t>
            </w:r>
          </w:p>
        </w:tc>
        <w:tc>
          <w:tcPr>
            <w:tcW w:w="800" w:type="dxa"/>
            <w:vAlign w:val="bottom"/>
            <w:gridSpan w:val="2"/>
          </w:tcPr>
          <w:p>
            <w:pPr>
              <w:jc w:val="right"/>
              <w:ind w:right="1"/>
              <w:spacing w:after="0"/>
              <w:rPr>
                <w:sz w:val="20"/>
                <w:szCs w:val="20"/>
                <w:color w:val="auto"/>
              </w:rPr>
            </w:pPr>
            <w:r>
              <w:rPr>
                <w:rFonts w:ascii="Arial" w:cs="Arial" w:eastAsia="Arial" w:hAnsi="Arial"/>
                <w:sz w:val="18"/>
                <w:szCs w:val="18"/>
                <w:color w:val="auto"/>
              </w:rPr>
              <w:t>1,396</w:t>
            </w:r>
          </w:p>
        </w:tc>
      </w:tr>
      <w:tr>
        <w:trPr>
          <w:trHeight w:val="216"/>
        </w:trPr>
        <w:tc>
          <w:tcPr>
            <w:tcW w:w="208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1,515</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(1,193)</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322</w:t>
            </w:r>
          </w:p>
        </w:tc>
        <w:tc>
          <w:tcPr>
            <w:tcW w:w="1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(61)</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372</w:t>
            </w:r>
          </w:p>
        </w:tc>
        <w:tc>
          <w:tcPr>
            <w:tcW w:w="2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311</w:t>
            </w:r>
          </w:p>
        </w:tc>
      </w:tr>
      <w:tr>
        <w:trPr>
          <w:trHeight w:val="230"/>
        </w:trPr>
        <w:tc>
          <w:tcPr>
            <w:tcW w:w="2080" w:type="dxa"/>
            <w:vAlign w:val="bottom"/>
          </w:tcPr>
          <w:p>
            <w:pPr>
              <w:spacing w:after="0"/>
              <w:rPr>
                <w:sz w:val="20"/>
                <w:szCs w:val="20"/>
                <w:color w:val="auto"/>
              </w:rPr>
            </w:pPr>
            <w:r>
              <w:rPr>
                <w:rFonts w:ascii="Arial" w:cs="Arial" w:eastAsia="Arial" w:hAnsi="Arial"/>
                <w:sz w:val="18"/>
                <w:szCs w:val="18"/>
                <w:color w:val="auto"/>
              </w:rPr>
              <w:t>Loans</w:t>
            </w:r>
          </w:p>
        </w:tc>
        <w:tc>
          <w:tcPr>
            <w:tcW w:w="120" w:type="dxa"/>
            <w:vAlign w:val="bottom"/>
          </w:tcPr>
          <w:p>
            <w:pPr>
              <w:spacing w:after="0"/>
              <w:rPr>
                <w:sz w:val="19"/>
                <w:szCs w:val="19"/>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(18,882)</w:t>
            </w: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(62,033)</w:t>
            </w:r>
          </w:p>
        </w:tc>
        <w:tc>
          <w:tcPr>
            <w:tcW w:w="6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(80,915)</w:t>
            </w:r>
          </w:p>
        </w:tc>
        <w:tc>
          <w:tcPr>
            <w:tcW w:w="100" w:type="dxa"/>
            <w:vAlign w:val="bottom"/>
          </w:tcPr>
          <w:p>
            <w:pPr>
              <w:spacing w:after="0"/>
              <w:rPr>
                <w:sz w:val="19"/>
                <w:szCs w:val="19"/>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(4,587)</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gridSpan w:val="2"/>
          </w:tcPr>
          <w:p>
            <w:pPr>
              <w:jc w:val="right"/>
              <w:ind w:right="81"/>
              <w:spacing w:after="0"/>
              <w:rPr>
                <w:sz w:val="20"/>
                <w:szCs w:val="20"/>
                <w:color w:val="auto"/>
              </w:rPr>
            </w:pPr>
            <w:r>
              <w:rPr>
                <w:rFonts w:ascii="Arial" w:cs="Arial" w:eastAsia="Arial" w:hAnsi="Arial"/>
                <w:sz w:val="18"/>
                <w:szCs w:val="18"/>
                <w:color w:val="auto"/>
              </w:rPr>
              <w:t>18,072</w:t>
            </w:r>
          </w:p>
        </w:tc>
        <w:tc>
          <w:tcPr>
            <w:tcW w:w="260" w:type="dxa"/>
            <w:vAlign w:val="bottom"/>
          </w:tcPr>
          <w:p>
            <w:pPr>
              <w:spacing w:after="0"/>
              <w:rPr>
                <w:sz w:val="19"/>
                <w:szCs w:val="19"/>
                <w:color w:val="auto"/>
              </w:rPr>
            </w:pPr>
          </w:p>
        </w:tc>
        <w:tc>
          <w:tcPr>
            <w:tcW w:w="800" w:type="dxa"/>
            <w:vAlign w:val="bottom"/>
            <w:gridSpan w:val="2"/>
          </w:tcPr>
          <w:p>
            <w:pPr>
              <w:jc w:val="right"/>
              <w:ind w:right="1"/>
              <w:spacing w:after="0"/>
              <w:rPr>
                <w:sz w:val="20"/>
                <w:szCs w:val="20"/>
                <w:color w:val="auto"/>
              </w:rPr>
            </w:pPr>
            <w:r>
              <w:rPr>
                <w:rFonts w:ascii="Arial" w:cs="Arial" w:eastAsia="Arial" w:hAnsi="Arial"/>
                <w:sz w:val="18"/>
                <w:szCs w:val="18"/>
                <w:color w:val="auto"/>
              </w:rPr>
              <w:t>13,485</w:t>
            </w:r>
          </w:p>
        </w:tc>
      </w:tr>
      <w:tr>
        <w:trPr>
          <w:trHeight w:val="223"/>
        </w:trPr>
        <w:tc>
          <w:tcPr>
            <w:tcW w:w="2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5"/>
              </w:rPr>
              <w:t>Total increase (decrease)</w:t>
            </w: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(14,911)</w:t>
            </w:r>
          </w:p>
        </w:tc>
        <w:tc>
          <w:tcPr>
            <w:tcW w:w="1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1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(77,798)</w:t>
            </w:r>
          </w:p>
        </w:tc>
        <w:tc>
          <w:tcPr>
            <w:tcW w:w="1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101"/>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(92,709)</w:t>
            </w:r>
          </w:p>
        </w:tc>
        <w:tc>
          <w:tcPr>
            <w:tcW w:w="16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(5,284)</w:t>
            </w:r>
          </w:p>
        </w:tc>
        <w:tc>
          <w:tcPr>
            <w:tcW w:w="120" w:type="dxa"/>
            <w:vAlign w:val="bottom"/>
            <w:tcBorders>
              <w:top w:val="single" w:sz="8" w:color="CCEEFF"/>
            </w:tcBorders>
            <w:shd w:val="clear" w:color="auto" w:fill="CCEEFF"/>
          </w:tcPr>
          <w:p>
            <w:pPr>
              <w:spacing w:after="0"/>
              <w:rPr>
                <w:sz w:val="19"/>
                <w:szCs w:val="19"/>
                <w:color w:val="auto"/>
              </w:rPr>
            </w:pPr>
          </w:p>
        </w:tc>
        <w:tc>
          <w:tcPr>
            <w:tcW w:w="6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20,476</w:t>
            </w:r>
          </w:p>
        </w:tc>
        <w:tc>
          <w:tcPr>
            <w:tcW w:w="16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104"/>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15,192</w:t>
            </w:r>
          </w:p>
        </w:tc>
        <w:tc>
          <w:tcPr>
            <w:tcW w:w="80" w:type="dxa"/>
            <w:vAlign w:val="bottom"/>
            <w:tcBorders>
              <w:top w:val="single" w:sz="8" w:color="CCEEFF"/>
            </w:tcBorders>
            <w:shd w:val="clear" w:color="auto" w:fill="CCEEFF"/>
          </w:tcPr>
          <w:p>
            <w:pPr>
              <w:spacing w:after="0"/>
              <w:rPr>
                <w:sz w:val="19"/>
                <w:szCs w:val="19"/>
                <w:color w:val="auto"/>
              </w:rPr>
            </w:pPr>
          </w:p>
        </w:tc>
      </w:tr>
      <w:tr>
        <w:trPr>
          <w:trHeight w:val="198"/>
        </w:trPr>
        <w:tc>
          <w:tcPr>
            <w:tcW w:w="2080" w:type="dxa"/>
            <w:vAlign w:val="bottom"/>
          </w:tcPr>
          <w:p>
            <w:pPr>
              <w:spacing w:after="0" w:line="198" w:lineRule="exact"/>
              <w:rPr>
                <w:sz w:val="20"/>
                <w:szCs w:val="20"/>
                <w:color w:val="auto"/>
              </w:rPr>
            </w:pPr>
            <w:r>
              <w:rPr>
                <w:rFonts w:ascii="Arial" w:cs="Arial" w:eastAsia="Arial" w:hAnsi="Arial"/>
                <w:sz w:val="18"/>
                <w:szCs w:val="18"/>
                <w:b w:val="1"/>
                <w:bCs w:val="1"/>
                <w:color w:val="auto"/>
              </w:rPr>
              <w:t>(Increase) decrease in</w:t>
            </w: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4"/>
        </w:trPr>
        <w:tc>
          <w:tcPr>
            <w:tcW w:w="2080" w:type="dxa"/>
            <w:vAlign w:val="bottom"/>
          </w:tcPr>
          <w:p>
            <w:pPr>
              <w:ind w:left="260"/>
              <w:spacing w:after="0"/>
              <w:rPr>
                <w:sz w:val="20"/>
                <w:szCs w:val="20"/>
                <w:color w:val="auto"/>
              </w:rPr>
            </w:pPr>
            <w:r>
              <w:rPr>
                <w:rFonts w:ascii="Arial" w:cs="Arial" w:eastAsia="Arial" w:hAnsi="Arial"/>
                <w:sz w:val="18"/>
                <w:szCs w:val="18"/>
                <w:b w:val="1"/>
                <w:bCs w:val="1"/>
                <w:color w:val="auto"/>
              </w:rPr>
              <w:t>interest expense</w:t>
            </w: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6"/>
        </w:trPr>
        <w:tc>
          <w:tcPr>
            <w:tcW w:w="2080" w:type="dxa"/>
            <w:vAlign w:val="bottom"/>
            <w:shd w:val="clear" w:color="auto" w:fill="CCEEFF"/>
          </w:tcPr>
          <w:p>
            <w:pPr>
              <w:ind w:left="240"/>
              <w:spacing w:after="0"/>
              <w:rPr>
                <w:sz w:val="20"/>
                <w:szCs w:val="20"/>
                <w:color w:val="auto"/>
              </w:rPr>
            </w:pPr>
            <w:r>
              <w:rPr>
                <w:rFonts w:ascii="Arial" w:cs="Arial" w:eastAsia="Arial" w:hAnsi="Arial"/>
                <w:sz w:val="18"/>
                <w:szCs w:val="18"/>
                <w:color w:val="auto"/>
              </w:rPr>
              <w:t>Demand deposits</w:t>
            </w: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(321)</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1,610</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1,289</w:t>
            </w:r>
          </w:p>
        </w:tc>
        <w:tc>
          <w:tcPr>
            <w:tcW w:w="1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(303)</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(357)</w:t>
            </w:r>
          </w:p>
        </w:tc>
        <w:tc>
          <w:tcPr>
            <w:tcW w:w="2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(660)</w:t>
            </w:r>
          </w:p>
        </w:tc>
      </w:tr>
      <w:tr>
        <w:trPr>
          <w:trHeight w:val="216"/>
        </w:trPr>
        <w:tc>
          <w:tcPr>
            <w:tcW w:w="2080" w:type="dxa"/>
            <w:vAlign w:val="bottom"/>
          </w:tcPr>
          <w:p>
            <w:pPr>
              <w:ind w:left="240"/>
              <w:spacing w:after="0"/>
              <w:rPr>
                <w:sz w:val="20"/>
                <w:szCs w:val="20"/>
                <w:color w:val="auto"/>
              </w:rPr>
            </w:pPr>
            <w:r>
              <w:rPr>
                <w:rFonts w:ascii="Arial" w:cs="Arial" w:eastAsia="Arial" w:hAnsi="Arial"/>
                <w:sz w:val="18"/>
                <w:szCs w:val="18"/>
                <w:color w:val="auto"/>
              </w:rPr>
              <w:t>Time deposits</w:t>
            </w:r>
          </w:p>
        </w:tc>
        <w:tc>
          <w:tcPr>
            <w:tcW w:w="120" w:type="dxa"/>
            <w:vAlign w:val="bottom"/>
          </w:tcPr>
          <w:p>
            <w:pPr>
              <w:spacing w:after="0"/>
              <w:rPr>
                <w:sz w:val="18"/>
                <w:szCs w:val="18"/>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(1,445)</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41,791</w:t>
            </w: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40,346</w:t>
            </w:r>
          </w:p>
        </w:tc>
        <w:tc>
          <w:tcPr>
            <w:tcW w:w="10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6,183</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(9,812)</w:t>
            </w:r>
          </w:p>
        </w:tc>
        <w:tc>
          <w:tcPr>
            <w:tcW w:w="260" w:type="dxa"/>
            <w:vAlign w:val="bottom"/>
          </w:tcPr>
          <w:p>
            <w:pPr>
              <w:spacing w:after="0"/>
              <w:rPr>
                <w:sz w:val="18"/>
                <w:szCs w:val="18"/>
                <w:color w:val="auto"/>
              </w:rPr>
            </w:pP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(3,629)</w:t>
            </w:r>
          </w:p>
        </w:tc>
      </w:tr>
      <w:tr>
        <w:trPr>
          <w:trHeight w:val="216"/>
        </w:trPr>
        <w:tc>
          <w:tcPr>
            <w:tcW w:w="2080" w:type="dxa"/>
            <w:vAlign w:val="bottom"/>
            <w:shd w:val="clear" w:color="auto" w:fill="CCEEFF"/>
          </w:tcPr>
          <w:p>
            <w:pPr>
              <w:ind w:left="100"/>
              <w:spacing w:after="0"/>
              <w:rPr>
                <w:sz w:val="20"/>
                <w:szCs w:val="20"/>
                <w:color w:val="auto"/>
              </w:rPr>
            </w:pPr>
            <w:r>
              <w:rPr>
                <w:rFonts w:ascii="Arial" w:cs="Arial" w:eastAsia="Arial" w:hAnsi="Arial"/>
                <w:sz w:val="18"/>
                <w:szCs w:val="18"/>
                <w:color w:val="auto"/>
              </w:rPr>
              <w:t>Total Deposits</w:t>
            </w: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(1,766)</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43,401</w:t>
            </w:r>
          </w:p>
        </w:tc>
        <w:tc>
          <w:tcPr>
            <w:tcW w:w="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41,635</w:t>
            </w:r>
          </w:p>
        </w:tc>
        <w:tc>
          <w:tcPr>
            <w:tcW w:w="1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5,880</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(10,169)</w:t>
            </w:r>
          </w:p>
        </w:tc>
        <w:tc>
          <w:tcPr>
            <w:tcW w:w="26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(4,289)</w:t>
            </w:r>
          </w:p>
        </w:tc>
      </w:tr>
      <w:tr>
        <w:trPr>
          <w:trHeight w:val="202"/>
        </w:trPr>
        <w:tc>
          <w:tcPr>
            <w:tcW w:w="2080" w:type="dxa"/>
            <w:vAlign w:val="bottom"/>
          </w:tcPr>
          <w:p>
            <w:pPr>
              <w:ind w:left="180"/>
              <w:spacing w:after="0" w:line="201" w:lineRule="exact"/>
              <w:rPr>
                <w:sz w:val="20"/>
                <w:szCs w:val="20"/>
                <w:color w:val="auto"/>
              </w:rPr>
            </w:pPr>
            <w:r>
              <w:rPr>
                <w:rFonts w:ascii="Arial" w:cs="Arial" w:eastAsia="Arial" w:hAnsi="Arial"/>
                <w:sz w:val="18"/>
                <w:szCs w:val="18"/>
                <w:color w:val="auto"/>
              </w:rPr>
              <w:t>Securities sold under</w:t>
            </w: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2080" w:type="dxa"/>
            <w:vAlign w:val="bottom"/>
          </w:tcPr>
          <w:p>
            <w:pPr>
              <w:ind w:left="340"/>
              <w:spacing w:after="0"/>
              <w:rPr>
                <w:sz w:val="20"/>
                <w:szCs w:val="20"/>
                <w:color w:val="auto"/>
              </w:rPr>
            </w:pPr>
            <w:r>
              <w:rPr>
                <w:rFonts w:ascii="Arial" w:cs="Arial" w:eastAsia="Arial" w:hAnsi="Arial"/>
                <w:sz w:val="18"/>
                <w:szCs w:val="18"/>
                <w:color w:val="auto"/>
                <w:w w:val="94"/>
              </w:rPr>
              <w:t>repurchase agreement</w:t>
            </w: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080" w:type="dxa"/>
            <w:vAlign w:val="bottom"/>
          </w:tcPr>
          <w:p>
            <w:pPr>
              <w:ind w:left="340"/>
              <w:spacing w:after="0"/>
              <w:rPr>
                <w:sz w:val="20"/>
                <w:szCs w:val="20"/>
                <w:color w:val="auto"/>
              </w:rPr>
            </w:pPr>
            <w:r>
              <w:rPr>
                <w:rFonts w:ascii="Arial" w:cs="Arial" w:eastAsia="Arial" w:hAnsi="Arial"/>
                <w:sz w:val="18"/>
                <w:szCs w:val="18"/>
                <w:color w:val="auto"/>
              </w:rPr>
              <w:t>and short-term</w:t>
            </w:r>
          </w:p>
        </w:tc>
        <w:tc>
          <w:tcPr>
            <w:tcW w:w="1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2080" w:type="dxa"/>
            <w:vAlign w:val="bottom"/>
          </w:tcPr>
          <w:p>
            <w:pPr>
              <w:ind w:left="340"/>
              <w:spacing w:after="0"/>
              <w:rPr>
                <w:sz w:val="20"/>
                <w:szCs w:val="20"/>
                <w:color w:val="auto"/>
              </w:rPr>
            </w:pPr>
            <w:r>
              <w:rPr>
                <w:rFonts w:ascii="Arial" w:cs="Arial" w:eastAsia="Arial" w:hAnsi="Arial"/>
                <w:sz w:val="18"/>
                <w:szCs w:val="18"/>
                <w:color w:val="auto"/>
              </w:rPr>
              <w:t>borrowings and debt</w:t>
            </w:r>
          </w:p>
        </w:tc>
        <w:tc>
          <w:tcPr>
            <w:tcW w:w="120" w:type="dxa"/>
            <w:vAlign w:val="bottom"/>
          </w:tcPr>
          <w:p>
            <w:pPr>
              <w:spacing w:after="0"/>
              <w:rPr>
                <w:sz w:val="20"/>
                <w:szCs w:val="20"/>
                <w:color w:val="auto"/>
              </w:rPr>
            </w:pPr>
          </w:p>
        </w:tc>
        <w:tc>
          <w:tcPr>
            <w:tcW w:w="1020" w:type="dxa"/>
            <w:vAlign w:val="bottom"/>
            <w:gridSpan w:val="2"/>
          </w:tcPr>
          <w:p>
            <w:pPr>
              <w:jc w:val="right"/>
              <w:ind w:right="41"/>
              <w:spacing w:after="0"/>
              <w:rPr>
                <w:sz w:val="20"/>
                <w:szCs w:val="20"/>
                <w:color w:val="auto"/>
              </w:rPr>
            </w:pPr>
            <w:r>
              <w:rPr>
                <w:rFonts w:ascii="Arial" w:cs="Arial" w:eastAsia="Arial" w:hAnsi="Arial"/>
                <w:sz w:val="18"/>
                <w:szCs w:val="18"/>
                <w:color w:val="auto"/>
              </w:rPr>
              <w:t>1,102</w:t>
            </w: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8"/>
                <w:szCs w:val="18"/>
                <w:color w:val="auto"/>
              </w:rPr>
              <w:t>13,883</w:t>
            </w:r>
          </w:p>
        </w:tc>
        <w:tc>
          <w:tcPr>
            <w:tcW w:w="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880" w:type="dxa"/>
            <w:vAlign w:val="bottom"/>
            <w:gridSpan w:val="2"/>
          </w:tcPr>
          <w:p>
            <w:pPr>
              <w:jc w:val="right"/>
              <w:ind w:right="160"/>
              <w:spacing w:after="0"/>
              <w:rPr>
                <w:sz w:val="20"/>
                <w:szCs w:val="20"/>
                <w:color w:val="auto"/>
              </w:rPr>
            </w:pPr>
            <w:r>
              <w:rPr>
                <w:rFonts w:ascii="Arial" w:cs="Arial" w:eastAsia="Arial" w:hAnsi="Arial"/>
                <w:sz w:val="18"/>
                <w:szCs w:val="18"/>
                <w:color w:val="auto"/>
              </w:rPr>
              <w:t>14,985</w:t>
            </w:r>
          </w:p>
        </w:tc>
        <w:tc>
          <w:tcPr>
            <w:tcW w:w="100" w:type="dxa"/>
            <w:vAlign w:val="bottom"/>
          </w:tcPr>
          <w:p>
            <w:pPr>
              <w:spacing w:after="0"/>
              <w:rPr>
                <w:sz w:val="20"/>
                <w:szCs w:val="20"/>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65</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0" w:type="dxa"/>
            <w:vAlign w:val="bottom"/>
            <w:gridSpan w:val="2"/>
          </w:tcPr>
          <w:p>
            <w:pPr>
              <w:jc w:val="right"/>
              <w:ind w:right="21"/>
              <w:spacing w:after="0"/>
              <w:rPr>
                <w:sz w:val="20"/>
                <w:szCs w:val="20"/>
                <w:color w:val="auto"/>
              </w:rPr>
            </w:pPr>
            <w:r>
              <w:rPr>
                <w:rFonts w:ascii="Arial" w:cs="Arial" w:eastAsia="Arial" w:hAnsi="Arial"/>
                <w:sz w:val="18"/>
                <w:szCs w:val="18"/>
                <w:color w:val="auto"/>
              </w:rPr>
              <w:t>(5,068)</w:t>
            </w:r>
          </w:p>
        </w:tc>
        <w:tc>
          <w:tcPr>
            <w:tcW w:w="260" w:type="dxa"/>
            <w:vAlign w:val="bottom"/>
          </w:tcPr>
          <w:p>
            <w:pPr>
              <w:spacing w:after="0"/>
              <w:rPr>
                <w:sz w:val="20"/>
                <w:szCs w:val="20"/>
                <w:color w:val="auto"/>
              </w:rPr>
            </w:pPr>
          </w:p>
        </w:tc>
        <w:tc>
          <w:tcPr>
            <w:tcW w:w="800" w:type="dxa"/>
            <w:vAlign w:val="bottom"/>
            <w:gridSpan w:val="2"/>
          </w:tcPr>
          <w:p>
            <w:pPr>
              <w:jc w:val="right"/>
              <w:spacing w:after="0"/>
              <w:rPr>
                <w:sz w:val="20"/>
                <w:szCs w:val="20"/>
                <w:color w:val="auto"/>
              </w:rPr>
            </w:pPr>
            <w:r>
              <w:rPr>
                <w:rFonts w:ascii="Arial" w:cs="Arial" w:eastAsia="Arial" w:hAnsi="Arial"/>
                <w:sz w:val="18"/>
                <w:szCs w:val="18"/>
                <w:color w:val="auto"/>
              </w:rPr>
              <w:t>(5,003)</w:t>
            </w:r>
          </w:p>
        </w:tc>
      </w:tr>
      <w:tr>
        <w:trPr>
          <w:trHeight w:val="202"/>
        </w:trPr>
        <w:tc>
          <w:tcPr>
            <w:tcW w:w="2080" w:type="dxa"/>
            <w:vAlign w:val="bottom"/>
            <w:shd w:val="clear" w:color="auto" w:fill="CCEEFF"/>
          </w:tcPr>
          <w:p>
            <w:pPr>
              <w:ind w:left="460"/>
              <w:spacing w:after="0" w:line="201" w:lineRule="exact"/>
              <w:rPr>
                <w:sz w:val="20"/>
                <w:szCs w:val="20"/>
                <w:color w:val="auto"/>
              </w:rPr>
            </w:pPr>
            <w:r>
              <w:rPr>
                <w:rFonts w:ascii="Arial" w:cs="Arial" w:eastAsia="Arial" w:hAnsi="Arial"/>
                <w:sz w:val="18"/>
                <w:szCs w:val="18"/>
                <w:color w:val="auto"/>
              </w:rPr>
              <w:t>Long-term</w:t>
            </w: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44"/>
        </w:trPr>
        <w:tc>
          <w:tcPr>
            <w:tcW w:w="2080" w:type="dxa"/>
            <w:vAlign w:val="bottom"/>
            <w:shd w:val="clear" w:color="auto" w:fill="CCEEFF"/>
          </w:tcPr>
          <w:p>
            <w:pPr>
              <w:ind w:left="100"/>
              <w:spacing w:after="0"/>
              <w:rPr>
                <w:sz w:val="20"/>
                <w:szCs w:val="20"/>
                <w:color w:val="auto"/>
              </w:rPr>
            </w:pPr>
            <w:r>
              <w:rPr>
                <w:rFonts w:ascii="Arial" w:cs="Arial" w:eastAsia="Arial" w:hAnsi="Arial"/>
                <w:sz w:val="18"/>
                <w:szCs w:val="18"/>
                <w:color w:val="auto"/>
                <w:w w:val="98"/>
              </w:rPr>
              <w:t>borrowings and debt, net</w:t>
            </w:r>
          </w:p>
        </w:tc>
        <w:tc>
          <w:tcPr>
            <w:tcW w:w="120" w:type="dxa"/>
            <w:vAlign w:val="bottom"/>
            <w:shd w:val="clear" w:color="auto" w:fill="CCEEFF"/>
          </w:tcPr>
          <w:p>
            <w:pPr>
              <w:spacing w:after="0"/>
              <w:rPr>
                <w:sz w:val="21"/>
                <w:szCs w:val="21"/>
                <w:color w:val="auto"/>
              </w:rPr>
            </w:pP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(1,389)</w:t>
            </w:r>
          </w:p>
        </w:tc>
        <w:tc>
          <w:tcPr>
            <w:tcW w:w="6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20,413</w:t>
            </w:r>
          </w:p>
        </w:tc>
        <w:tc>
          <w:tcPr>
            <w:tcW w:w="60" w:type="dxa"/>
            <w:vAlign w:val="bottom"/>
            <w:shd w:val="clear" w:color="auto" w:fill="CCEEFF"/>
          </w:tcPr>
          <w:p>
            <w:pPr>
              <w:spacing w:after="0"/>
              <w:rPr>
                <w:sz w:val="21"/>
                <w:szCs w:val="21"/>
                <w:color w:val="auto"/>
              </w:rPr>
            </w:pPr>
          </w:p>
        </w:tc>
        <w:tc>
          <w:tcPr>
            <w:tcW w:w="260" w:type="dxa"/>
            <w:vAlign w:val="bottom"/>
            <w:shd w:val="clear" w:color="auto" w:fill="CCEEFF"/>
          </w:tcPr>
          <w:p>
            <w:pPr>
              <w:spacing w:after="0"/>
              <w:rPr>
                <w:sz w:val="21"/>
                <w:szCs w:val="21"/>
                <w:color w:val="auto"/>
              </w:rPr>
            </w:pPr>
          </w:p>
        </w:tc>
        <w:tc>
          <w:tcPr>
            <w:tcW w:w="8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19,024</w:t>
            </w:r>
          </w:p>
        </w:tc>
        <w:tc>
          <w:tcPr>
            <w:tcW w:w="100" w:type="dxa"/>
            <w:vAlign w:val="bottom"/>
            <w:shd w:val="clear" w:color="auto" w:fill="CCEEFF"/>
          </w:tcPr>
          <w:p>
            <w:pPr>
              <w:spacing w:after="0"/>
              <w:rPr>
                <w:sz w:val="21"/>
                <w:szCs w:val="21"/>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(5,782)</w:t>
            </w:r>
          </w:p>
        </w:tc>
        <w:tc>
          <w:tcPr>
            <w:tcW w:w="6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(346)</w:t>
            </w:r>
          </w:p>
        </w:tc>
        <w:tc>
          <w:tcPr>
            <w:tcW w:w="260" w:type="dxa"/>
            <w:vAlign w:val="bottom"/>
            <w:shd w:val="clear" w:color="auto" w:fill="CCEEFF"/>
          </w:tcPr>
          <w:p>
            <w:pPr>
              <w:spacing w:after="0"/>
              <w:rPr>
                <w:sz w:val="21"/>
                <w:szCs w:val="21"/>
                <w:color w:val="auto"/>
              </w:rPr>
            </w:pP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(6,128)</w:t>
            </w:r>
          </w:p>
        </w:tc>
      </w:tr>
      <w:tr>
        <w:trPr>
          <w:trHeight w:val="210"/>
        </w:trPr>
        <w:tc>
          <w:tcPr>
            <w:tcW w:w="2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w w:val="95"/>
              </w:rPr>
              <w:t>Total (increase) decrease</w:t>
            </w: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(2,053</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60" w:type="dxa"/>
            <w:vAlign w:val="bottom"/>
            <w:tcBorders>
              <w:bottom w:val="single" w:sz="8" w:color="CCEEFF"/>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77,697</w:t>
            </w:r>
          </w:p>
        </w:tc>
        <w:tc>
          <w:tcPr>
            <w:tcW w:w="1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260" w:type="dxa"/>
            <w:vAlign w:val="bottom"/>
            <w:tcBorders>
              <w:top w:val="single" w:sz="8" w:color="auto"/>
              <w:bottom w:val="single" w:sz="8" w:color="auto"/>
            </w:tcBorders>
          </w:tcPr>
          <w:p>
            <w:pPr>
              <w:jc w:val="right"/>
              <w:ind w:right="101"/>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75,644</w:t>
            </w:r>
          </w:p>
        </w:tc>
        <w:tc>
          <w:tcPr>
            <w:tcW w:w="160" w:type="dxa"/>
            <w:vAlign w:val="bottom"/>
            <w:tcBorders>
              <w:bottom w:val="single" w:sz="8" w:color="CCEEFF"/>
            </w:tcBorders>
          </w:tcPr>
          <w:p>
            <w:pPr>
              <w:spacing w:after="0"/>
              <w:rPr>
                <w:sz w:val="18"/>
                <w:szCs w:val="18"/>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w:t>
            </w:r>
          </w:p>
        </w:tc>
        <w:tc>
          <w:tcPr>
            <w:tcW w:w="1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(15,583</w:t>
            </w:r>
          </w:p>
        </w:tc>
        <w:tc>
          <w:tcPr>
            <w:tcW w:w="160" w:type="dxa"/>
            <w:vAlign w:val="bottom"/>
            <w:tcBorders>
              <w:bottom w:val="single" w:sz="8" w:color="CCEEFF"/>
            </w:tcBorders>
          </w:tcPr>
          <w:p>
            <w:pPr>
              <w:jc w:val="right"/>
              <w:ind w:right="21"/>
              <w:spacing w:after="0"/>
              <w:rPr>
                <w:sz w:val="20"/>
                <w:szCs w:val="20"/>
                <w:color w:val="auto"/>
              </w:rPr>
            </w:pPr>
            <w:r>
              <w:rPr>
                <w:rFonts w:ascii="Arial" w:cs="Arial" w:eastAsia="Arial" w:hAnsi="Arial"/>
                <w:sz w:val="16"/>
                <w:szCs w:val="16"/>
                <w:b w:val="1"/>
                <w:bCs w:val="1"/>
                <w:color w:val="auto"/>
                <w:w w:val="74"/>
              </w:rPr>
              <w:t>)</w:t>
            </w:r>
          </w:p>
        </w:tc>
        <w:tc>
          <w:tcPr>
            <w:tcW w:w="260" w:type="dxa"/>
            <w:vAlign w:val="bottom"/>
            <w:tcBorders>
              <w:top w:val="single" w:sz="8" w:color="auto"/>
              <w:bottom w:val="single" w:sz="8" w:color="auto"/>
            </w:tcBorders>
          </w:tcPr>
          <w:p>
            <w:pPr>
              <w:jc w:val="right"/>
              <w:ind w:right="104"/>
              <w:spacing w:after="0"/>
              <w:rPr>
                <w:sz w:val="20"/>
                <w:szCs w:val="20"/>
                <w:color w:val="auto"/>
              </w:rPr>
            </w:pPr>
            <w:r>
              <w:rPr>
                <w:rFonts w:ascii="Arial" w:cs="Arial" w:eastAsia="Arial" w:hAnsi="Arial"/>
                <w:sz w:val="15"/>
                <w:szCs w:val="15"/>
                <w:b w:val="1"/>
                <w:bCs w:val="1"/>
                <w:color w:val="auto"/>
                <w:w w:val="71"/>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(15,420</w:t>
            </w:r>
          </w:p>
        </w:tc>
        <w:tc>
          <w:tcPr>
            <w:tcW w:w="80" w:type="dxa"/>
            <w:vAlign w:val="bottom"/>
            <w:tcBorders>
              <w:bottom w:val="single" w:sz="8" w:color="CCEEFF"/>
            </w:tcBorders>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178"/>
        </w:trPr>
        <w:tc>
          <w:tcPr>
            <w:tcW w:w="2080" w:type="dxa"/>
            <w:vAlign w:val="bottom"/>
            <w:shd w:val="clear" w:color="auto" w:fill="CCEEFF"/>
          </w:tcPr>
          <w:p>
            <w:pPr>
              <w:spacing w:after="0" w:line="177" w:lineRule="exact"/>
              <w:rPr>
                <w:sz w:val="20"/>
                <w:szCs w:val="20"/>
                <w:color w:val="auto"/>
              </w:rPr>
            </w:pPr>
            <w:r>
              <w:rPr>
                <w:rFonts w:ascii="Arial" w:cs="Arial" w:eastAsia="Arial" w:hAnsi="Arial"/>
                <w:sz w:val="18"/>
                <w:szCs w:val="18"/>
                <w:b w:val="1"/>
                <w:bCs w:val="1"/>
                <w:color w:val="auto"/>
                <w:w w:val="93"/>
              </w:rPr>
              <w:t>Increase (decrease) in net</w:t>
            </w:r>
          </w:p>
        </w:tc>
        <w:tc>
          <w:tcPr>
            <w:tcW w:w="12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4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7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r>
      <w:tr>
        <w:trPr>
          <w:trHeight w:val="261"/>
        </w:trPr>
        <w:tc>
          <w:tcPr>
            <w:tcW w:w="2080" w:type="dxa"/>
            <w:vAlign w:val="bottom"/>
            <w:shd w:val="clear" w:color="auto" w:fill="CCEEFF"/>
          </w:tcPr>
          <w:p>
            <w:pPr>
              <w:ind w:left="260"/>
              <w:spacing w:after="0"/>
              <w:rPr>
                <w:sz w:val="20"/>
                <w:szCs w:val="20"/>
                <w:color w:val="auto"/>
              </w:rPr>
            </w:pPr>
            <w:r>
              <w:rPr>
                <w:rFonts w:ascii="Arial" w:cs="Arial" w:eastAsia="Arial" w:hAnsi="Arial"/>
                <w:sz w:val="18"/>
                <w:szCs w:val="18"/>
                <w:b w:val="1"/>
                <w:bCs w:val="1"/>
                <w:color w:val="auto"/>
              </w:rPr>
              <w:t>interest income</w:t>
            </w:r>
          </w:p>
        </w:tc>
        <w:tc>
          <w:tcPr>
            <w:tcW w:w="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(16,964)</w:t>
            </w:r>
          </w:p>
        </w:tc>
        <w:tc>
          <w:tcPr>
            <w:tcW w:w="240" w:type="dxa"/>
            <w:vAlign w:val="bottom"/>
            <w:gridSpan w:val="2"/>
            <w:shd w:val="clear" w:color="auto" w:fill="CCEEFF"/>
          </w:tcPr>
          <w:p>
            <w:pPr>
              <w:ind w:left="60"/>
              <w:spacing w:after="0"/>
              <w:rPr>
                <w:sz w:val="20"/>
                <w:szCs w:val="20"/>
                <w:color w:val="auto"/>
              </w:rPr>
            </w:pPr>
            <w:r>
              <w:rPr>
                <w:rFonts w:ascii="Arial" w:cs="Arial" w:eastAsia="Arial" w:hAnsi="Arial"/>
                <w:sz w:val="18"/>
                <w:szCs w:val="18"/>
                <w:b w:val="1"/>
                <w:bCs w:val="1"/>
                <w:color w:val="auto"/>
              </w:rPr>
              <w:t>$</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(101)</w:t>
            </w:r>
          </w:p>
        </w:tc>
        <w:tc>
          <w:tcPr>
            <w:tcW w:w="3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b w:val="1"/>
                <w:bCs w:val="1"/>
                <w:color w:val="auto"/>
              </w:rPr>
              <w:t>$</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(17,065)</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(5,121)</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b w:val="1"/>
                <w:bCs w:val="1"/>
                <w:color w:val="auto"/>
              </w:rPr>
              <w:t>4,893</w:t>
            </w:r>
          </w:p>
        </w:tc>
        <w:tc>
          <w:tcPr>
            <w:tcW w:w="260" w:type="dxa"/>
            <w:vAlign w:val="bottom"/>
            <w:shd w:val="clear" w:color="auto" w:fill="CCEEFF"/>
          </w:tcPr>
          <w:p>
            <w:pPr>
              <w:jc w:val="right"/>
              <w:ind w:right="104"/>
              <w:spacing w:after="0"/>
              <w:rPr>
                <w:sz w:val="20"/>
                <w:szCs w:val="20"/>
                <w:color w:val="auto"/>
              </w:rPr>
            </w:pPr>
            <w:r>
              <w:rPr>
                <w:rFonts w:ascii="Arial" w:cs="Arial" w:eastAsia="Arial" w:hAnsi="Arial"/>
                <w:sz w:val="15"/>
                <w:szCs w:val="15"/>
                <w:b w:val="1"/>
                <w:bCs w:val="1"/>
                <w:color w:val="auto"/>
                <w:w w:val="71"/>
              </w:rPr>
              <w:t>$</w:t>
            </w:r>
          </w:p>
        </w:tc>
        <w:tc>
          <w:tcPr>
            <w:tcW w:w="8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(228)</w:t>
            </w:r>
          </w:p>
        </w:tc>
      </w:tr>
      <w:tr>
        <w:trPr>
          <w:trHeight w:val="20"/>
        </w:trPr>
        <w:tc>
          <w:tcPr>
            <w:tcW w:w="20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r>
    </w:tbl>
    <w:p>
      <w:pPr>
        <w:spacing w:after="0" w:line="200" w:lineRule="exact"/>
        <w:rPr>
          <w:sz w:val="20"/>
          <w:szCs w:val="20"/>
          <w:color w:val="auto"/>
        </w:rPr>
      </w:pPr>
    </w:p>
    <w:p>
      <w:pPr>
        <w:spacing w:after="0" w:line="231" w:lineRule="exact"/>
        <w:rPr>
          <w:sz w:val="20"/>
          <w:szCs w:val="20"/>
          <w:color w:val="auto"/>
        </w:rPr>
      </w:pPr>
    </w:p>
    <w:p>
      <w:pPr>
        <w:jc w:val="both"/>
        <w:ind w:left="260" w:right="1580" w:hanging="252"/>
        <w:spacing w:after="0" w:line="209" w:lineRule="auto"/>
        <w:tabs>
          <w:tab w:leader="none" w:pos="235" w:val="left"/>
        </w:tabs>
        <w:numPr>
          <w:ilvl w:val="0"/>
          <w:numId w:val="34"/>
        </w:numPr>
        <w:rPr>
          <w:rFonts w:ascii="Arial" w:cs="Arial" w:eastAsia="Arial" w:hAnsi="Arial"/>
          <w:sz w:val="30"/>
          <w:szCs w:val="30"/>
          <w:color w:val="auto"/>
          <w:vertAlign w:val="superscript"/>
        </w:rPr>
      </w:pPr>
      <w:r>
        <w:rPr>
          <w:rFonts w:ascii="Arial" w:cs="Arial" w:eastAsia="Arial" w:hAnsi="Arial"/>
          <w:sz w:val="18"/>
          <w:szCs w:val="18"/>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Income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2020, the Bank’s interest income totaled $181.0 million, compared to $273.7 million during the year ended December 31, 2019. The $92.7 million, or 34% decrease in interest income during 2020 was primarily attributable to a $77.8 million rate-driven decrease in interest income for total interest-earning assets mostly associated with a 111 basis point decrease in average lending rates to 3.48% in 2020 as lower LIBOR-based market rates more than offset higher lending spreads, coupled with the prudential measures implemented by the Bank as of the onset of the COVID-19 pandemic, which favored low-yielding liquid assets over loan growth during most part of the year, and therefore reduced its average loan volumes by 10% and almost doubled its average liquidity position throughout 2020.</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18" w:right="339" w:bottom="700" w:gutter="0" w:footer="0" w:header="0"/>
        </w:sectPr>
      </w:pPr>
    </w:p>
    <w:bookmarkStart w:id="55" w:name="page56"/>
    <w:bookmarkEnd w:id="55"/>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For the year ended December 31, 2019, the Bank’s interest income totaled $273.7 million, compared to $258.5 million during the year ended December 31, 2018. The $15.2 million, or 6% increase in interest income during 2019 was primarily attributable to (i) an $18.1 million increase in rate-driven interest income on loans, mostly resulting from a 33 basis point increase in average lending rates to 4.59% in 2019 attributable to an increase in market rates, as the Bank generally prices its loans based on short-term LIBOR rates plus a credit spread – with average spreads exhibiting a downward trend due to the Bank’s increased lending to higher quality borrowers such as financial institutions, sovereign and state-owned entities, and exporting corporations with US dollar generation capacity, as a result of the Bank’s efforts to improve its portfolio credit risk profile, which partly offset the overall lending rate increase; and (ii) an $1.4 million increase in rate-driven interest income on deposit placements, also mostly attributable to market rate increases, resulting in a 26 basis point increase in interest yields on deposit placements to 2.22% in 2019.</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Interest Expense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225" w:lineRule="exact"/>
        <w:rPr>
          <w:sz w:val="20"/>
          <w:szCs w:val="20"/>
          <w:color w:val="auto"/>
        </w:rPr>
      </w:pPr>
    </w:p>
    <w:p>
      <w:pPr>
        <w:jc w:val="both"/>
        <w:ind w:right="40"/>
        <w:spacing w:after="0" w:line="259" w:lineRule="auto"/>
        <w:rPr>
          <w:sz w:val="20"/>
          <w:szCs w:val="20"/>
          <w:color w:val="auto"/>
        </w:rPr>
      </w:pPr>
      <w:r>
        <w:rPr>
          <w:rFonts w:ascii="Arial" w:cs="Arial" w:eastAsia="Arial" w:hAnsi="Arial"/>
          <w:sz w:val="18"/>
          <w:szCs w:val="18"/>
          <w:color w:val="auto"/>
        </w:rPr>
        <w:t>For the year ended December 31, 2020, the Bank recorded an interest expense of $88.5 million, a $75.6 million, or 46% annual decrease compared to $164.2 million in 2019. This annual decrease was primarily the result of a $77.7 million rate-driven decrease in interest expense for total interest-bearing liabilities, attributable to lower LIBOR-based market rates and the Bank’s increased reliance on deposits. Overall, the average interest rate paid on interest-bearing liabilities decreased to 1.59% in 2020 from 3.10% in 2019.</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ind w:right="40"/>
        <w:spacing w:after="0" w:line="311" w:lineRule="auto"/>
        <w:rPr>
          <w:sz w:val="20"/>
          <w:szCs w:val="20"/>
          <w:color w:val="auto"/>
        </w:rPr>
      </w:pPr>
      <w:r>
        <w:rPr>
          <w:rFonts w:ascii="Arial" w:cs="Arial" w:eastAsia="Arial" w:hAnsi="Arial"/>
          <w:sz w:val="16"/>
          <w:szCs w:val="16"/>
          <w:color w:val="auto"/>
        </w:rPr>
        <w:t>The Bank recorded an annual increase in interest expense of $15.5 million, or 10% from $148.7 million in 2018 to $164.2 million in 2019. This increase was primarily the result of a $15.6 million rate-driven increase in interest expense for total interest-bearing liabilities, attributable to the upward repricing on LIBOR-based market rates. Overall, the average interest rate paid on interest-bearing liabilities increased to 3.10% in 2019 from 2.76% in 2018.</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Net Interest Income Variation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net interest income totaled $92.4 million, compared to $109.5 million during the year ended December 31, 2019. The $17.1 million, or 16% decrease in net interest income during 2020 was impacted by the Bank’s defensive approach to favor liquidity over loan growth during most of the year, as evidenced by higher average cash position levels (23% of average interest-earning assets in 2020) and lower average loan balances, coupled with the impact of lower market (LIBOR) rates on the Bank’s assets financed by its substantial equity base. These effects were partly offset by the widening of the Bank’s net lending spread differential throughout 2020, as liabilities repriced faster than loans in a decreasing market rate environment, and as the Bank was able to increase lending spreads in its lending origination to top quality borrowers as the COVID-19 pandemic emerged and continued.</w:t>
      </w:r>
    </w:p>
    <w:p>
      <w:pPr>
        <w:spacing w:after="0" w:line="19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2019 vs. 2018</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2019, the Bank’s net interest income totaled $109.5 million, compared to $109.7 million during the year ended December 31, 2018. The $0.2 million, or 0.2% decrease in net interest income during 2019 was impacted by lower average lending volumes and decreased average liability deposit balances, impacting overall funding costs, which were partially offset by the net positive effect of increasing LIBOR-based market rates during 2019 which remained high through the first half of 2019, resulting in a 3 basis point increase in Net Interest Margin (“NIM”) from 1.71% in 2018 to 1.74% in 2019. Due to the short-term nature of its Loan Portfolio, the Bank maintains a narrow interest rate gap structure and is able to pass along LIBOR-based market rates increases in its funding to its asset base.</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56" w:name="page57"/>
    <w:bookmarkEnd w:id="56"/>
    <w:p>
      <w:pPr>
        <w:spacing w:after="0"/>
        <w:rPr>
          <w:sz w:val="20"/>
          <w:szCs w:val="20"/>
          <w:color w:val="auto"/>
        </w:rPr>
      </w:pPr>
      <w:r>
        <w:rPr>
          <w:rFonts w:ascii="Arial" w:cs="Arial" w:eastAsia="Arial" w:hAnsi="Arial"/>
          <w:sz w:val="18"/>
          <w:szCs w:val="18"/>
          <w:i w:val="1"/>
          <w:iCs w:val="1"/>
          <w:color w:val="auto"/>
        </w:rPr>
        <w:t>Distribution of Assets, Liabilities and Equity; Interest Rates and Differentials</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distribution of consolidated average assets, liabilities and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average daily average balances:</w:t>
      </w:r>
    </w:p>
    <w:p>
      <w:pPr>
        <w:spacing w:after="0" w:line="391"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2960" w:type="dxa"/>
            <w:vAlign w:val="bottom"/>
            <w:tcBorders>
              <w:bottom w:val="single" w:sz="8" w:color="auto"/>
            </w:tcBorders>
            <w:gridSpan w:val="8"/>
          </w:tcPr>
          <w:p>
            <w:pPr>
              <w:jc w:val="right"/>
              <w:ind w:right="697"/>
              <w:spacing w:after="0"/>
              <w:rPr>
                <w:sz w:val="20"/>
                <w:szCs w:val="20"/>
                <w:color w:val="auto"/>
              </w:rPr>
            </w:pPr>
            <w:r>
              <w:rPr>
                <w:rFonts w:ascii="Arial" w:cs="Arial" w:eastAsia="Arial" w:hAnsi="Arial"/>
                <w:sz w:val="13"/>
                <w:szCs w:val="13"/>
                <w:b w:val="1"/>
                <w:bCs w:val="1"/>
                <w:color w:val="auto"/>
              </w:rPr>
              <w:t>For the Year ended December 31,</w:t>
            </w:r>
          </w:p>
        </w:tc>
        <w:tc>
          <w:tcPr>
            <w:tcW w:w="7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3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ind w:right="217"/>
              <w:spacing w:after="0" w:line="142" w:lineRule="exact"/>
              <w:rPr>
                <w:sz w:val="20"/>
                <w:szCs w:val="20"/>
                <w:color w:val="auto"/>
              </w:rPr>
            </w:pPr>
            <w:r>
              <w:rPr>
                <w:rFonts w:ascii="Arial" w:cs="Arial" w:eastAsia="Arial" w:hAnsi="Arial"/>
                <w:sz w:val="13"/>
                <w:szCs w:val="13"/>
                <w:b w:val="1"/>
                <w:bCs w:val="1"/>
                <w:color w:val="auto"/>
              </w:rPr>
              <w:t>2020</w:t>
            </w:r>
          </w:p>
        </w:tc>
        <w:tc>
          <w:tcPr>
            <w:tcW w:w="10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ind w:right="257"/>
              <w:spacing w:after="0" w:line="142" w:lineRule="exact"/>
              <w:rPr>
                <w:sz w:val="20"/>
                <w:szCs w:val="20"/>
                <w:color w:val="auto"/>
              </w:rPr>
            </w:pPr>
            <w:r>
              <w:rPr>
                <w:rFonts w:ascii="Arial" w:cs="Arial" w:eastAsia="Arial" w:hAnsi="Arial"/>
                <w:sz w:val="13"/>
                <w:szCs w:val="13"/>
                <w:b w:val="1"/>
                <w:bCs w:val="1"/>
                <w:color w:val="auto"/>
              </w:rPr>
              <w:t>2019</w:t>
            </w:r>
          </w:p>
        </w:tc>
        <w:tc>
          <w:tcPr>
            <w:tcW w:w="12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jc w:val="right"/>
              <w:ind w:right="237"/>
              <w:spacing w:after="0" w:line="142" w:lineRule="exact"/>
              <w:rPr>
                <w:sz w:val="20"/>
                <w:szCs w:val="20"/>
                <w:color w:val="auto"/>
              </w:rPr>
            </w:pPr>
            <w:r>
              <w:rPr>
                <w:rFonts w:ascii="Arial" w:cs="Arial" w:eastAsia="Arial" w:hAnsi="Arial"/>
                <w:sz w:val="13"/>
                <w:szCs w:val="13"/>
                <w:b w:val="1"/>
                <w:bCs w:val="1"/>
                <w:color w:val="auto"/>
              </w:rPr>
              <w:t>2018</w:t>
            </w:r>
          </w:p>
        </w:tc>
        <w:tc>
          <w:tcPr>
            <w:tcW w:w="120" w:type="dxa"/>
            <w:vAlign w:val="bottom"/>
            <w:tcBorders>
              <w:bottom w:val="single" w:sz="8" w:color="auto"/>
            </w:tcBorders>
          </w:tcPr>
          <w:p>
            <w:pPr>
              <w:spacing w:after="0"/>
              <w:rPr>
                <w:sz w:val="12"/>
                <w:szCs w:val="12"/>
                <w:color w:val="auto"/>
              </w:rPr>
            </w:pPr>
          </w:p>
        </w:tc>
        <w:tc>
          <w:tcPr>
            <w:tcW w:w="880" w:type="dxa"/>
            <w:vAlign w:val="bottom"/>
            <w:tcBorders>
              <w:bottom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0"/>
        </w:trPr>
        <w:tc>
          <w:tcPr>
            <w:tcW w:w="2320" w:type="dxa"/>
            <w:vAlign w:val="bottom"/>
            <w:vMerge w:val="restart"/>
          </w:tcPr>
          <w:p>
            <w:pPr>
              <w:ind w:left="840"/>
              <w:spacing w:after="0"/>
              <w:rPr>
                <w:sz w:val="20"/>
                <w:szCs w:val="20"/>
                <w:color w:val="auto"/>
              </w:rPr>
            </w:pPr>
            <w:r>
              <w:rPr>
                <w:rFonts w:ascii="Arial" w:cs="Arial" w:eastAsia="Arial" w:hAnsi="Arial"/>
                <w:sz w:val="13"/>
                <w:szCs w:val="13"/>
                <w:b w:val="1"/>
                <w:bCs w:val="1"/>
                <w:color w:val="auto"/>
              </w:rPr>
              <w:t>Description</w:t>
            </w: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760" w:type="dxa"/>
            <w:vAlign w:val="bottom"/>
            <w:gridSpan w:val="2"/>
          </w:tcPr>
          <w:p>
            <w:pPr>
              <w:jc w:val="right"/>
              <w:ind w:right="260"/>
              <w:spacing w:after="0" w:line="110" w:lineRule="exact"/>
              <w:rPr>
                <w:sz w:val="20"/>
                <w:szCs w:val="20"/>
                <w:color w:val="auto"/>
              </w:rPr>
            </w:pPr>
            <w:r>
              <w:rPr>
                <w:rFonts w:ascii="Arial" w:cs="Arial" w:eastAsia="Arial" w:hAnsi="Arial"/>
                <w:sz w:val="12"/>
                <w:szCs w:val="12"/>
                <w:b w:val="1"/>
                <w:bCs w:val="1"/>
                <w:color w:val="auto"/>
              </w:rPr>
              <w:t>Average</w:t>
            </w:r>
          </w:p>
        </w:tc>
        <w:tc>
          <w:tcPr>
            <w:tcW w:w="40" w:type="dxa"/>
            <w:vAlign w:val="bottom"/>
          </w:tcPr>
          <w:p>
            <w:pPr>
              <w:spacing w:after="0"/>
              <w:rPr>
                <w:sz w:val="9"/>
                <w:szCs w:val="9"/>
                <w:color w:val="auto"/>
              </w:rPr>
            </w:pPr>
          </w:p>
        </w:tc>
        <w:tc>
          <w:tcPr>
            <w:tcW w:w="120" w:type="dxa"/>
            <w:vAlign w:val="bottom"/>
          </w:tcPr>
          <w:p>
            <w:pPr>
              <w:spacing w:after="0"/>
              <w:rPr>
                <w:sz w:val="9"/>
                <w:szCs w:val="9"/>
                <w:color w:val="auto"/>
              </w:rPr>
            </w:pPr>
          </w:p>
        </w:tc>
        <w:tc>
          <w:tcPr>
            <w:tcW w:w="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40" w:type="dxa"/>
            <w:vAlign w:val="bottom"/>
          </w:tcPr>
          <w:p>
            <w:pPr>
              <w:ind w:left="200"/>
              <w:spacing w:after="0" w:line="110" w:lineRule="exact"/>
              <w:rPr>
                <w:sz w:val="20"/>
                <w:szCs w:val="20"/>
                <w:color w:val="auto"/>
              </w:rPr>
            </w:pPr>
            <w:r>
              <w:rPr>
                <w:rFonts w:ascii="Arial" w:cs="Arial" w:eastAsia="Arial" w:hAnsi="Arial"/>
                <w:sz w:val="12"/>
                <w:szCs w:val="12"/>
                <w:b w:val="1"/>
                <w:bCs w:val="1"/>
                <w:color w:val="auto"/>
              </w:rPr>
              <w:t>Average</w:t>
            </w:r>
          </w:p>
        </w:tc>
        <w:tc>
          <w:tcPr>
            <w:tcW w:w="18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920" w:type="dxa"/>
            <w:vAlign w:val="bottom"/>
            <w:gridSpan w:val="2"/>
          </w:tcPr>
          <w:p>
            <w:pPr>
              <w:ind w:left="60"/>
              <w:spacing w:after="0" w:line="110" w:lineRule="exact"/>
              <w:rPr>
                <w:sz w:val="20"/>
                <w:szCs w:val="20"/>
                <w:color w:val="auto"/>
              </w:rPr>
            </w:pPr>
            <w:r>
              <w:rPr>
                <w:rFonts w:ascii="Arial" w:cs="Arial" w:eastAsia="Arial" w:hAnsi="Arial"/>
                <w:sz w:val="12"/>
                <w:szCs w:val="12"/>
                <w:b w:val="1"/>
                <w:bCs w:val="1"/>
                <w:color w:val="auto"/>
              </w:rPr>
              <w:t>Average</w:t>
            </w:r>
          </w:p>
        </w:tc>
        <w:tc>
          <w:tcPr>
            <w:tcW w:w="120" w:type="dxa"/>
            <w:vAlign w:val="bottom"/>
          </w:tcPr>
          <w:p>
            <w:pPr>
              <w:spacing w:after="0"/>
              <w:rPr>
                <w:sz w:val="9"/>
                <w:szCs w:val="9"/>
                <w:color w:val="auto"/>
              </w:rPr>
            </w:pPr>
          </w:p>
        </w:tc>
        <w:tc>
          <w:tcPr>
            <w:tcW w:w="7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40" w:type="dxa"/>
            <w:vAlign w:val="bottom"/>
          </w:tcPr>
          <w:p>
            <w:pPr>
              <w:jc w:val="right"/>
              <w:ind w:right="139"/>
              <w:spacing w:after="0" w:line="110" w:lineRule="exact"/>
              <w:rPr>
                <w:sz w:val="20"/>
                <w:szCs w:val="20"/>
                <w:color w:val="auto"/>
              </w:rPr>
            </w:pPr>
            <w:r>
              <w:rPr>
                <w:rFonts w:ascii="Arial" w:cs="Arial" w:eastAsia="Arial" w:hAnsi="Arial"/>
                <w:sz w:val="12"/>
                <w:szCs w:val="12"/>
                <w:b w:val="1"/>
                <w:bCs w:val="1"/>
                <w:color w:val="auto"/>
              </w:rPr>
              <w:t>Average</w:t>
            </w:r>
          </w:p>
        </w:tc>
        <w:tc>
          <w:tcPr>
            <w:tcW w:w="120" w:type="dxa"/>
            <w:vAlign w:val="bottom"/>
          </w:tcPr>
          <w:p>
            <w:pPr>
              <w:spacing w:after="0"/>
              <w:rPr>
                <w:sz w:val="9"/>
                <w:szCs w:val="9"/>
                <w:color w:val="auto"/>
              </w:rPr>
            </w:pPr>
          </w:p>
        </w:tc>
        <w:tc>
          <w:tcPr>
            <w:tcW w:w="140" w:type="dxa"/>
            <w:vAlign w:val="bottom"/>
          </w:tcPr>
          <w:p>
            <w:pPr>
              <w:spacing w:after="0"/>
              <w:rPr>
                <w:sz w:val="9"/>
                <w:szCs w:val="9"/>
                <w:color w:val="auto"/>
              </w:rPr>
            </w:pPr>
          </w:p>
        </w:tc>
        <w:tc>
          <w:tcPr>
            <w:tcW w:w="840" w:type="dxa"/>
            <w:vAlign w:val="bottom"/>
            <w:gridSpan w:val="2"/>
          </w:tcPr>
          <w:p>
            <w:pPr>
              <w:jc w:val="right"/>
              <w:ind w:right="320"/>
              <w:spacing w:after="0" w:line="110" w:lineRule="exact"/>
              <w:rPr>
                <w:sz w:val="20"/>
                <w:szCs w:val="20"/>
                <w:color w:val="auto"/>
              </w:rPr>
            </w:pPr>
            <w:r>
              <w:rPr>
                <w:rFonts w:ascii="Arial" w:cs="Arial" w:eastAsia="Arial" w:hAnsi="Arial"/>
                <w:sz w:val="12"/>
                <w:szCs w:val="12"/>
                <w:b w:val="1"/>
                <w:bCs w:val="1"/>
                <w:color w:val="auto"/>
              </w:rPr>
              <w:t>Average</w:t>
            </w:r>
          </w:p>
        </w:tc>
        <w:tc>
          <w:tcPr>
            <w:tcW w:w="140" w:type="dxa"/>
            <w:vAlign w:val="bottom"/>
          </w:tcPr>
          <w:p>
            <w:pPr>
              <w:spacing w:after="0"/>
              <w:rPr>
                <w:sz w:val="9"/>
                <w:szCs w:val="9"/>
                <w:color w:val="auto"/>
              </w:rPr>
            </w:pPr>
          </w:p>
        </w:tc>
        <w:tc>
          <w:tcPr>
            <w:tcW w:w="7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80" w:type="dxa"/>
            <w:vAlign w:val="bottom"/>
          </w:tcPr>
          <w:p>
            <w:pPr>
              <w:ind w:left="220"/>
              <w:spacing w:after="0" w:line="110" w:lineRule="exact"/>
              <w:rPr>
                <w:sz w:val="20"/>
                <w:szCs w:val="20"/>
                <w:color w:val="auto"/>
              </w:rPr>
            </w:pPr>
            <w:r>
              <w:rPr>
                <w:rFonts w:ascii="Arial" w:cs="Arial" w:eastAsia="Arial" w:hAnsi="Arial"/>
                <w:sz w:val="12"/>
                <w:szCs w:val="12"/>
                <w:b w:val="1"/>
                <w:bCs w:val="1"/>
                <w:color w:val="auto"/>
              </w:rPr>
              <w:t>Average</w:t>
            </w: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53"/>
        </w:trPr>
        <w:tc>
          <w:tcPr>
            <w:tcW w:w="232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w w:val="94"/>
              </w:rPr>
              <w:t>balance</w:t>
            </w:r>
          </w:p>
        </w:tc>
        <w:tc>
          <w:tcPr>
            <w:tcW w:w="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Interest</w:t>
            </w:r>
          </w:p>
        </w:tc>
        <w:tc>
          <w:tcPr>
            <w:tcW w:w="100" w:type="dxa"/>
            <w:vAlign w:val="bottom"/>
          </w:tcPr>
          <w:p>
            <w:pPr>
              <w:spacing w:after="0"/>
              <w:rPr>
                <w:sz w:val="13"/>
                <w:szCs w:val="13"/>
                <w:color w:val="auto"/>
              </w:rPr>
            </w:pPr>
          </w:p>
        </w:tc>
        <w:tc>
          <w:tcPr>
            <w:tcW w:w="840" w:type="dxa"/>
            <w:vAlign w:val="bottom"/>
            <w:tcBorders>
              <w:bottom w:val="single" w:sz="8" w:color="auto"/>
            </w:tcBorders>
          </w:tcPr>
          <w:p>
            <w:pPr>
              <w:ind w:left="160"/>
              <w:spacing w:after="0"/>
              <w:rPr>
                <w:sz w:val="20"/>
                <w:szCs w:val="20"/>
                <w:color w:val="auto"/>
              </w:rPr>
            </w:pPr>
            <w:r>
              <w:rPr>
                <w:rFonts w:ascii="Arial" w:cs="Arial" w:eastAsia="Arial" w:hAnsi="Arial"/>
                <w:sz w:val="13"/>
                <w:szCs w:val="13"/>
                <w:b w:val="1"/>
                <w:bCs w:val="1"/>
                <w:color w:val="auto"/>
              </w:rPr>
              <w:t>yield/rate</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w w:val="99"/>
              </w:rPr>
              <w:t>balance</w:t>
            </w:r>
          </w:p>
        </w:tc>
        <w:tc>
          <w:tcPr>
            <w:tcW w:w="22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Interest</w:t>
            </w:r>
          </w:p>
        </w:tc>
        <w:tc>
          <w:tcPr>
            <w:tcW w:w="120" w:type="dxa"/>
            <w:vAlign w:val="bottom"/>
          </w:tcPr>
          <w:p>
            <w:pPr>
              <w:spacing w:after="0"/>
              <w:rPr>
                <w:sz w:val="13"/>
                <w:szCs w:val="13"/>
                <w:color w:val="auto"/>
              </w:rPr>
            </w:pPr>
          </w:p>
        </w:tc>
        <w:tc>
          <w:tcPr>
            <w:tcW w:w="840" w:type="dxa"/>
            <w:vAlign w:val="bottom"/>
            <w:tcBorders>
              <w:bottom w:val="single" w:sz="8" w:color="auto"/>
            </w:tcBorders>
          </w:tcPr>
          <w:p>
            <w:pPr>
              <w:jc w:val="right"/>
              <w:ind w:right="99"/>
              <w:spacing w:after="0"/>
              <w:rPr>
                <w:sz w:val="20"/>
                <w:szCs w:val="20"/>
                <w:color w:val="auto"/>
              </w:rPr>
            </w:pPr>
            <w:r>
              <w:rPr>
                <w:rFonts w:ascii="Arial" w:cs="Arial" w:eastAsia="Arial" w:hAnsi="Arial"/>
                <w:sz w:val="13"/>
                <w:szCs w:val="13"/>
                <w:b w:val="1"/>
                <w:bCs w:val="1"/>
                <w:color w:val="auto"/>
              </w:rPr>
              <w:t>yield/rate</w:t>
            </w:r>
          </w:p>
        </w:tc>
        <w:tc>
          <w:tcPr>
            <w:tcW w:w="1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w w:val="99"/>
              </w:rPr>
              <w:t>balance</w:t>
            </w:r>
          </w:p>
        </w:tc>
        <w:tc>
          <w:tcPr>
            <w:tcW w:w="1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center"/>
              <w:ind w:right="77"/>
              <w:spacing w:after="0"/>
              <w:rPr>
                <w:sz w:val="20"/>
                <w:szCs w:val="20"/>
                <w:color w:val="auto"/>
              </w:rPr>
            </w:pPr>
            <w:r>
              <w:rPr>
                <w:rFonts w:ascii="Arial" w:cs="Arial" w:eastAsia="Arial" w:hAnsi="Arial"/>
                <w:sz w:val="13"/>
                <w:szCs w:val="13"/>
                <w:b w:val="1"/>
                <w:bCs w:val="1"/>
                <w:color w:val="auto"/>
                <w:w w:val="89"/>
              </w:rPr>
              <w:t>Interest</w:t>
            </w:r>
          </w:p>
        </w:tc>
        <w:tc>
          <w:tcPr>
            <w:tcW w:w="120" w:type="dxa"/>
            <w:vAlign w:val="bottom"/>
          </w:tcPr>
          <w:p>
            <w:pPr>
              <w:spacing w:after="0"/>
              <w:rPr>
                <w:sz w:val="13"/>
                <w:szCs w:val="13"/>
                <w:color w:val="auto"/>
              </w:rPr>
            </w:pPr>
          </w:p>
        </w:tc>
        <w:tc>
          <w:tcPr>
            <w:tcW w:w="880" w:type="dxa"/>
            <w:vAlign w:val="bottom"/>
            <w:tcBorders>
              <w:bottom w:val="single" w:sz="8" w:color="auto"/>
            </w:tcBorders>
          </w:tcPr>
          <w:p>
            <w:pPr>
              <w:ind w:left="180"/>
              <w:spacing w:after="0"/>
              <w:rPr>
                <w:sz w:val="20"/>
                <w:szCs w:val="20"/>
                <w:color w:val="auto"/>
              </w:rPr>
            </w:pPr>
            <w:r>
              <w:rPr>
                <w:rFonts w:ascii="Arial" w:cs="Arial" w:eastAsia="Arial" w:hAnsi="Arial"/>
                <w:sz w:val="13"/>
                <w:szCs w:val="13"/>
                <w:b w:val="1"/>
                <w:bCs w:val="1"/>
                <w:color w:val="auto"/>
              </w:rPr>
              <w:t>yield/rate</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3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960" w:type="dxa"/>
            <w:vAlign w:val="bottom"/>
            <w:gridSpan w:val="8"/>
          </w:tcPr>
          <w:p>
            <w:pPr>
              <w:jc w:val="right"/>
              <w:ind w:right="677"/>
              <w:spacing w:after="0"/>
              <w:rPr>
                <w:sz w:val="20"/>
                <w:szCs w:val="20"/>
                <w:color w:val="auto"/>
              </w:rPr>
            </w:pPr>
            <w:r>
              <w:rPr>
                <w:rFonts w:ascii="Arial" w:cs="Arial" w:eastAsia="Arial" w:hAnsi="Arial"/>
                <w:sz w:val="13"/>
                <w:szCs w:val="13"/>
                <w:b w:val="1"/>
                <w:bCs w:val="1"/>
                <w:color w:val="auto"/>
              </w:rPr>
              <w:t>(in $ millions, except percentages)</w:t>
            </w:r>
          </w:p>
        </w:tc>
        <w:tc>
          <w:tcPr>
            <w:tcW w:w="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5"/>
        </w:trPr>
        <w:tc>
          <w:tcPr>
            <w:tcW w:w="232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Interest-Earning Assets</w:t>
            </w: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20" w:type="dxa"/>
            <w:vAlign w:val="bottom"/>
          </w:tcPr>
          <w:p>
            <w:pPr>
              <w:spacing w:after="0" w:line="135" w:lineRule="exact"/>
              <w:rPr>
                <w:sz w:val="20"/>
                <w:szCs w:val="20"/>
                <w:color w:val="auto"/>
              </w:rPr>
            </w:pPr>
            <w:r>
              <w:rPr>
                <w:rFonts w:ascii="Arial" w:cs="Arial" w:eastAsia="Arial" w:hAnsi="Arial"/>
                <w:sz w:val="13"/>
                <w:szCs w:val="13"/>
                <w:color w:val="auto"/>
              </w:rPr>
              <w:t>Interest bearing deposits with banks</w:t>
            </w:r>
          </w:p>
        </w:tc>
        <w:tc>
          <w:tcPr>
            <w:tcW w:w="200" w:type="dxa"/>
            <w:vAlign w:val="bottom"/>
            <w:gridSpan w:val="2"/>
          </w:tcPr>
          <w:p>
            <w:pPr>
              <w:jc w:val="right"/>
              <w:ind w:right="8"/>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1,502</w:t>
            </w:r>
          </w:p>
        </w:tc>
        <w:tc>
          <w:tcPr>
            <w:tcW w:w="1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w:t>
            </w:r>
          </w:p>
        </w:tc>
        <w:tc>
          <w:tcPr>
            <w:tcW w:w="8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4.9</w:t>
            </w:r>
          </w:p>
        </w:tc>
        <w:tc>
          <w:tcPr>
            <w:tcW w:w="1020" w:type="dxa"/>
            <w:vAlign w:val="bottom"/>
            <w:gridSpan w:val="2"/>
          </w:tcPr>
          <w:p>
            <w:pPr>
              <w:ind w:left="620"/>
              <w:spacing w:after="0" w:line="135" w:lineRule="exact"/>
              <w:rPr>
                <w:sz w:val="20"/>
                <w:szCs w:val="20"/>
                <w:color w:val="auto"/>
              </w:rPr>
            </w:pPr>
            <w:r>
              <w:rPr>
                <w:rFonts w:ascii="Arial" w:cs="Arial" w:eastAsia="Arial" w:hAnsi="Arial"/>
                <w:sz w:val="13"/>
                <w:szCs w:val="13"/>
                <w:color w:val="auto"/>
              </w:rPr>
              <w:t>0.32%</w:t>
            </w:r>
          </w:p>
        </w:tc>
        <w:tc>
          <w:tcPr>
            <w:tcW w:w="180" w:type="dxa"/>
            <w:vAlign w:val="bottom"/>
            <w:gridSpan w:val="2"/>
          </w:tcPr>
          <w:p>
            <w:pPr>
              <w:jc w:val="right"/>
              <w:ind w:right="8"/>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756</w:t>
            </w:r>
          </w:p>
        </w:tc>
        <w:tc>
          <w:tcPr>
            <w:tcW w:w="120" w:type="dxa"/>
            <w:vAlign w:val="bottom"/>
          </w:tcPr>
          <w:p>
            <w:pPr>
              <w:jc w:val="right"/>
              <w:ind w:right="8"/>
              <w:spacing w:after="0"/>
              <w:rPr>
                <w:sz w:val="20"/>
                <w:szCs w:val="20"/>
                <w:color w:val="auto"/>
              </w:rPr>
            </w:pPr>
            <w:r>
              <w:rPr>
                <w:rFonts w:ascii="Arial" w:cs="Arial" w:eastAsia="Arial" w:hAnsi="Arial"/>
                <w:sz w:val="10"/>
                <w:szCs w:val="10"/>
                <w:color w:val="auto"/>
                <w:w w:val="71"/>
              </w:rPr>
              <w:t>$</w:t>
            </w: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17.0</w:t>
            </w:r>
          </w:p>
        </w:tc>
        <w:tc>
          <w:tcPr>
            <w:tcW w:w="11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2.22% $</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784</w:t>
            </w:r>
          </w:p>
        </w:tc>
        <w:tc>
          <w:tcPr>
            <w:tcW w:w="140" w:type="dxa"/>
            <w:vAlign w:val="bottom"/>
          </w:tcPr>
          <w:p>
            <w:pPr>
              <w:jc w:val="right"/>
              <w:ind w:right="28"/>
              <w:spacing w:after="0"/>
              <w:rPr>
                <w:sz w:val="20"/>
                <w:szCs w:val="20"/>
                <w:color w:val="auto"/>
              </w:rPr>
            </w:pPr>
            <w:r>
              <w:rPr>
                <w:rFonts w:ascii="Arial" w:cs="Arial" w:eastAsia="Arial" w:hAnsi="Arial"/>
                <w:sz w:val="10"/>
                <w:szCs w:val="10"/>
                <w:color w:val="auto"/>
                <w:w w:val="71"/>
              </w:rPr>
              <w:t>$</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15.6</w:t>
            </w:r>
          </w:p>
        </w:tc>
        <w:tc>
          <w:tcPr>
            <w:tcW w:w="1020" w:type="dxa"/>
            <w:vAlign w:val="bottom"/>
            <w:gridSpan w:val="2"/>
          </w:tcPr>
          <w:p>
            <w:pPr>
              <w:ind w:left="660"/>
              <w:spacing w:after="0" w:line="135" w:lineRule="exact"/>
              <w:rPr>
                <w:sz w:val="20"/>
                <w:szCs w:val="20"/>
                <w:color w:val="auto"/>
              </w:rPr>
            </w:pPr>
            <w:r>
              <w:rPr>
                <w:rFonts w:ascii="Arial" w:cs="Arial" w:eastAsia="Arial" w:hAnsi="Arial"/>
                <w:sz w:val="13"/>
                <w:szCs w:val="13"/>
                <w:color w:val="auto"/>
                <w:w w:val="92"/>
              </w:rPr>
              <w:t>1.96%</w:t>
            </w:r>
          </w:p>
        </w:tc>
        <w:tc>
          <w:tcPr>
            <w:tcW w:w="0" w:type="dxa"/>
            <w:vAlign w:val="bottom"/>
          </w:tcPr>
          <w:p>
            <w:pPr>
              <w:spacing w:after="0"/>
              <w:rPr>
                <w:sz w:val="1"/>
                <w:szCs w:val="1"/>
                <w:color w:val="auto"/>
              </w:rPr>
            </w:pPr>
          </w:p>
        </w:tc>
      </w:tr>
      <w:tr>
        <w:trPr>
          <w:trHeight w:val="175"/>
        </w:trPr>
        <w:tc>
          <w:tcPr>
            <w:tcW w:w="2320" w:type="dxa"/>
            <w:vAlign w:val="bottom"/>
            <w:shd w:val="clear" w:color="auto" w:fill="CCEEFF"/>
          </w:tcPr>
          <w:p>
            <w:pPr>
              <w:spacing w:after="0" w:line="176" w:lineRule="exact"/>
              <w:rPr>
                <w:sz w:val="20"/>
                <w:szCs w:val="20"/>
                <w:color w:val="auto"/>
              </w:rPr>
            </w:pPr>
            <w:r>
              <w:rPr>
                <w:rFonts w:ascii="Arial" w:cs="Arial" w:eastAsia="Arial" w:hAnsi="Arial"/>
                <w:sz w:val="13"/>
                <w:szCs w:val="13"/>
                <w:color w:val="auto"/>
              </w:rPr>
              <w:t xml:space="preserve">Investment securities </w:t>
            </w:r>
            <w:r>
              <w:rPr>
                <w:rFonts w:ascii="Arial" w:cs="Arial" w:eastAsia="Arial" w:hAnsi="Arial"/>
                <w:sz w:val="20"/>
                <w:szCs w:val="20"/>
                <w:color w:val="auto"/>
                <w:vertAlign w:val="superscript"/>
              </w:rPr>
              <w:t>(1)</w:t>
            </w: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157</w:t>
            </w:r>
          </w:p>
        </w:tc>
        <w:tc>
          <w:tcPr>
            <w:tcW w:w="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w:t>
            </w:r>
          </w:p>
        </w:tc>
        <w:tc>
          <w:tcPr>
            <w:tcW w:w="1020" w:type="dxa"/>
            <w:vAlign w:val="bottom"/>
            <w:gridSpan w:val="2"/>
            <w:shd w:val="clear" w:color="auto" w:fill="CCEEFF"/>
          </w:tcPr>
          <w:p>
            <w:pPr>
              <w:ind w:left="620"/>
              <w:spacing w:after="0"/>
              <w:rPr>
                <w:sz w:val="20"/>
                <w:szCs w:val="20"/>
                <w:color w:val="auto"/>
              </w:rPr>
            </w:pPr>
            <w:r>
              <w:rPr>
                <w:rFonts w:ascii="Arial" w:cs="Arial" w:eastAsia="Arial" w:hAnsi="Arial"/>
                <w:sz w:val="13"/>
                <w:szCs w:val="13"/>
                <w:color w:val="auto"/>
              </w:rPr>
              <w:t>2.21%</w:t>
            </w: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90</w:t>
            </w:r>
          </w:p>
        </w:tc>
        <w:tc>
          <w:tcPr>
            <w:tcW w:w="120" w:type="dxa"/>
            <w:vAlign w:val="bottom"/>
            <w:shd w:val="clear" w:color="auto" w:fill="CCEEFF"/>
          </w:tcPr>
          <w:p>
            <w:pPr>
              <w:spacing w:after="0"/>
              <w:rPr>
                <w:sz w:val="15"/>
                <w:szCs w:val="15"/>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3.2</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3.52%</w:t>
            </w:r>
          </w:p>
        </w:tc>
        <w:tc>
          <w:tcPr>
            <w:tcW w:w="14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92</w:t>
            </w:r>
          </w:p>
        </w:tc>
        <w:tc>
          <w:tcPr>
            <w:tcW w:w="14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w w:val="92"/>
              </w:rPr>
              <w:t>3.12%</w:t>
            </w:r>
          </w:p>
        </w:tc>
        <w:tc>
          <w:tcPr>
            <w:tcW w:w="0" w:type="dxa"/>
            <w:vAlign w:val="bottom"/>
          </w:tcPr>
          <w:p>
            <w:pPr>
              <w:spacing w:after="0"/>
              <w:rPr>
                <w:sz w:val="1"/>
                <w:szCs w:val="1"/>
                <w:color w:val="auto"/>
              </w:rPr>
            </w:pPr>
          </w:p>
        </w:tc>
      </w:tr>
      <w:tr>
        <w:trPr>
          <w:trHeight w:val="149"/>
        </w:trPr>
        <w:tc>
          <w:tcPr>
            <w:tcW w:w="2320" w:type="dxa"/>
            <w:vAlign w:val="bottom"/>
          </w:tcPr>
          <w:p>
            <w:pPr>
              <w:spacing w:after="0"/>
              <w:rPr>
                <w:sz w:val="20"/>
                <w:szCs w:val="20"/>
                <w:color w:val="auto"/>
              </w:rPr>
            </w:pPr>
            <w:r>
              <w:rPr>
                <w:rFonts w:ascii="Arial" w:cs="Arial" w:eastAsia="Arial" w:hAnsi="Arial"/>
                <w:sz w:val="13"/>
                <w:szCs w:val="13"/>
                <w:color w:val="auto"/>
              </w:rPr>
              <w:t>Loans</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4,881</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3"/>
                <w:szCs w:val="13"/>
                <w:color w:val="auto"/>
              </w:rPr>
              <w:t>172.5</w:t>
            </w:r>
          </w:p>
        </w:tc>
        <w:tc>
          <w:tcPr>
            <w:tcW w:w="1020" w:type="dxa"/>
            <w:vAlign w:val="bottom"/>
            <w:gridSpan w:val="2"/>
          </w:tcPr>
          <w:p>
            <w:pPr>
              <w:ind w:left="620"/>
              <w:spacing w:after="0"/>
              <w:rPr>
                <w:sz w:val="20"/>
                <w:szCs w:val="20"/>
                <w:color w:val="auto"/>
              </w:rPr>
            </w:pPr>
            <w:r>
              <w:rPr>
                <w:rFonts w:ascii="Arial" w:cs="Arial" w:eastAsia="Arial" w:hAnsi="Arial"/>
                <w:sz w:val="13"/>
                <w:szCs w:val="13"/>
                <w:color w:val="auto"/>
              </w:rPr>
              <w:t>3.48%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5,449</w:t>
            </w:r>
          </w:p>
        </w:tc>
        <w:tc>
          <w:tcPr>
            <w:tcW w:w="120" w:type="dxa"/>
            <w:vAlign w:val="bottom"/>
          </w:tcPr>
          <w:p>
            <w:pPr>
              <w:spacing w:after="0"/>
              <w:rPr>
                <w:sz w:val="12"/>
                <w:szCs w:val="12"/>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253.5</w:t>
            </w:r>
          </w:p>
        </w:tc>
        <w:tc>
          <w:tcPr>
            <w:tcW w:w="960" w:type="dxa"/>
            <w:vAlign w:val="bottom"/>
            <w:gridSpan w:val="2"/>
          </w:tcPr>
          <w:p>
            <w:pPr>
              <w:jc w:val="right"/>
              <w:ind w:right="20"/>
              <w:spacing w:after="0"/>
              <w:rPr>
                <w:sz w:val="20"/>
                <w:szCs w:val="20"/>
                <w:color w:val="auto"/>
              </w:rPr>
            </w:pPr>
            <w:r>
              <w:rPr>
                <w:rFonts w:ascii="Arial" w:cs="Arial" w:eastAsia="Arial" w:hAnsi="Arial"/>
                <w:sz w:val="13"/>
                <w:szCs w:val="13"/>
                <w:color w:val="auto"/>
              </w:rPr>
              <w:t>4.59%</w:t>
            </w:r>
          </w:p>
        </w:tc>
        <w:tc>
          <w:tcPr>
            <w:tcW w:w="140" w:type="dxa"/>
            <w:vAlign w:val="bottom"/>
          </w:tcPr>
          <w:p>
            <w:pPr>
              <w:spacing w:after="0"/>
              <w:rPr>
                <w:sz w:val="12"/>
                <w:szCs w:val="12"/>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5,552</w:t>
            </w:r>
          </w:p>
        </w:tc>
        <w:tc>
          <w:tcPr>
            <w:tcW w:w="140" w:type="dxa"/>
            <w:vAlign w:val="bottom"/>
          </w:tcPr>
          <w:p>
            <w:pPr>
              <w:spacing w:after="0"/>
              <w:rPr>
                <w:sz w:val="12"/>
                <w:szCs w:val="12"/>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240.0</w:t>
            </w:r>
          </w:p>
        </w:tc>
        <w:tc>
          <w:tcPr>
            <w:tcW w:w="1020" w:type="dxa"/>
            <w:vAlign w:val="bottom"/>
            <w:gridSpan w:val="2"/>
          </w:tcPr>
          <w:p>
            <w:pPr>
              <w:ind w:left="660"/>
              <w:spacing w:after="0"/>
              <w:rPr>
                <w:sz w:val="20"/>
                <w:szCs w:val="20"/>
                <w:color w:val="auto"/>
              </w:rPr>
            </w:pPr>
            <w:r>
              <w:rPr>
                <w:rFonts w:ascii="Arial" w:cs="Arial" w:eastAsia="Arial" w:hAnsi="Arial"/>
                <w:sz w:val="13"/>
                <w:szCs w:val="13"/>
                <w:color w:val="auto"/>
                <w:w w:val="92"/>
              </w:rPr>
              <w:t>4.26%</w:t>
            </w:r>
          </w:p>
        </w:tc>
        <w:tc>
          <w:tcPr>
            <w:tcW w:w="0" w:type="dxa"/>
            <w:vAlign w:val="bottom"/>
          </w:tcPr>
          <w:p>
            <w:pPr>
              <w:spacing w:after="0"/>
              <w:rPr>
                <w:sz w:val="1"/>
                <w:szCs w:val="1"/>
                <w:color w:val="auto"/>
              </w:rPr>
            </w:pPr>
          </w:p>
        </w:tc>
      </w:tr>
      <w:tr>
        <w:trPr>
          <w:trHeight w:val="162"/>
        </w:trPr>
        <w:tc>
          <w:tcPr>
            <w:tcW w:w="23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interest-earning assets</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6,540</w:t>
            </w: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b w:val="1"/>
                <w:bCs w:val="1"/>
                <w:color w:val="auto"/>
              </w:rPr>
              <w:t>$</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181.0</w:t>
            </w:r>
          </w:p>
        </w:tc>
        <w:tc>
          <w:tcPr>
            <w:tcW w:w="1020" w:type="dxa"/>
            <w:vAlign w:val="bottom"/>
            <w:gridSpan w:val="2"/>
            <w:shd w:val="clear" w:color="auto" w:fill="CCEEFF"/>
          </w:tcPr>
          <w:p>
            <w:pPr>
              <w:ind w:left="620"/>
              <w:spacing w:after="0" w:line="162" w:lineRule="exact"/>
              <w:rPr>
                <w:sz w:val="20"/>
                <w:szCs w:val="20"/>
                <w:color w:val="auto"/>
              </w:rPr>
            </w:pPr>
            <w:r>
              <w:rPr>
                <w:rFonts w:ascii="Arial" w:cs="Arial" w:eastAsia="Arial" w:hAnsi="Arial"/>
                <w:sz w:val="10"/>
                <w:szCs w:val="10"/>
                <w:b w:val="1"/>
                <w:bCs w:val="1"/>
                <w:color w:val="auto"/>
              </w:rPr>
              <w:t>2.72</w:t>
            </w:r>
            <w:r>
              <w:rPr>
                <w:rFonts w:ascii="Arial" w:cs="Arial" w:eastAsia="Arial" w:hAnsi="Arial"/>
                <w:sz w:val="18"/>
                <w:szCs w:val="18"/>
                <w:b w:val="1"/>
                <w:bCs w:val="1"/>
                <w:color w:val="auto"/>
                <w:vertAlign w:val="superscript"/>
              </w:rPr>
              <w:t>%</w:t>
            </w:r>
          </w:p>
        </w:tc>
        <w:tc>
          <w:tcPr>
            <w:tcW w:w="18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6,294</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273.7</w:t>
            </w:r>
          </w:p>
        </w:tc>
        <w:tc>
          <w:tcPr>
            <w:tcW w:w="1100" w:type="dxa"/>
            <w:vAlign w:val="bottom"/>
            <w:gridSpan w:val="3"/>
            <w:shd w:val="clear" w:color="auto" w:fill="CCEEFF"/>
          </w:tcPr>
          <w:p>
            <w:pPr>
              <w:jc w:val="right"/>
              <w:spacing w:after="0" w:line="162" w:lineRule="exact"/>
              <w:rPr>
                <w:sz w:val="20"/>
                <w:szCs w:val="20"/>
                <w:color w:val="auto"/>
              </w:rPr>
            </w:pPr>
            <w:r>
              <w:rPr>
                <w:rFonts w:ascii="Arial" w:cs="Arial" w:eastAsia="Arial" w:hAnsi="Arial"/>
                <w:sz w:val="10"/>
                <w:szCs w:val="10"/>
                <w:b w:val="1"/>
                <w:bCs w:val="1"/>
                <w:color w:val="auto"/>
              </w:rPr>
              <w:t>4.29</w:t>
            </w:r>
            <w:r>
              <w:rPr>
                <w:rFonts w:ascii="Arial" w:cs="Arial" w:eastAsia="Arial" w:hAnsi="Arial"/>
                <w:sz w:val="18"/>
                <w:szCs w:val="18"/>
                <w:b w:val="1"/>
                <w:bCs w:val="1"/>
                <w:color w:val="auto"/>
                <w:vertAlign w:val="superscript"/>
              </w:rPr>
              <w:t>%</w:t>
            </w:r>
            <w:r>
              <w:rPr>
                <w:rFonts w:ascii="Arial" w:cs="Arial" w:eastAsia="Arial" w:hAnsi="Arial"/>
                <w:sz w:val="10"/>
                <w:szCs w:val="10"/>
                <w:b w:val="1"/>
                <w:bCs w:val="1"/>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6,427</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258.5</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b w:val="1"/>
                <w:bCs w:val="1"/>
                <w:color w:val="auto"/>
                <w:w w:val="92"/>
              </w:rPr>
              <w:t>3.97%</w:t>
            </w: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3"/>
                <w:szCs w:val="13"/>
                <w:color w:val="auto"/>
              </w:rPr>
              <w:t>Allowance for loan losses</w:t>
            </w: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32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jc w:val="right"/>
              <w:spacing w:after="0" w:line="116" w:lineRule="exact"/>
              <w:rPr>
                <w:sz w:val="20"/>
                <w:szCs w:val="20"/>
                <w:color w:val="auto"/>
              </w:rPr>
            </w:pPr>
            <w:r>
              <w:rPr>
                <w:rFonts w:ascii="Arial" w:cs="Arial" w:eastAsia="Arial" w:hAnsi="Arial"/>
                <w:sz w:val="13"/>
                <w:szCs w:val="13"/>
                <w:color w:val="auto"/>
              </w:rPr>
              <w:t>(67)</w:t>
            </w:r>
          </w:p>
        </w:tc>
        <w:tc>
          <w:tcPr>
            <w:tcW w:w="80" w:type="dxa"/>
            <w:vAlign w:val="bottom"/>
            <w:vMerge w:val="continue"/>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jc w:val="right"/>
              <w:spacing w:after="0" w:line="116" w:lineRule="exact"/>
              <w:rPr>
                <w:sz w:val="20"/>
                <w:szCs w:val="20"/>
                <w:color w:val="auto"/>
              </w:rPr>
            </w:pPr>
            <w:r>
              <w:rPr>
                <w:rFonts w:ascii="Arial" w:cs="Arial" w:eastAsia="Arial" w:hAnsi="Arial"/>
                <w:sz w:val="13"/>
                <w:szCs w:val="13"/>
                <w:color w:val="auto"/>
              </w:rPr>
              <w:t>(101)</w:t>
            </w:r>
          </w:p>
        </w:tc>
        <w:tc>
          <w:tcPr>
            <w:tcW w:w="220" w:type="dxa"/>
            <w:vAlign w:val="bottom"/>
            <w:vMerge w:val="continue"/>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20" w:type="dxa"/>
            <w:vAlign w:val="bottom"/>
          </w:tcPr>
          <w:p>
            <w:pPr>
              <w:jc w:val="right"/>
              <w:spacing w:after="0" w:line="116" w:lineRule="exact"/>
              <w:rPr>
                <w:sz w:val="20"/>
                <w:szCs w:val="20"/>
                <w:color w:val="auto"/>
              </w:rPr>
            </w:pPr>
            <w:r>
              <w:rPr>
                <w:rFonts w:ascii="Arial" w:cs="Arial" w:eastAsia="Arial" w:hAnsi="Arial"/>
                <w:sz w:val="13"/>
                <w:szCs w:val="13"/>
                <w:color w:val="auto"/>
              </w:rPr>
              <w:t>(98)</w:t>
            </w:r>
          </w:p>
        </w:tc>
        <w:tc>
          <w:tcPr>
            <w:tcW w:w="120" w:type="dxa"/>
            <w:vAlign w:val="bottom"/>
            <w:vMerge w:val="continue"/>
          </w:tcPr>
          <w:p>
            <w:pPr>
              <w:spacing w:after="0"/>
              <w:rPr>
                <w:sz w:val="10"/>
                <w:szCs w:val="10"/>
                <w:color w:val="auto"/>
              </w:rPr>
            </w:pPr>
          </w:p>
        </w:tc>
        <w:tc>
          <w:tcPr>
            <w:tcW w:w="14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2320" w:type="dxa"/>
            <w:vAlign w:val="bottom"/>
            <w:shd w:val="clear" w:color="auto" w:fill="CCEEFF"/>
          </w:tcPr>
          <w:p>
            <w:pPr>
              <w:spacing w:after="0"/>
              <w:rPr>
                <w:sz w:val="20"/>
                <w:szCs w:val="20"/>
                <w:color w:val="auto"/>
              </w:rPr>
            </w:pPr>
            <w:r>
              <w:rPr>
                <w:rFonts w:ascii="Arial" w:cs="Arial" w:eastAsia="Arial" w:hAnsi="Arial"/>
                <w:sz w:val="13"/>
                <w:szCs w:val="13"/>
                <w:color w:val="auto"/>
              </w:rPr>
              <w:t>Non-interest-earning and other assets</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135</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153</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122</w:t>
            </w:r>
          </w:p>
        </w:tc>
        <w:tc>
          <w:tcPr>
            <w:tcW w:w="14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320" w:type="dxa"/>
            <w:vAlign w:val="bottom"/>
            <w:tcBorders>
              <w:bottom w:val="single" w:sz="8" w:color="CCEEFF"/>
            </w:tcBorders>
          </w:tcPr>
          <w:p>
            <w:pPr>
              <w:ind w:left="260"/>
              <w:spacing w:after="0" w:line="142" w:lineRule="exact"/>
              <w:rPr>
                <w:sz w:val="20"/>
                <w:szCs w:val="20"/>
                <w:color w:val="auto"/>
              </w:rPr>
            </w:pPr>
            <w:r>
              <w:rPr>
                <w:rFonts w:ascii="Arial" w:cs="Arial" w:eastAsia="Arial" w:hAnsi="Arial"/>
                <w:sz w:val="13"/>
                <w:szCs w:val="13"/>
                <w:b w:val="1"/>
                <w:bCs w:val="1"/>
                <w:color w:val="auto"/>
              </w:rPr>
              <w:t>Total Assets</w:t>
            </w:r>
          </w:p>
        </w:tc>
        <w:tc>
          <w:tcPr>
            <w:tcW w:w="80" w:type="dxa"/>
            <w:vAlign w:val="bottom"/>
            <w:tcBorders>
              <w:bottom w:val="single" w:sz="8" w:color="CCEEFF"/>
            </w:tcBorders>
          </w:tcPr>
          <w:p>
            <w:pPr>
              <w:spacing w:after="0"/>
              <w:rPr>
                <w:sz w:val="15"/>
                <w:szCs w:val="15"/>
                <w:color w:val="auto"/>
              </w:rPr>
            </w:pP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6,608</w:t>
            </w:r>
          </w:p>
        </w:tc>
        <w:tc>
          <w:tcPr>
            <w:tcW w:w="80" w:type="dxa"/>
            <w:vAlign w:val="bottom"/>
            <w:tcBorders>
              <w:bottom w:val="single" w:sz="8" w:color="CCEEFF"/>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840" w:type="dxa"/>
            <w:vAlign w:val="bottom"/>
            <w:tcBorders>
              <w:bottom w:val="single" w:sz="8" w:color="CCEEFF"/>
            </w:tcBorders>
          </w:tcPr>
          <w:p>
            <w:pPr>
              <w:spacing w:after="0"/>
              <w:rPr>
                <w:sz w:val="15"/>
                <w:szCs w:val="15"/>
                <w:color w:val="auto"/>
              </w:rPr>
            </w:pPr>
          </w:p>
        </w:tc>
        <w:tc>
          <w:tcPr>
            <w:tcW w:w="180" w:type="dxa"/>
            <w:vAlign w:val="bottom"/>
            <w:tcBorders>
              <w:bottom w:val="single" w:sz="8" w:color="CCEEFF"/>
            </w:tcBorders>
          </w:tcPr>
          <w:p>
            <w:pPr>
              <w:spacing w:after="0"/>
              <w:rPr>
                <w:sz w:val="15"/>
                <w:szCs w:val="15"/>
                <w:color w:val="auto"/>
              </w:rPr>
            </w:pPr>
          </w:p>
        </w:tc>
        <w:tc>
          <w:tcPr>
            <w:tcW w:w="60" w:type="dxa"/>
            <w:vAlign w:val="bottom"/>
            <w:tcBorders>
              <w:bottom w:val="single" w:sz="8" w:color="CCEEFF"/>
            </w:tcBorders>
          </w:tcPr>
          <w:p>
            <w:pPr>
              <w:spacing w:after="0"/>
              <w:rPr>
                <w:sz w:val="15"/>
                <w:szCs w:val="15"/>
                <w:color w:val="auto"/>
              </w:rPr>
            </w:pPr>
          </w:p>
        </w:tc>
        <w:tc>
          <w:tcPr>
            <w:tcW w:w="12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7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6,346</w:t>
            </w:r>
          </w:p>
        </w:tc>
        <w:tc>
          <w:tcPr>
            <w:tcW w:w="2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70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84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2"/>
              </w:rPr>
              <w:t>$</w:t>
            </w:r>
          </w:p>
        </w:tc>
        <w:tc>
          <w:tcPr>
            <w:tcW w:w="7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rPr>
              <w:t>6,451</w:t>
            </w:r>
          </w:p>
        </w:tc>
        <w:tc>
          <w:tcPr>
            <w:tcW w:w="120" w:type="dxa"/>
            <w:vAlign w:val="bottom"/>
            <w:tcBorders>
              <w:bottom w:val="single" w:sz="8" w:color="CCEEFF"/>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72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880" w:type="dxa"/>
            <w:vAlign w:val="bottom"/>
            <w:tcBorders>
              <w:bottom w:val="single" w:sz="8" w:color="CCEEFF"/>
            </w:tcBorders>
          </w:tcPr>
          <w:p>
            <w:pPr>
              <w:spacing w:after="0"/>
              <w:rPr>
                <w:sz w:val="15"/>
                <w:szCs w:val="15"/>
                <w:color w:val="auto"/>
              </w:rPr>
            </w:pPr>
          </w:p>
        </w:tc>
        <w:tc>
          <w:tcPr>
            <w:tcW w:w="14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16"/>
        </w:trPr>
        <w:tc>
          <w:tcPr>
            <w:tcW w:w="2320" w:type="dxa"/>
            <w:vAlign w:val="bottom"/>
            <w:shd w:val="clear" w:color="auto" w:fill="CCEEFF"/>
          </w:tcPr>
          <w:p>
            <w:pPr>
              <w:spacing w:after="0" w:line="116" w:lineRule="exact"/>
              <w:rPr>
                <w:sz w:val="20"/>
                <w:szCs w:val="20"/>
                <w:color w:val="auto"/>
              </w:rPr>
            </w:pPr>
            <w:r>
              <w:rPr>
                <w:rFonts w:ascii="Arial" w:cs="Arial" w:eastAsia="Arial" w:hAnsi="Arial"/>
                <w:sz w:val="13"/>
                <w:szCs w:val="13"/>
                <w:b w:val="1"/>
                <w:bCs w:val="1"/>
                <w:color w:val="auto"/>
              </w:rPr>
              <w:t>Interest-Bearing Liabilities</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320" w:type="dxa"/>
            <w:vAlign w:val="bottom"/>
          </w:tcPr>
          <w:p>
            <w:pPr>
              <w:ind w:left="220"/>
              <w:spacing w:after="0" w:line="135" w:lineRule="exact"/>
              <w:rPr>
                <w:sz w:val="20"/>
                <w:szCs w:val="20"/>
                <w:color w:val="auto"/>
              </w:rPr>
            </w:pPr>
            <w:r>
              <w:rPr>
                <w:rFonts w:ascii="Arial" w:cs="Arial" w:eastAsia="Arial" w:hAnsi="Arial"/>
                <w:sz w:val="13"/>
                <w:szCs w:val="13"/>
                <w:color w:val="auto"/>
              </w:rPr>
              <w:t>Demand deposits</w:t>
            </w:r>
          </w:p>
        </w:tc>
        <w:tc>
          <w:tcPr>
            <w:tcW w:w="200" w:type="dxa"/>
            <w:vAlign w:val="bottom"/>
            <w:gridSpan w:val="2"/>
          </w:tcPr>
          <w:p>
            <w:pPr>
              <w:jc w:val="right"/>
              <w:ind w:right="8"/>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205</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0.6</w:t>
            </w:r>
          </w:p>
        </w:tc>
        <w:tc>
          <w:tcPr>
            <w:tcW w:w="1020" w:type="dxa"/>
            <w:vAlign w:val="bottom"/>
            <w:gridSpan w:val="2"/>
          </w:tcPr>
          <w:p>
            <w:pPr>
              <w:ind w:left="620"/>
              <w:spacing w:after="0" w:line="135" w:lineRule="exact"/>
              <w:rPr>
                <w:sz w:val="20"/>
                <w:szCs w:val="20"/>
                <w:color w:val="auto"/>
              </w:rPr>
            </w:pPr>
            <w:r>
              <w:rPr>
                <w:rFonts w:ascii="Arial" w:cs="Arial" w:eastAsia="Arial" w:hAnsi="Arial"/>
                <w:sz w:val="13"/>
                <w:szCs w:val="13"/>
                <w:color w:val="auto"/>
              </w:rPr>
              <w:t>0.29%</w:t>
            </w:r>
          </w:p>
        </w:tc>
        <w:tc>
          <w:tcPr>
            <w:tcW w:w="180" w:type="dxa"/>
            <w:vAlign w:val="bottom"/>
            <w:gridSpan w:val="2"/>
          </w:tcPr>
          <w:p>
            <w:pPr>
              <w:jc w:val="right"/>
              <w:ind w:right="8"/>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98</w:t>
            </w:r>
          </w:p>
        </w:tc>
        <w:tc>
          <w:tcPr>
            <w:tcW w:w="120" w:type="dxa"/>
            <w:vAlign w:val="bottom"/>
          </w:tcPr>
          <w:p>
            <w:pPr>
              <w:spacing w:after="0"/>
              <w:rPr>
                <w:sz w:val="11"/>
                <w:szCs w:val="11"/>
                <w:color w:val="auto"/>
              </w:rPr>
            </w:pPr>
          </w:p>
        </w:tc>
        <w:tc>
          <w:tcPr>
            <w:tcW w:w="8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1.9</w:t>
            </w:r>
          </w:p>
        </w:tc>
        <w:tc>
          <w:tcPr>
            <w:tcW w:w="1100" w:type="dxa"/>
            <w:vAlign w:val="bottom"/>
            <w:gridSpan w:val="3"/>
          </w:tcPr>
          <w:p>
            <w:pPr>
              <w:jc w:val="right"/>
              <w:spacing w:after="0" w:line="135" w:lineRule="exact"/>
              <w:rPr>
                <w:sz w:val="20"/>
                <w:szCs w:val="20"/>
                <w:color w:val="auto"/>
              </w:rPr>
            </w:pPr>
            <w:r>
              <w:rPr>
                <w:rFonts w:ascii="Arial" w:cs="Arial" w:eastAsia="Arial" w:hAnsi="Arial"/>
                <w:sz w:val="13"/>
                <w:szCs w:val="13"/>
                <w:color w:val="auto"/>
              </w:rPr>
              <w:t>1.91% $</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82</w:t>
            </w:r>
          </w:p>
        </w:tc>
        <w:tc>
          <w:tcPr>
            <w:tcW w:w="14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w:t>
            </w:r>
          </w:p>
        </w:tc>
        <w:tc>
          <w:tcPr>
            <w:tcW w:w="1020" w:type="dxa"/>
            <w:vAlign w:val="bottom"/>
            <w:gridSpan w:val="2"/>
          </w:tcPr>
          <w:p>
            <w:pPr>
              <w:ind w:left="660"/>
              <w:spacing w:after="0" w:line="135" w:lineRule="exact"/>
              <w:rPr>
                <w:sz w:val="20"/>
                <w:szCs w:val="20"/>
                <w:color w:val="auto"/>
              </w:rPr>
            </w:pPr>
            <w:r>
              <w:rPr>
                <w:rFonts w:ascii="Arial" w:cs="Arial" w:eastAsia="Arial" w:hAnsi="Arial"/>
                <w:sz w:val="13"/>
                <w:szCs w:val="13"/>
                <w:color w:val="auto"/>
                <w:w w:val="92"/>
              </w:rPr>
              <w:t>1.48%</w:t>
            </w:r>
          </w:p>
        </w:tc>
        <w:tc>
          <w:tcPr>
            <w:tcW w:w="0" w:type="dxa"/>
            <w:vAlign w:val="bottom"/>
          </w:tcPr>
          <w:p>
            <w:pPr>
              <w:spacing w:after="0"/>
              <w:rPr>
                <w:sz w:val="1"/>
                <w:szCs w:val="1"/>
                <w:color w:val="auto"/>
              </w:rPr>
            </w:pPr>
          </w:p>
        </w:tc>
      </w:tr>
      <w:tr>
        <w:trPr>
          <w:trHeight w:val="148"/>
        </w:trPr>
        <w:tc>
          <w:tcPr>
            <w:tcW w:w="23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Time deposits</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2,770</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25.2</w:t>
            </w:r>
          </w:p>
        </w:tc>
        <w:tc>
          <w:tcPr>
            <w:tcW w:w="1020" w:type="dxa"/>
            <w:vAlign w:val="bottom"/>
            <w:gridSpan w:val="2"/>
            <w:shd w:val="clear" w:color="auto" w:fill="CCEEFF"/>
          </w:tcPr>
          <w:p>
            <w:pPr>
              <w:ind w:left="620"/>
              <w:spacing w:after="0"/>
              <w:rPr>
                <w:sz w:val="20"/>
                <w:szCs w:val="20"/>
                <w:color w:val="auto"/>
              </w:rPr>
            </w:pPr>
            <w:r>
              <w:rPr>
                <w:rFonts w:ascii="Arial" w:cs="Arial" w:eastAsia="Arial" w:hAnsi="Arial"/>
                <w:sz w:val="13"/>
                <w:szCs w:val="13"/>
                <w:color w:val="auto"/>
              </w:rPr>
              <w:t>0.89%</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2,621</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65.5</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2.47%</w:t>
            </w: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2,868</w:t>
            </w: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61.9</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w w:val="92"/>
              </w:rPr>
              <w:t>2.13%</w:t>
            </w:r>
          </w:p>
        </w:tc>
        <w:tc>
          <w:tcPr>
            <w:tcW w:w="0" w:type="dxa"/>
            <w:vAlign w:val="bottom"/>
          </w:tcPr>
          <w:p>
            <w:pPr>
              <w:spacing w:after="0"/>
              <w:rPr>
                <w:sz w:val="1"/>
                <w:szCs w:val="1"/>
                <w:color w:val="auto"/>
              </w:rPr>
            </w:pPr>
          </w:p>
        </w:tc>
      </w:tr>
      <w:tr>
        <w:trPr>
          <w:trHeight w:val="20"/>
        </w:trPr>
        <w:tc>
          <w:tcPr>
            <w:tcW w:w="2320" w:type="dxa"/>
            <w:vAlign w:val="bottom"/>
            <w:vMerge w:val="restart"/>
          </w:tcPr>
          <w:p>
            <w:pPr>
              <w:spacing w:after="0" w:line="176" w:lineRule="exact"/>
              <w:rPr>
                <w:sz w:val="20"/>
                <w:szCs w:val="20"/>
                <w:color w:val="auto"/>
              </w:rPr>
            </w:pPr>
            <w:r>
              <w:rPr>
                <w:rFonts w:ascii="Arial" w:cs="Arial" w:eastAsia="Arial" w:hAnsi="Arial"/>
                <w:sz w:val="13"/>
                <w:szCs w:val="13"/>
                <w:color w:val="auto"/>
              </w:rPr>
              <w:t xml:space="preserve">Deposits </w:t>
            </w:r>
            <w:r>
              <w:rPr>
                <w:rFonts w:ascii="Arial" w:cs="Arial" w:eastAsia="Arial" w:hAnsi="Arial"/>
                <w:sz w:val="20"/>
                <w:szCs w:val="20"/>
                <w:color w:val="auto"/>
                <w:vertAlign w:val="superscript"/>
              </w:rPr>
              <w:t>(2)</w:t>
            </w:r>
          </w:p>
        </w:tc>
        <w:tc>
          <w:tcPr>
            <w:tcW w:w="8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32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2,975</w:t>
            </w:r>
          </w:p>
        </w:tc>
        <w:tc>
          <w:tcPr>
            <w:tcW w:w="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3"/>
                <w:szCs w:val="13"/>
                <w:color w:val="auto"/>
              </w:rPr>
              <w:t>25.8</w:t>
            </w:r>
          </w:p>
        </w:tc>
        <w:tc>
          <w:tcPr>
            <w:tcW w:w="1020" w:type="dxa"/>
            <w:vAlign w:val="bottom"/>
            <w:gridSpan w:val="2"/>
          </w:tcPr>
          <w:p>
            <w:pPr>
              <w:ind w:left="620"/>
              <w:spacing w:after="0"/>
              <w:rPr>
                <w:sz w:val="20"/>
                <w:szCs w:val="20"/>
                <w:color w:val="auto"/>
              </w:rPr>
            </w:pPr>
            <w:r>
              <w:rPr>
                <w:rFonts w:ascii="Arial" w:cs="Arial" w:eastAsia="Arial" w:hAnsi="Arial"/>
                <w:sz w:val="13"/>
                <w:szCs w:val="13"/>
                <w:color w:val="auto"/>
              </w:rPr>
              <w:t>0.85%</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2,719</w:t>
            </w:r>
          </w:p>
        </w:tc>
        <w:tc>
          <w:tcPr>
            <w:tcW w:w="120" w:type="dxa"/>
            <w:vAlign w:val="bottom"/>
          </w:tcPr>
          <w:p>
            <w:pPr>
              <w:spacing w:after="0"/>
              <w:rPr>
                <w:sz w:val="13"/>
                <w:szCs w:val="13"/>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67.4</w:t>
            </w:r>
          </w:p>
        </w:tc>
        <w:tc>
          <w:tcPr>
            <w:tcW w:w="960" w:type="dxa"/>
            <w:vAlign w:val="bottom"/>
            <w:gridSpan w:val="2"/>
          </w:tcPr>
          <w:p>
            <w:pPr>
              <w:jc w:val="right"/>
              <w:ind w:right="20"/>
              <w:spacing w:after="0"/>
              <w:rPr>
                <w:sz w:val="20"/>
                <w:szCs w:val="20"/>
                <w:color w:val="auto"/>
              </w:rPr>
            </w:pPr>
            <w:r>
              <w:rPr>
                <w:rFonts w:ascii="Arial" w:cs="Arial" w:eastAsia="Arial" w:hAnsi="Arial"/>
                <w:sz w:val="13"/>
                <w:szCs w:val="13"/>
                <w:color w:val="auto"/>
              </w:rPr>
              <w:t>2.45%</w:t>
            </w:r>
          </w:p>
        </w:tc>
        <w:tc>
          <w:tcPr>
            <w:tcW w:w="140" w:type="dxa"/>
            <w:vAlign w:val="bottom"/>
          </w:tcPr>
          <w:p>
            <w:pPr>
              <w:spacing w:after="0"/>
              <w:rPr>
                <w:sz w:val="13"/>
                <w:szCs w:val="13"/>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2,950</w:t>
            </w:r>
          </w:p>
        </w:tc>
        <w:tc>
          <w:tcPr>
            <w:tcW w:w="140" w:type="dxa"/>
            <w:vAlign w:val="bottom"/>
          </w:tcPr>
          <w:p>
            <w:pPr>
              <w:spacing w:after="0"/>
              <w:rPr>
                <w:sz w:val="13"/>
                <w:szCs w:val="13"/>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63.1</w:t>
            </w:r>
          </w:p>
        </w:tc>
        <w:tc>
          <w:tcPr>
            <w:tcW w:w="1020" w:type="dxa"/>
            <w:vAlign w:val="bottom"/>
            <w:gridSpan w:val="2"/>
          </w:tcPr>
          <w:p>
            <w:pPr>
              <w:ind w:left="660"/>
              <w:spacing w:after="0"/>
              <w:rPr>
                <w:sz w:val="20"/>
                <w:szCs w:val="20"/>
                <w:color w:val="auto"/>
              </w:rPr>
            </w:pPr>
            <w:r>
              <w:rPr>
                <w:rFonts w:ascii="Arial" w:cs="Arial" w:eastAsia="Arial" w:hAnsi="Arial"/>
                <w:sz w:val="13"/>
                <w:szCs w:val="13"/>
                <w:color w:val="auto"/>
                <w:w w:val="92"/>
              </w:rPr>
              <w:t>2.11%</w:t>
            </w:r>
          </w:p>
        </w:tc>
        <w:tc>
          <w:tcPr>
            <w:tcW w:w="0" w:type="dxa"/>
            <w:vAlign w:val="bottom"/>
          </w:tcPr>
          <w:p>
            <w:pPr>
              <w:spacing w:after="0"/>
              <w:rPr>
                <w:sz w:val="1"/>
                <w:szCs w:val="1"/>
                <w:color w:val="auto"/>
              </w:rPr>
            </w:pPr>
          </w:p>
        </w:tc>
      </w:tr>
      <w:tr>
        <w:trPr>
          <w:trHeight w:val="121"/>
        </w:trPr>
        <w:tc>
          <w:tcPr>
            <w:tcW w:w="232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87"/>
              </w:rPr>
              <w:t>Securities sold under repurchase agreements</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320" w:type="dxa"/>
            <w:vAlign w:val="bottom"/>
            <w:shd w:val="clear" w:color="auto" w:fill="CCEEFF"/>
          </w:tcPr>
          <w:p>
            <w:pPr>
              <w:ind w:left="260"/>
              <w:spacing w:after="0"/>
              <w:rPr>
                <w:sz w:val="20"/>
                <w:szCs w:val="20"/>
                <w:color w:val="auto"/>
              </w:rPr>
            </w:pPr>
            <w:r>
              <w:rPr>
                <w:rFonts w:ascii="Arial" w:cs="Arial" w:eastAsia="Arial" w:hAnsi="Arial"/>
                <w:sz w:val="13"/>
                <w:szCs w:val="13"/>
                <w:color w:val="auto"/>
                <w:w w:val="99"/>
              </w:rPr>
              <w:t>and short-term borrowings and debt</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1,061</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24.0</w:t>
            </w:r>
          </w:p>
        </w:tc>
        <w:tc>
          <w:tcPr>
            <w:tcW w:w="1020" w:type="dxa"/>
            <w:vAlign w:val="bottom"/>
            <w:gridSpan w:val="2"/>
            <w:shd w:val="clear" w:color="auto" w:fill="CCEEFF"/>
          </w:tcPr>
          <w:p>
            <w:pPr>
              <w:ind w:left="620"/>
              <w:spacing w:after="0"/>
              <w:rPr>
                <w:sz w:val="20"/>
                <w:szCs w:val="20"/>
                <w:color w:val="auto"/>
              </w:rPr>
            </w:pPr>
            <w:r>
              <w:rPr>
                <w:rFonts w:ascii="Arial" w:cs="Arial" w:eastAsia="Arial" w:hAnsi="Arial"/>
                <w:sz w:val="13"/>
                <w:szCs w:val="13"/>
                <w:color w:val="auto"/>
              </w:rPr>
              <w:t>2.22%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1,117</w:t>
            </w:r>
          </w:p>
        </w:tc>
        <w:tc>
          <w:tcPr>
            <w:tcW w:w="120" w:type="dxa"/>
            <w:vAlign w:val="bottom"/>
            <w:shd w:val="clear" w:color="auto" w:fill="CCEEFF"/>
          </w:tcPr>
          <w:p>
            <w:pPr>
              <w:spacing w:after="0"/>
              <w:rPr>
                <w:sz w:val="12"/>
                <w:szCs w:val="1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38.9</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3.44%</w:t>
            </w: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1,123</w:t>
            </w:r>
          </w:p>
        </w:tc>
        <w:tc>
          <w:tcPr>
            <w:tcW w:w="14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33.9</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w w:val="92"/>
              </w:rPr>
              <w:t>2.98%</w:t>
            </w:r>
          </w:p>
        </w:tc>
        <w:tc>
          <w:tcPr>
            <w:tcW w:w="0" w:type="dxa"/>
            <w:vAlign w:val="bottom"/>
          </w:tcPr>
          <w:p>
            <w:pPr>
              <w:spacing w:after="0"/>
              <w:rPr>
                <w:sz w:val="1"/>
                <w:szCs w:val="1"/>
                <w:color w:val="auto"/>
              </w:rPr>
            </w:pPr>
          </w:p>
        </w:tc>
      </w:tr>
      <w:tr>
        <w:trPr>
          <w:trHeight w:val="189"/>
        </w:trPr>
        <w:tc>
          <w:tcPr>
            <w:tcW w:w="2320" w:type="dxa"/>
            <w:vAlign w:val="bottom"/>
          </w:tcPr>
          <w:p>
            <w:pPr>
              <w:spacing w:after="0" w:line="189"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0"/>
                <w:szCs w:val="20"/>
                <w:color w:val="auto"/>
                <w:vertAlign w:val="superscript"/>
              </w:rPr>
              <w:t>(3)</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1,440</w:t>
            </w:r>
          </w:p>
        </w:tc>
        <w:tc>
          <w:tcPr>
            <w:tcW w:w="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0" w:type="dxa"/>
            <w:vAlign w:val="bottom"/>
            <w:gridSpan w:val="2"/>
          </w:tcPr>
          <w:p>
            <w:pPr>
              <w:jc w:val="right"/>
              <w:ind w:right="100"/>
              <w:spacing w:after="0"/>
              <w:rPr>
                <w:sz w:val="20"/>
                <w:szCs w:val="20"/>
                <w:color w:val="auto"/>
              </w:rPr>
            </w:pPr>
            <w:r>
              <w:rPr>
                <w:rFonts w:ascii="Arial" w:cs="Arial" w:eastAsia="Arial" w:hAnsi="Arial"/>
                <w:sz w:val="13"/>
                <w:szCs w:val="13"/>
                <w:color w:val="auto"/>
              </w:rPr>
              <w:t>38.8</w:t>
            </w:r>
          </w:p>
        </w:tc>
        <w:tc>
          <w:tcPr>
            <w:tcW w:w="1020" w:type="dxa"/>
            <w:vAlign w:val="bottom"/>
            <w:gridSpan w:val="2"/>
          </w:tcPr>
          <w:p>
            <w:pPr>
              <w:ind w:left="620"/>
              <w:spacing w:after="0"/>
              <w:rPr>
                <w:sz w:val="20"/>
                <w:szCs w:val="20"/>
                <w:color w:val="auto"/>
              </w:rPr>
            </w:pPr>
            <w:r>
              <w:rPr>
                <w:rFonts w:ascii="Arial" w:cs="Arial" w:eastAsia="Arial" w:hAnsi="Arial"/>
                <w:sz w:val="13"/>
                <w:szCs w:val="13"/>
                <w:color w:val="auto"/>
              </w:rPr>
              <w:t>2.65%</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1,388</w:t>
            </w:r>
          </w:p>
        </w:tc>
        <w:tc>
          <w:tcPr>
            <w:tcW w:w="120" w:type="dxa"/>
            <w:vAlign w:val="bottom"/>
          </w:tcPr>
          <w:p>
            <w:pPr>
              <w:spacing w:after="0"/>
              <w:rPr>
                <w:sz w:val="16"/>
                <w:szCs w:val="16"/>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57.8</w:t>
            </w:r>
          </w:p>
        </w:tc>
        <w:tc>
          <w:tcPr>
            <w:tcW w:w="960" w:type="dxa"/>
            <w:vAlign w:val="bottom"/>
            <w:gridSpan w:val="2"/>
          </w:tcPr>
          <w:p>
            <w:pPr>
              <w:jc w:val="right"/>
              <w:ind w:right="20"/>
              <w:spacing w:after="0"/>
              <w:rPr>
                <w:sz w:val="20"/>
                <w:szCs w:val="20"/>
                <w:color w:val="auto"/>
              </w:rPr>
            </w:pPr>
            <w:r>
              <w:rPr>
                <w:rFonts w:ascii="Arial" w:cs="Arial" w:eastAsia="Arial" w:hAnsi="Arial"/>
                <w:sz w:val="13"/>
                <w:szCs w:val="13"/>
                <w:color w:val="auto"/>
              </w:rPr>
              <w:t>4.11%</w:t>
            </w:r>
          </w:p>
        </w:tc>
        <w:tc>
          <w:tcPr>
            <w:tcW w:w="14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1,245</w:t>
            </w:r>
          </w:p>
        </w:tc>
        <w:tc>
          <w:tcPr>
            <w:tcW w:w="140" w:type="dxa"/>
            <w:vAlign w:val="bottom"/>
          </w:tcPr>
          <w:p>
            <w:pPr>
              <w:spacing w:after="0"/>
              <w:rPr>
                <w:sz w:val="16"/>
                <w:szCs w:val="16"/>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51.7</w:t>
            </w:r>
          </w:p>
        </w:tc>
        <w:tc>
          <w:tcPr>
            <w:tcW w:w="1020" w:type="dxa"/>
            <w:vAlign w:val="bottom"/>
            <w:gridSpan w:val="2"/>
          </w:tcPr>
          <w:p>
            <w:pPr>
              <w:ind w:left="660"/>
              <w:spacing w:after="0"/>
              <w:rPr>
                <w:sz w:val="20"/>
                <w:szCs w:val="20"/>
                <w:color w:val="auto"/>
              </w:rPr>
            </w:pPr>
            <w:r>
              <w:rPr>
                <w:rFonts w:ascii="Arial" w:cs="Arial" w:eastAsia="Arial" w:hAnsi="Arial"/>
                <w:sz w:val="13"/>
                <w:szCs w:val="13"/>
                <w:color w:val="auto"/>
                <w:w w:val="92"/>
              </w:rPr>
              <w:t>4.09%</w:t>
            </w:r>
          </w:p>
        </w:tc>
        <w:tc>
          <w:tcPr>
            <w:tcW w:w="0" w:type="dxa"/>
            <w:vAlign w:val="bottom"/>
          </w:tcPr>
          <w:p>
            <w:pPr>
              <w:spacing w:after="0"/>
              <w:rPr>
                <w:sz w:val="1"/>
                <w:szCs w:val="1"/>
                <w:color w:val="auto"/>
              </w:rPr>
            </w:pPr>
          </w:p>
        </w:tc>
      </w:tr>
      <w:tr>
        <w:trPr>
          <w:trHeight w:val="162"/>
        </w:trPr>
        <w:tc>
          <w:tcPr>
            <w:tcW w:w="23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interest-bearing liabilities</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5,476</w:t>
            </w: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b w:val="1"/>
                <w:bCs w:val="1"/>
                <w:color w:val="auto"/>
              </w:rPr>
              <w:t>$</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88.6</w:t>
            </w:r>
          </w:p>
        </w:tc>
        <w:tc>
          <w:tcPr>
            <w:tcW w:w="1020" w:type="dxa"/>
            <w:vAlign w:val="bottom"/>
            <w:gridSpan w:val="2"/>
            <w:shd w:val="clear" w:color="auto" w:fill="CCEEFF"/>
          </w:tcPr>
          <w:p>
            <w:pPr>
              <w:ind w:left="620"/>
              <w:spacing w:after="0"/>
              <w:rPr>
                <w:sz w:val="20"/>
                <w:szCs w:val="20"/>
                <w:color w:val="auto"/>
              </w:rPr>
            </w:pPr>
            <w:r>
              <w:rPr>
                <w:rFonts w:ascii="Arial" w:cs="Arial" w:eastAsia="Arial" w:hAnsi="Arial"/>
                <w:sz w:val="13"/>
                <w:szCs w:val="13"/>
                <w:b w:val="1"/>
                <w:bCs w:val="1"/>
                <w:color w:val="auto"/>
              </w:rPr>
              <w:t>1.59%</w:t>
            </w:r>
          </w:p>
        </w:tc>
        <w:tc>
          <w:tcPr>
            <w:tcW w:w="18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5,224</w:t>
            </w: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164.2</w:t>
            </w:r>
          </w:p>
        </w:tc>
        <w:tc>
          <w:tcPr>
            <w:tcW w:w="1100" w:type="dxa"/>
            <w:vAlign w:val="bottom"/>
            <w:gridSpan w:val="3"/>
            <w:shd w:val="clear" w:color="auto" w:fill="CCEEFF"/>
          </w:tcPr>
          <w:p>
            <w:pPr>
              <w:jc w:val="right"/>
              <w:spacing w:after="0" w:line="162" w:lineRule="exact"/>
              <w:rPr>
                <w:sz w:val="20"/>
                <w:szCs w:val="20"/>
                <w:color w:val="auto"/>
              </w:rPr>
            </w:pPr>
            <w:r>
              <w:rPr>
                <w:rFonts w:ascii="Arial" w:cs="Arial" w:eastAsia="Arial" w:hAnsi="Arial"/>
                <w:sz w:val="10"/>
                <w:szCs w:val="10"/>
                <w:b w:val="1"/>
                <w:bCs w:val="1"/>
                <w:color w:val="auto"/>
              </w:rPr>
              <w:t>3.10%</w:t>
            </w:r>
            <w:r>
              <w:rPr>
                <w:rFonts w:ascii="Arial" w:cs="Arial" w:eastAsia="Arial" w:hAnsi="Arial"/>
                <w:sz w:val="18"/>
                <w:szCs w:val="18"/>
                <w:b w:val="1"/>
                <w:bCs w:val="1"/>
                <w:color w:val="auto"/>
                <w:vertAlign w:val="subscript"/>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5,318</w:t>
            </w: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148.7</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b w:val="1"/>
                <w:bCs w:val="1"/>
                <w:color w:val="auto"/>
                <w:w w:val="92"/>
              </w:rPr>
              <w:t>2.76%</w:t>
            </w: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bottom w:val="single" w:sz="8" w:color="CCEEFF"/>
            </w:tcBorders>
            <w:vMerge w:val="restart"/>
          </w:tcPr>
          <w:p>
            <w:pPr>
              <w:spacing w:after="0" w:line="114" w:lineRule="exact"/>
              <w:rPr>
                <w:sz w:val="20"/>
                <w:szCs w:val="20"/>
                <w:color w:val="auto"/>
              </w:rPr>
            </w:pPr>
            <w:r>
              <w:rPr>
                <w:rFonts w:ascii="Arial" w:cs="Arial" w:eastAsia="Arial" w:hAnsi="Arial"/>
                <w:sz w:val="13"/>
                <w:szCs w:val="13"/>
                <w:color w:val="auto"/>
              </w:rPr>
              <w:t>Non-interest bearing liabilities and other</w:t>
            </w: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4"/>
        </w:trPr>
        <w:tc>
          <w:tcPr>
            <w:tcW w:w="2320" w:type="dxa"/>
            <w:vAlign w:val="bottom"/>
            <w:vMerge w:val="continue"/>
          </w:tcPr>
          <w:p>
            <w:pPr>
              <w:spacing w:after="0"/>
              <w:rPr>
                <w:sz w:val="6"/>
                <w:szCs w:val="6"/>
                <w:color w:val="auto"/>
              </w:rPr>
            </w:pPr>
          </w:p>
        </w:tc>
        <w:tc>
          <w:tcPr>
            <w:tcW w:w="80" w:type="dxa"/>
            <w:vAlign w:val="bottom"/>
          </w:tcPr>
          <w:p>
            <w:pPr>
              <w:spacing w:after="0"/>
              <w:rPr>
                <w:sz w:val="6"/>
                <w:szCs w:val="6"/>
                <w:color w:val="auto"/>
              </w:rPr>
            </w:pPr>
          </w:p>
        </w:tc>
        <w:tc>
          <w:tcPr>
            <w:tcW w:w="120" w:type="dxa"/>
            <w:vAlign w:val="bottom"/>
          </w:tcPr>
          <w:p>
            <w:pPr>
              <w:spacing w:after="0"/>
              <w:rPr>
                <w:sz w:val="6"/>
                <w:szCs w:val="6"/>
                <w:color w:val="auto"/>
              </w:rPr>
            </w:pPr>
          </w:p>
        </w:tc>
        <w:tc>
          <w:tcPr>
            <w:tcW w:w="680" w:type="dxa"/>
            <w:vAlign w:val="bottom"/>
          </w:tcPr>
          <w:p>
            <w:pPr>
              <w:spacing w:after="0"/>
              <w:rPr>
                <w:sz w:val="6"/>
                <w:szCs w:val="6"/>
                <w:color w:val="auto"/>
              </w:rPr>
            </w:pPr>
          </w:p>
        </w:tc>
        <w:tc>
          <w:tcPr>
            <w:tcW w:w="80" w:type="dxa"/>
            <w:vAlign w:val="bottom"/>
          </w:tcPr>
          <w:p>
            <w:pPr>
              <w:spacing w:after="0"/>
              <w:rPr>
                <w:sz w:val="6"/>
                <w:szCs w:val="6"/>
                <w:color w:val="auto"/>
              </w:rPr>
            </w:pPr>
          </w:p>
        </w:tc>
        <w:tc>
          <w:tcPr>
            <w:tcW w:w="40" w:type="dxa"/>
            <w:vAlign w:val="bottom"/>
          </w:tcPr>
          <w:p>
            <w:pPr>
              <w:spacing w:after="0"/>
              <w:rPr>
                <w:sz w:val="6"/>
                <w:szCs w:val="6"/>
                <w:color w:val="auto"/>
              </w:rPr>
            </w:pPr>
          </w:p>
        </w:tc>
        <w:tc>
          <w:tcPr>
            <w:tcW w:w="120" w:type="dxa"/>
            <w:vAlign w:val="bottom"/>
          </w:tcPr>
          <w:p>
            <w:pPr>
              <w:spacing w:after="0"/>
              <w:rPr>
                <w:sz w:val="6"/>
                <w:szCs w:val="6"/>
                <w:color w:val="auto"/>
              </w:rPr>
            </w:pPr>
          </w:p>
        </w:tc>
        <w:tc>
          <w:tcPr>
            <w:tcW w:w="700" w:type="dxa"/>
            <w:vAlign w:val="bottom"/>
          </w:tcPr>
          <w:p>
            <w:pPr>
              <w:spacing w:after="0"/>
              <w:rPr>
                <w:sz w:val="6"/>
                <w:szCs w:val="6"/>
                <w:color w:val="auto"/>
              </w:rPr>
            </w:pPr>
          </w:p>
        </w:tc>
        <w:tc>
          <w:tcPr>
            <w:tcW w:w="100" w:type="dxa"/>
            <w:vAlign w:val="bottom"/>
          </w:tcPr>
          <w:p>
            <w:pPr>
              <w:spacing w:after="0"/>
              <w:rPr>
                <w:sz w:val="6"/>
                <w:szCs w:val="6"/>
                <w:color w:val="auto"/>
              </w:rPr>
            </w:pPr>
          </w:p>
        </w:tc>
        <w:tc>
          <w:tcPr>
            <w:tcW w:w="840" w:type="dxa"/>
            <w:vAlign w:val="bottom"/>
          </w:tcPr>
          <w:p>
            <w:pPr>
              <w:spacing w:after="0"/>
              <w:rPr>
                <w:sz w:val="6"/>
                <w:szCs w:val="6"/>
                <w:color w:val="auto"/>
              </w:rPr>
            </w:pPr>
          </w:p>
        </w:tc>
        <w:tc>
          <w:tcPr>
            <w:tcW w:w="180" w:type="dxa"/>
            <w:vAlign w:val="bottom"/>
          </w:tcPr>
          <w:p>
            <w:pPr>
              <w:spacing w:after="0"/>
              <w:rPr>
                <w:sz w:val="6"/>
                <w:szCs w:val="6"/>
                <w:color w:val="auto"/>
              </w:rPr>
            </w:pPr>
          </w:p>
        </w:tc>
        <w:tc>
          <w:tcPr>
            <w:tcW w:w="60" w:type="dxa"/>
            <w:vAlign w:val="bottom"/>
          </w:tcPr>
          <w:p>
            <w:pPr>
              <w:spacing w:after="0"/>
              <w:rPr>
                <w:sz w:val="6"/>
                <w:szCs w:val="6"/>
                <w:color w:val="auto"/>
              </w:rPr>
            </w:pPr>
          </w:p>
        </w:tc>
        <w:tc>
          <w:tcPr>
            <w:tcW w:w="120" w:type="dxa"/>
            <w:vAlign w:val="bottom"/>
          </w:tcPr>
          <w:p>
            <w:pPr>
              <w:spacing w:after="0"/>
              <w:rPr>
                <w:sz w:val="6"/>
                <w:szCs w:val="6"/>
                <w:color w:val="auto"/>
              </w:rPr>
            </w:pPr>
          </w:p>
        </w:tc>
        <w:tc>
          <w:tcPr>
            <w:tcW w:w="700" w:type="dxa"/>
            <w:vAlign w:val="bottom"/>
          </w:tcPr>
          <w:p>
            <w:pPr>
              <w:spacing w:after="0"/>
              <w:rPr>
                <w:sz w:val="6"/>
                <w:szCs w:val="6"/>
                <w:color w:val="auto"/>
              </w:rPr>
            </w:pPr>
          </w:p>
        </w:tc>
        <w:tc>
          <w:tcPr>
            <w:tcW w:w="220" w:type="dxa"/>
            <w:vAlign w:val="bottom"/>
          </w:tcPr>
          <w:p>
            <w:pPr>
              <w:spacing w:after="0"/>
              <w:rPr>
                <w:sz w:val="6"/>
                <w:szCs w:val="6"/>
                <w:color w:val="auto"/>
              </w:rPr>
            </w:pPr>
          </w:p>
        </w:tc>
        <w:tc>
          <w:tcPr>
            <w:tcW w:w="120" w:type="dxa"/>
            <w:vAlign w:val="bottom"/>
          </w:tcPr>
          <w:p>
            <w:pPr>
              <w:spacing w:after="0"/>
              <w:rPr>
                <w:sz w:val="6"/>
                <w:szCs w:val="6"/>
                <w:color w:val="auto"/>
              </w:rPr>
            </w:pPr>
          </w:p>
        </w:tc>
        <w:tc>
          <w:tcPr>
            <w:tcW w:w="700" w:type="dxa"/>
            <w:vAlign w:val="bottom"/>
          </w:tcPr>
          <w:p>
            <w:pPr>
              <w:spacing w:after="0"/>
              <w:rPr>
                <w:sz w:val="6"/>
                <w:szCs w:val="6"/>
                <w:color w:val="auto"/>
              </w:rPr>
            </w:pPr>
          </w:p>
        </w:tc>
        <w:tc>
          <w:tcPr>
            <w:tcW w:w="120" w:type="dxa"/>
            <w:vAlign w:val="bottom"/>
          </w:tcPr>
          <w:p>
            <w:pPr>
              <w:spacing w:after="0"/>
              <w:rPr>
                <w:sz w:val="6"/>
                <w:szCs w:val="6"/>
                <w:color w:val="auto"/>
              </w:rPr>
            </w:pPr>
          </w:p>
        </w:tc>
        <w:tc>
          <w:tcPr>
            <w:tcW w:w="840" w:type="dxa"/>
            <w:vAlign w:val="bottom"/>
          </w:tcPr>
          <w:p>
            <w:pPr>
              <w:spacing w:after="0"/>
              <w:rPr>
                <w:sz w:val="6"/>
                <w:szCs w:val="6"/>
                <w:color w:val="auto"/>
              </w:rPr>
            </w:pPr>
          </w:p>
        </w:tc>
        <w:tc>
          <w:tcPr>
            <w:tcW w:w="120" w:type="dxa"/>
            <w:vAlign w:val="bottom"/>
          </w:tcPr>
          <w:p>
            <w:pPr>
              <w:spacing w:after="0"/>
              <w:rPr>
                <w:sz w:val="6"/>
                <w:szCs w:val="6"/>
                <w:color w:val="auto"/>
              </w:rPr>
            </w:pPr>
          </w:p>
        </w:tc>
        <w:tc>
          <w:tcPr>
            <w:tcW w:w="140" w:type="dxa"/>
            <w:vAlign w:val="bottom"/>
          </w:tcPr>
          <w:p>
            <w:pPr>
              <w:spacing w:after="0"/>
              <w:rPr>
                <w:sz w:val="6"/>
                <w:szCs w:val="6"/>
                <w:color w:val="auto"/>
              </w:rPr>
            </w:pPr>
          </w:p>
        </w:tc>
        <w:tc>
          <w:tcPr>
            <w:tcW w:w="720" w:type="dxa"/>
            <w:vAlign w:val="bottom"/>
          </w:tcPr>
          <w:p>
            <w:pPr>
              <w:spacing w:after="0"/>
              <w:rPr>
                <w:sz w:val="6"/>
                <w:szCs w:val="6"/>
                <w:color w:val="auto"/>
              </w:rPr>
            </w:pPr>
          </w:p>
        </w:tc>
        <w:tc>
          <w:tcPr>
            <w:tcW w:w="120" w:type="dxa"/>
            <w:vAlign w:val="bottom"/>
          </w:tcPr>
          <w:p>
            <w:pPr>
              <w:spacing w:after="0"/>
              <w:rPr>
                <w:sz w:val="6"/>
                <w:szCs w:val="6"/>
                <w:color w:val="auto"/>
              </w:rPr>
            </w:pPr>
          </w:p>
        </w:tc>
        <w:tc>
          <w:tcPr>
            <w:tcW w:w="140" w:type="dxa"/>
            <w:vAlign w:val="bottom"/>
          </w:tcPr>
          <w:p>
            <w:pPr>
              <w:spacing w:after="0"/>
              <w:rPr>
                <w:sz w:val="6"/>
                <w:szCs w:val="6"/>
                <w:color w:val="auto"/>
              </w:rPr>
            </w:pPr>
          </w:p>
        </w:tc>
        <w:tc>
          <w:tcPr>
            <w:tcW w:w="720" w:type="dxa"/>
            <w:vAlign w:val="bottom"/>
          </w:tcPr>
          <w:p>
            <w:pPr>
              <w:spacing w:after="0"/>
              <w:rPr>
                <w:sz w:val="6"/>
                <w:szCs w:val="6"/>
                <w:color w:val="auto"/>
              </w:rPr>
            </w:pPr>
          </w:p>
        </w:tc>
        <w:tc>
          <w:tcPr>
            <w:tcW w:w="120" w:type="dxa"/>
            <w:vAlign w:val="bottom"/>
          </w:tcPr>
          <w:p>
            <w:pPr>
              <w:spacing w:after="0"/>
              <w:rPr>
                <w:sz w:val="6"/>
                <w:szCs w:val="6"/>
                <w:color w:val="auto"/>
              </w:rPr>
            </w:pPr>
          </w:p>
        </w:tc>
        <w:tc>
          <w:tcPr>
            <w:tcW w:w="880" w:type="dxa"/>
            <w:vAlign w:val="bottom"/>
          </w:tcPr>
          <w:p>
            <w:pPr>
              <w:spacing w:after="0"/>
              <w:rPr>
                <w:sz w:val="6"/>
                <w:szCs w:val="6"/>
                <w:color w:val="auto"/>
              </w:rPr>
            </w:pPr>
          </w:p>
        </w:tc>
        <w:tc>
          <w:tcPr>
            <w:tcW w:w="1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61"/>
        </w:trPr>
        <w:tc>
          <w:tcPr>
            <w:tcW w:w="2320" w:type="dxa"/>
            <w:vAlign w:val="bottom"/>
          </w:tcPr>
          <w:p>
            <w:pPr>
              <w:ind w:left="260"/>
              <w:spacing w:after="0"/>
              <w:rPr>
                <w:sz w:val="20"/>
                <w:szCs w:val="20"/>
                <w:color w:val="auto"/>
              </w:rPr>
            </w:pPr>
            <w:r>
              <w:rPr>
                <w:rFonts w:ascii="Arial" w:cs="Arial" w:eastAsia="Arial" w:hAnsi="Arial"/>
                <w:sz w:val="13"/>
                <w:szCs w:val="13"/>
                <w:color w:val="auto"/>
              </w:rPr>
              <w:t>liabilities</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105</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117</w:t>
            </w:r>
          </w:p>
        </w:tc>
        <w:tc>
          <w:tcPr>
            <w:tcW w:w="1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102</w:t>
            </w:r>
          </w:p>
        </w:tc>
        <w:tc>
          <w:tcPr>
            <w:tcW w:w="1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3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Liabilities</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5,581</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8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5,341</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5,420</w:t>
            </w:r>
          </w:p>
        </w:tc>
        <w:tc>
          <w:tcPr>
            <w:tcW w:w="1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3"/>
                <w:szCs w:val="13"/>
                <w:color w:val="auto"/>
              </w:rPr>
              <w:t>Total equity</w:t>
            </w: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32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29" w:lineRule="exact"/>
              <w:rPr>
                <w:sz w:val="20"/>
                <w:szCs w:val="20"/>
                <w:color w:val="auto"/>
              </w:rPr>
            </w:pPr>
            <w:r>
              <w:rPr>
                <w:rFonts w:ascii="Arial" w:cs="Arial" w:eastAsia="Arial" w:hAnsi="Arial"/>
                <w:sz w:val="13"/>
                <w:szCs w:val="13"/>
                <w:b w:val="1"/>
                <w:bCs w:val="1"/>
                <w:color w:val="auto"/>
              </w:rPr>
              <w:t>1,027</w:t>
            </w:r>
          </w:p>
        </w:tc>
        <w:tc>
          <w:tcPr>
            <w:tcW w:w="80" w:type="dxa"/>
            <w:vAlign w:val="bottom"/>
            <w:vMerge w:val="continue"/>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jc w:val="right"/>
              <w:spacing w:after="0" w:line="129" w:lineRule="exact"/>
              <w:rPr>
                <w:sz w:val="20"/>
                <w:szCs w:val="20"/>
                <w:color w:val="auto"/>
              </w:rPr>
            </w:pPr>
            <w:r>
              <w:rPr>
                <w:rFonts w:ascii="Arial" w:cs="Arial" w:eastAsia="Arial" w:hAnsi="Arial"/>
                <w:sz w:val="13"/>
                <w:szCs w:val="13"/>
                <w:b w:val="1"/>
                <w:bCs w:val="1"/>
                <w:color w:val="auto"/>
              </w:rPr>
              <w:t>1,005</w:t>
            </w:r>
          </w:p>
        </w:tc>
        <w:tc>
          <w:tcPr>
            <w:tcW w:w="220" w:type="dxa"/>
            <w:vAlign w:val="bottom"/>
            <w:vMerge w:val="continue"/>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20" w:type="dxa"/>
            <w:vAlign w:val="bottom"/>
          </w:tcPr>
          <w:p>
            <w:pPr>
              <w:jc w:val="right"/>
              <w:spacing w:after="0" w:line="129" w:lineRule="exact"/>
              <w:rPr>
                <w:sz w:val="20"/>
                <w:szCs w:val="20"/>
                <w:color w:val="auto"/>
              </w:rPr>
            </w:pPr>
            <w:r>
              <w:rPr>
                <w:rFonts w:ascii="Arial" w:cs="Arial" w:eastAsia="Arial" w:hAnsi="Arial"/>
                <w:sz w:val="13"/>
                <w:szCs w:val="13"/>
                <w:b w:val="1"/>
                <w:bCs w:val="1"/>
                <w:color w:val="auto"/>
              </w:rPr>
              <w:t>1,031</w:t>
            </w:r>
          </w:p>
        </w:tc>
        <w:tc>
          <w:tcPr>
            <w:tcW w:w="120" w:type="dxa"/>
            <w:vAlign w:val="bottom"/>
            <w:vMerge w:val="continue"/>
          </w:tcPr>
          <w:p>
            <w:pPr>
              <w:spacing w:after="0"/>
              <w:rPr>
                <w:sz w:val="11"/>
                <w:szCs w:val="11"/>
                <w:color w:val="auto"/>
              </w:rPr>
            </w:pPr>
          </w:p>
        </w:tc>
        <w:tc>
          <w:tcPr>
            <w:tcW w:w="14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23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Liabilities and Equity</w:t>
            </w:r>
          </w:p>
        </w:tc>
        <w:tc>
          <w:tcPr>
            <w:tcW w:w="20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b w:val="1"/>
                <w:bCs w:val="1"/>
                <w:color w:val="auto"/>
              </w:rPr>
              <w:t>$6,608</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80" w:type="dxa"/>
            <w:vAlign w:val="bottom"/>
            <w:gridSpan w:val="2"/>
            <w:shd w:val="clear" w:color="auto" w:fill="CCEEFF"/>
          </w:tcPr>
          <w:p>
            <w:pPr>
              <w:jc w:val="right"/>
              <w:ind w:right="8"/>
              <w:spacing w:after="0"/>
              <w:rPr>
                <w:sz w:val="20"/>
                <w:szCs w:val="20"/>
                <w:color w:val="auto"/>
              </w:rPr>
            </w:pPr>
            <w:r>
              <w:rPr>
                <w:rFonts w:ascii="Arial" w:cs="Arial" w:eastAsia="Arial" w:hAnsi="Arial"/>
                <w:sz w:val="13"/>
                <w:szCs w:val="13"/>
                <w:b w:val="1"/>
                <w:bCs w:val="1"/>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6,346</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100" w:type="dxa"/>
            <w:vAlign w:val="bottom"/>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6,451</w:t>
            </w:r>
          </w:p>
        </w:tc>
        <w:tc>
          <w:tcPr>
            <w:tcW w:w="1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3"/>
                <w:szCs w:val="13"/>
                <w:color w:val="auto"/>
              </w:rPr>
              <w:t>Net interest spread</w:t>
            </w: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CCEEFF"/>
            </w:tcBorders>
            <w:gridSpan w:val="2"/>
            <w:vMerge w:val="restart"/>
          </w:tcPr>
          <w:p>
            <w:pPr>
              <w:ind w:left="620"/>
              <w:spacing w:after="0"/>
              <w:rPr>
                <w:sz w:val="20"/>
                <w:szCs w:val="20"/>
                <w:color w:val="auto"/>
              </w:rPr>
            </w:pPr>
            <w:r>
              <w:rPr>
                <w:rFonts w:ascii="Arial" w:cs="Arial" w:eastAsia="Arial" w:hAnsi="Arial"/>
                <w:sz w:val="13"/>
                <w:szCs w:val="13"/>
                <w:color w:val="auto"/>
              </w:rPr>
              <w:t>1.13%</w:t>
            </w: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CCEEFF"/>
            </w:tcBorders>
            <w:gridSpan w:val="2"/>
            <w:vMerge w:val="restart"/>
          </w:tcPr>
          <w:p>
            <w:pPr>
              <w:jc w:val="right"/>
              <w:ind w:right="20"/>
              <w:spacing w:after="0"/>
              <w:rPr>
                <w:sz w:val="20"/>
                <w:szCs w:val="20"/>
                <w:color w:val="auto"/>
              </w:rPr>
            </w:pPr>
            <w:r>
              <w:rPr>
                <w:rFonts w:ascii="Arial" w:cs="Arial" w:eastAsia="Arial" w:hAnsi="Arial"/>
                <w:sz w:val="13"/>
                <w:szCs w:val="13"/>
                <w:color w:val="auto"/>
              </w:rPr>
              <w:t>1.19%</w:t>
            </w: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CCEEFF"/>
            </w:tcBorders>
            <w:gridSpan w:val="2"/>
            <w:vMerge w:val="restart"/>
          </w:tcPr>
          <w:p>
            <w:pPr>
              <w:ind w:left="660"/>
              <w:spacing w:after="0"/>
              <w:rPr>
                <w:sz w:val="20"/>
                <w:szCs w:val="20"/>
                <w:color w:val="auto"/>
              </w:rPr>
            </w:pPr>
            <w:r>
              <w:rPr>
                <w:rFonts w:ascii="Arial" w:cs="Arial" w:eastAsia="Arial" w:hAnsi="Arial"/>
                <w:sz w:val="13"/>
                <w:szCs w:val="13"/>
                <w:color w:val="auto"/>
                <w:w w:val="92"/>
              </w:rPr>
              <w:t>1.21%</w:t>
            </w:r>
          </w:p>
        </w:tc>
        <w:tc>
          <w:tcPr>
            <w:tcW w:w="0" w:type="dxa"/>
            <w:vAlign w:val="bottom"/>
          </w:tcPr>
          <w:p>
            <w:pPr>
              <w:spacing w:after="0" w:line="20" w:lineRule="exact"/>
              <w:rPr>
                <w:sz w:val="1"/>
                <w:szCs w:val="1"/>
                <w:color w:val="auto"/>
              </w:rPr>
            </w:pPr>
          </w:p>
        </w:tc>
      </w:tr>
      <w:tr>
        <w:trPr>
          <w:trHeight w:val="115"/>
        </w:trPr>
        <w:tc>
          <w:tcPr>
            <w:tcW w:w="2320" w:type="dxa"/>
            <w:vAlign w:val="bottom"/>
            <w:vMerge w:val="continue"/>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20" w:type="dxa"/>
            <w:vAlign w:val="bottom"/>
            <w:gridSpan w:val="2"/>
            <w:vMerge w:val="continue"/>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60" w:type="dxa"/>
            <w:vAlign w:val="bottom"/>
            <w:gridSpan w:val="2"/>
            <w:vMerge w:val="continue"/>
          </w:tcPr>
          <w:p>
            <w:pPr>
              <w:spacing w:after="0"/>
              <w:rPr>
                <w:sz w:val="10"/>
                <w:szCs w:val="10"/>
                <w:color w:val="auto"/>
              </w:rPr>
            </w:pPr>
          </w:p>
        </w:tc>
        <w:tc>
          <w:tcPr>
            <w:tcW w:w="14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2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320" w:type="dxa"/>
            <w:vAlign w:val="bottom"/>
            <w:shd w:val="clear" w:color="auto" w:fill="CCEEFF"/>
          </w:tcPr>
          <w:p>
            <w:pPr>
              <w:spacing w:after="0"/>
              <w:rPr>
                <w:sz w:val="20"/>
                <w:szCs w:val="20"/>
                <w:color w:val="auto"/>
              </w:rPr>
            </w:pPr>
            <w:r>
              <w:rPr>
                <w:rFonts w:ascii="Arial" w:cs="Arial" w:eastAsia="Arial" w:hAnsi="Arial"/>
                <w:sz w:val="13"/>
                <w:szCs w:val="13"/>
                <w:color w:val="auto"/>
                <w:w w:val="92"/>
              </w:rPr>
              <w:t>Net interest income and net interest margin</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b w:val="1"/>
                <w:bCs w:val="1"/>
                <w:color w:val="auto"/>
              </w:rPr>
              <w:t>$</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92.4</w:t>
            </w:r>
          </w:p>
        </w:tc>
        <w:tc>
          <w:tcPr>
            <w:tcW w:w="1020" w:type="dxa"/>
            <w:vAlign w:val="bottom"/>
            <w:gridSpan w:val="2"/>
            <w:shd w:val="clear" w:color="auto" w:fill="CCEEFF"/>
          </w:tcPr>
          <w:p>
            <w:pPr>
              <w:ind w:left="620"/>
              <w:spacing w:after="0"/>
              <w:rPr>
                <w:sz w:val="20"/>
                <w:szCs w:val="20"/>
                <w:color w:val="auto"/>
              </w:rPr>
            </w:pPr>
            <w:r>
              <w:rPr>
                <w:rFonts w:ascii="Arial" w:cs="Arial" w:eastAsia="Arial" w:hAnsi="Arial"/>
                <w:sz w:val="13"/>
                <w:szCs w:val="13"/>
                <w:color w:val="auto"/>
              </w:rPr>
              <w:t>1.41%</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 w:type="dxa"/>
            <w:vAlign w:val="bottom"/>
            <w:shd w:val="clear" w:color="auto" w:fill="CCEEFF"/>
          </w:tcPr>
          <w:p>
            <w:pPr>
              <w:jc w:val="right"/>
              <w:ind w:right="8"/>
              <w:spacing w:after="0"/>
              <w:rPr>
                <w:sz w:val="20"/>
                <w:szCs w:val="20"/>
                <w:color w:val="auto"/>
              </w:rPr>
            </w:pPr>
            <w:r>
              <w:rPr>
                <w:rFonts w:ascii="Arial" w:cs="Arial" w:eastAsia="Arial" w:hAnsi="Arial"/>
                <w:sz w:val="10"/>
                <w:szCs w:val="10"/>
                <w:b w:val="1"/>
                <w:bCs w:val="1"/>
                <w:color w:val="auto"/>
                <w:w w:val="71"/>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109.5</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1.74%</w:t>
            </w:r>
          </w:p>
        </w:tc>
        <w:tc>
          <w:tcPr>
            <w:tcW w:w="140" w:type="dxa"/>
            <w:vAlign w:val="bottom"/>
            <w:shd w:val="clear" w:color="auto" w:fill="CCEEFF"/>
          </w:tcPr>
          <w:p>
            <w:pPr>
              <w:spacing w:after="0"/>
              <w:rPr>
                <w:sz w:val="14"/>
                <w:szCs w:val="14"/>
                <w:color w:val="auto"/>
              </w:rPr>
            </w:pPr>
          </w:p>
        </w:tc>
        <w:tc>
          <w:tcPr>
            <w:tcW w:w="7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jc w:val="right"/>
              <w:ind w:right="28"/>
              <w:spacing w:after="0"/>
              <w:rPr>
                <w:sz w:val="20"/>
                <w:szCs w:val="20"/>
                <w:color w:val="auto"/>
              </w:rPr>
            </w:pPr>
            <w:r>
              <w:rPr>
                <w:rFonts w:ascii="Arial" w:cs="Arial" w:eastAsia="Arial" w:hAnsi="Arial"/>
                <w:sz w:val="10"/>
                <w:szCs w:val="10"/>
                <w:b w:val="1"/>
                <w:bCs w:val="1"/>
                <w:color w:val="auto"/>
                <w:w w:val="71"/>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109.7</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w w:val="92"/>
              </w:rPr>
              <w:t>1.71%</w:t>
            </w: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7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jc w:val="both"/>
        <w:ind w:left="180" w:right="120" w:hanging="172"/>
        <w:spacing w:after="0" w:line="222" w:lineRule="auto"/>
        <w:tabs>
          <w:tab w:leader="none" w:pos="244" w:val="left"/>
        </w:tabs>
        <w:numPr>
          <w:ilvl w:val="0"/>
          <w:numId w:val="35"/>
        </w:numPr>
        <w:rPr>
          <w:rFonts w:ascii="Arial" w:cs="Arial" w:eastAsia="Arial" w:hAnsi="Arial"/>
          <w:sz w:val="28"/>
          <w:szCs w:val="28"/>
          <w:color w:val="auto"/>
          <w:vertAlign w:val="superscript"/>
        </w:rPr>
      </w:pPr>
      <w:r>
        <w:rPr>
          <w:rFonts w:ascii="Arial" w:cs="Arial" w:eastAsia="Arial" w:hAnsi="Arial"/>
          <w:sz w:val="17"/>
          <w:szCs w:val="17"/>
          <w:color w:val="auto"/>
        </w:rPr>
        <w:t>Investment securities are securities in the Bank’s Investment Portfolio, which consists of securities at FVOCI and at amortized cost that are non-taxable securities. The average yield using cost-based average balances would have been 2.27%, 3.58% and 3.21%, for 2020, 2019 and 2018, respectively.</w:t>
      </w:r>
    </w:p>
    <w:p>
      <w:pPr>
        <w:spacing w:after="0" w:line="2" w:lineRule="exact"/>
        <w:rPr>
          <w:rFonts w:ascii="Arial" w:cs="Arial" w:eastAsia="Arial" w:hAnsi="Arial"/>
          <w:sz w:val="28"/>
          <w:szCs w:val="28"/>
          <w:color w:val="auto"/>
          <w:vertAlign w:val="superscript"/>
        </w:rPr>
      </w:pPr>
    </w:p>
    <w:p>
      <w:pPr>
        <w:ind w:left="220" w:hanging="212"/>
        <w:spacing w:after="0" w:line="205" w:lineRule="auto"/>
        <w:tabs>
          <w:tab w:leader="none" w:pos="220" w:val="left"/>
        </w:tabs>
        <w:numPr>
          <w:ilvl w:val="0"/>
          <w:numId w:val="35"/>
        </w:numPr>
        <w:rPr>
          <w:rFonts w:ascii="Arial" w:cs="Arial" w:eastAsia="Arial" w:hAnsi="Arial"/>
          <w:sz w:val="26"/>
          <w:szCs w:val="26"/>
          <w:color w:val="auto"/>
          <w:vertAlign w:val="superscript"/>
        </w:rPr>
      </w:pPr>
      <w:r>
        <w:rPr>
          <w:rFonts w:ascii="Arial" w:cs="Arial" w:eastAsia="Arial" w:hAnsi="Arial"/>
          <w:sz w:val="16"/>
          <w:szCs w:val="16"/>
          <w:color w:val="auto"/>
        </w:rPr>
        <w:t>The Bank obtains deposits in the form of demand deposits and time deposits from its central bank shareholders, commercial banks and corporations.</w:t>
      </w:r>
    </w:p>
    <w:p>
      <w:pPr>
        <w:spacing w:after="0" w:line="43" w:lineRule="exact"/>
        <w:rPr>
          <w:rFonts w:ascii="Arial" w:cs="Arial" w:eastAsia="Arial" w:hAnsi="Arial"/>
          <w:sz w:val="26"/>
          <w:szCs w:val="26"/>
          <w:color w:val="auto"/>
          <w:vertAlign w:val="superscript"/>
        </w:rPr>
      </w:pPr>
    </w:p>
    <w:p>
      <w:pPr>
        <w:ind w:left="220" w:hanging="212"/>
        <w:spacing w:after="0" w:line="194" w:lineRule="auto"/>
        <w:tabs>
          <w:tab w:leader="none" w:pos="220" w:val="left"/>
        </w:tabs>
        <w:numPr>
          <w:ilvl w:val="0"/>
          <w:numId w:val="35"/>
        </w:numPr>
        <w:rPr>
          <w:rFonts w:ascii="Arial" w:cs="Arial" w:eastAsia="Arial" w:hAnsi="Arial"/>
          <w:sz w:val="23"/>
          <w:szCs w:val="23"/>
          <w:color w:val="auto"/>
          <w:vertAlign w:val="superscript"/>
        </w:rPr>
      </w:pPr>
      <w:r>
        <w:rPr>
          <w:rFonts w:ascii="Arial" w:cs="Arial" w:eastAsia="Arial" w:hAnsi="Arial"/>
          <w:sz w:val="15"/>
          <w:szCs w:val="15"/>
          <w:color w:val="auto"/>
        </w:rPr>
        <w:t>Includes lease liabilities, 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7" w:name="page58"/>
    <w:bookmarkEnd w:id="57"/>
    <w:p>
      <w:pPr>
        <w:spacing w:after="0"/>
        <w:rPr>
          <w:sz w:val="20"/>
          <w:szCs w:val="20"/>
          <w:color w:val="auto"/>
        </w:rPr>
      </w:pPr>
      <w:r>
        <w:rPr>
          <w:rFonts w:ascii="Arial" w:cs="Arial" w:eastAsia="Arial" w:hAnsi="Arial"/>
          <w:sz w:val="18"/>
          <w:szCs w:val="18"/>
          <w:i w:val="1"/>
          <w:iCs w:val="1"/>
          <w:color w:val="auto"/>
        </w:rPr>
        <w:t>Fees and commissions, net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8"/>
          </w:tcPr>
          <w:p>
            <w:pPr>
              <w:jc w:val="center"/>
              <w:ind w:right="380"/>
              <w:spacing w:after="0"/>
              <w:rPr>
                <w:sz w:val="20"/>
                <w:szCs w:val="20"/>
                <w:color w:val="auto"/>
              </w:rPr>
            </w:pPr>
            <w:r>
              <w:rPr>
                <w:rFonts w:ascii="Arial" w:cs="Arial" w:eastAsia="Arial" w:hAnsi="Arial"/>
                <w:sz w:val="18"/>
                <w:szCs w:val="18"/>
                <w:b w:val="1"/>
                <w:bCs w:val="1"/>
                <w:color w:val="auto"/>
                <w:w w:val="90"/>
              </w:rPr>
              <w:t>For the Year Ended December 31,</w:t>
            </w:r>
          </w:p>
        </w:tc>
      </w:tr>
      <w:tr>
        <w:trPr>
          <w:trHeight w:val="209"/>
        </w:trPr>
        <w:tc>
          <w:tcPr>
            <w:tcW w:w="500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top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r>
      <w:tr>
        <w:trPr>
          <w:trHeight w:val="237"/>
        </w:trPr>
        <w:tc>
          <w:tcPr>
            <w:tcW w:w="500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40" w:type="dxa"/>
            <w:vAlign w:val="bottom"/>
            <w:gridSpan w:val="3"/>
          </w:tcPr>
          <w:p>
            <w:pPr>
              <w:ind w:left="20"/>
              <w:spacing w:after="0"/>
              <w:rPr>
                <w:sz w:val="20"/>
                <w:szCs w:val="20"/>
                <w:color w:val="auto"/>
              </w:rPr>
            </w:pPr>
            <w:r>
              <w:rPr>
                <w:rFonts w:ascii="Arial" w:cs="Arial" w:eastAsia="Arial" w:hAnsi="Arial"/>
                <w:sz w:val="18"/>
                <w:szCs w:val="18"/>
                <w:color w:val="auto"/>
              </w:rPr>
              <w:t>(in $ thousands)</w:t>
            </w: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Syndications</w:t>
            </w:r>
          </w:p>
        </w:tc>
        <w:tc>
          <w:tcPr>
            <w:tcW w:w="22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603</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5,622</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4,950</w:t>
            </w:r>
          </w:p>
        </w:tc>
        <w:tc>
          <w:tcPr>
            <w:tcW w:w="100" w:type="dxa"/>
            <w:vAlign w:val="bottom"/>
            <w:shd w:val="clear" w:color="auto" w:fill="CCEEFF"/>
          </w:tcPr>
          <w:p>
            <w:pPr>
              <w:spacing w:after="0"/>
              <w:rPr>
                <w:sz w:val="18"/>
                <w:szCs w:val="18"/>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color w:val="auto"/>
              </w:rPr>
              <w:t>Documentary and standby letters of credit</w:t>
            </w:r>
          </w:p>
        </w:tc>
        <w:tc>
          <w:tcPr>
            <w:tcW w:w="19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9,000</w:t>
            </w: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9,506</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10,767</w:t>
            </w:r>
          </w:p>
        </w:tc>
        <w:tc>
          <w:tcPr>
            <w:tcW w:w="100" w:type="dxa"/>
            <w:vAlign w:val="bottom"/>
          </w:tcPr>
          <w:p>
            <w:pPr>
              <w:spacing w:after="0"/>
              <w:rPr>
                <w:sz w:val="18"/>
                <w:szCs w:val="18"/>
                <w:color w:val="auto"/>
              </w:rPr>
            </w:pPr>
          </w:p>
        </w:tc>
      </w:tr>
      <w:tr>
        <w:trPr>
          <w:trHeight w:val="229"/>
        </w:trPr>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rPr>
              <w:t>Other commissions, net</w:t>
            </w:r>
          </w:p>
        </w:tc>
        <w:tc>
          <w:tcPr>
            <w:tcW w:w="19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815</w:t>
            </w: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519</w:t>
            </w:r>
          </w:p>
        </w:tc>
        <w:tc>
          <w:tcPr>
            <w:tcW w:w="2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1,468</w:t>
            </w:r>
          </w:p>
        </w:tc>
        <w:tc>
          <w:tcPr>
            <w:tcW w:w="100" w:type="dxa"/>
            <w:vAlign w:val="bottom"/>
            <w:shd w:val="clear" w:color="auto" w:fill="CCEEFF"/>
          </w:tcPr>
          <w:p>
            <w:pPr>
              <w:spacing w:after="0"/>
              <w:rPr>
                <w:sz w:val="19"/>
                <w:szCs w:val="19"/>
                <w:color w:val="auto"/>
              </w:rPr>
            </w:pPr>
          </w:p>
        </w:tc>
      </w:tr>
      <w:tr>
        <w:trPr>
          <w:trHeight w:val="216"/>
        </w:trPr>
        <w:tc>
          <w:tcPr>
            <w:tcW w:w="5000" w:type="dxa"/>
            <w:vAlign w:val="bottom"/>
          </w:tcPr>
          <w:p>
            <w:pPr>
              <w:spacing w:after="0"/>
              <w:rPr>
                <w:sz w:val="20"/>
                <w:szCs w:val="20"/>
                <w:color w:val="auto"/>
              </w:rPr>
            </w:pPr>
            <w:r>
              <w:rPr>
                <w:rFonts w:ascii="Arial" w:cs="Arial" w:eastAsia="Arial" w:hAnsi="Arial"/>
                <w:sz w:val="18"/>
                <w:szCs w:val="18"/>
                <w:b w:val="1"/>
                <w:bCs w:val="1"/>
                <w:color w:val="auto"/>
              </w:rPr>
              <w:t>Fees and commissions, net</w:t>
            </w:r>
          </w:p>
        </w:tc>
        <w:tc>
          <w:tcPr>
            <w:tcW w:w="22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10,418</w:t>
            </w:r>
          </w:p>
        </w:tc>
        <w:tc>
          <w:tcPr>
            <w:tcW w:w="260" w:type="dxa"/>
            <w:vAlign w:val="bottom"/>
          </w:tcPr>
          <w:p>
            <w:pPr>
              <w:spacing w:after="0"/>
              <w:rPr>
                <w:sz w:val="20"/>
                <w:szCs w:val="20"/>
                <w:color w:val="auto"/>
              </w:rPr>
            </w:pPr>
            <w:r>
              <w:rPr>
                <w:rFonts w:ascii="Arial" w:cs="Arial" w:eastAsia="Arial" w:hAnsi="Arial"/>
                <w:sz w:val="18"/>
                <w:szCs w:val="18"/>
                <w:b w:val="1"/>
                <w:bCs w:val="1"/>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15,647</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17,185</w:t>
            </w:r>
          </w:p>
        </w:tc>
        <w:tc>
          <w:tcPr>
            <w:tcW w:w="100" w:type="dxa"/>
            <w:vAlign w:val="bottom"/>
          </w:tcPr>
          <w:p>
            <w:pPr>
              <w:spacing w:after="0"/>
              <w:rPr>
                <w:sz w:val="18"/>
                <w:szCs w:val="18"/>
                <w:color w:val="auto"/>
              </w:rPr>
            </w:pPr>
          </w:p>
        </w:tc>
      </w:tr>
      <w:tr>
        <w:trPr>
          <w:trHeight w:val="20"/>
        </w:trPr>
        <w:tc>
          <w:tcPr>
            <w:tcW w:w="500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2020, fees and commissions totaled $10.4 million, compared to $15.6 million for the year ended December 31, 2019. The $5.2 million, or 33% decrease in fees and commissions was mainly attributable to lower levels of business from the Bank’s syndication desk in a year impacted by market uncertainty, as the Bank was able to close two mandated structured transactions during 2020, for a total principal amount of $200 million, compared to six transactions closed during 2019, for a total principal amount of $1.3 billion. Commissions from letter of credit business decreased 5% in 2020, performing similarly to pre-COVID levels in the second half of the year. Other commissions, net, which are mostly comprised of the opening and confirmation of credit commitments and guarantee contracts, net of commission expenses, registered a 57% increase in 2020 compared to 2019.</w:t>
      </w:r>
    </w:p>
    <w:p>
      <w:pPr>
        <w:spacing w:after="0" w:line="164"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2019, fees and commissions totaled $15.6 million, compared to $17.2 million for the year ended December 31, 2018. The $1.5 million, or 9% decrease resulted from the net effect of: a 12% decrease in fees from letters of credit on lower letters of credit revenues, which were partially offset by a 14% year-on-year increase in syndication fees. The Bank has positioned itself as a relevant player in originating syndicated transactions across the Region, and was able to close six transactions during 2019, for a total principal amount of $1.3 billion, compared to seven transactions during 2018, for a total principal amount of $847 million. Other commissions, net, which are mostly comprised of the opening and confirmation of credit commitments and guarantee contracts, net of commission expenses, also registered a 65% decrease in 2019 compared to 2018.</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Gain (loss) on financial instruments, net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the details of the Bank’s gain (loss) on financial instruments, net, for the periods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8"/>
          </w:tcPr>
          <w:p>
            <w:pPr>
              <w:jc w:val="center"/>
              <w:ind w:right="380"/>
              <w:spacing w:after="0"/>
              <w:rPr>
                <w:sz w:val="20"/>
                <w:szCs w:val="20"/>
                <w:color w:val="auto"/>
              </w:rPr>
            </w:pPr>
            <w:r>
              <w:rPr>
                <w:rFonts w:ascii="Arial" w:cs="Arial" w:eastAsia="Arial" w:hAnsi="Arial"/>
                <w:sz w:val="18"/>
                <w:szCs w:val="18"/>
                <w:b w:val="1"/>
                <w:bCs w:val="1"/>
                <w:color w:val="auto"/>
                <w:w w:val="90"/>
              </w:rPr>
              <w:t>For the Year Ended December 31,</w:t>
            </w:r>
          </w:p>
        </w:tc>
      </w:tr>
      <w:tr>
        <w:trPr>
          <w:trHeight w:val="209"/>
        </w:trPr>
        <w:tc>
          <w:tcPr>
            <w:tcW w:w="64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8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top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r>
      <w:tr>
        <w:trPr>
          <w:trHeight w:val="237"/>
        </w:trPr>
        <w:tc>
          <w:tcPr>
            <w:tcW w:w="64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40" w:type="dxa"/>
            <w:vAlign w:val="bottom"/>
            <w:gridSpan w:val="3"/>
          </w:tcPr>
          <w:p>
            <w:pPr>
              <w:ind w:left="20"/>
              <w:spacing w:after="0"/>
              <w:rPr>
                <w:sz w:val="20"/>
                <w:szCs w:val="20"/>
                <w:color w:val="auto"/>
              </w:rPr>
            </w:pPr>
            <w:r>
              <w:rPr>
                <w:rFonts w:ascii="Arial" w:cs="Arial" w:eastAsia="Arial" w:hAnsi="Arial"/>
                <w:sz w:val="18"/>
                <w:szCs w:val="18"/>
                <w:color w:val="auto"/>
              </w:rPr>
              <w:t>(in $ thousands)</w:t>
            </w: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w w:val="98"/>
              </w:rPr>
              <w:t>(Loss) gain on derivative financial instruments and foreign currency exchange, net</w:t>
            </w: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(1,813)</w:t>
            </w:r>
          </w:p>
        </w:tc>
        <w:tc>
          <w:tcPr>
            <w:tcW w:w="2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672</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(1,226)</w:t>
            </w:r>
          </w:p>
        </w:tc>
      </w:tr>
      <w:tr>
        <w:trPr>
          <w:trHeight w:val="216"/>
        </w:trPr>
        <w:tc>
          <w:tcPr>
            <w:tcW w:w="6460" w:type="dxa"/>
            <w:vAlign w:val="bottom"/>
          </w:tcPr>
          <w:p>
            <w:pPr>
              <w:spacing w:after="0"/>
              <w:rPr>
                <w:sz w:val="20"/>
                <w:szCs w:val="20"/>
                <w:color w:val="auto"/>
              </w:rPr>
            </w:pPr>
            <w:r>
              <w:rPr>
                <w:rFonts w:ascii="Arial" w:cs="Arial" w:eastAsia="Arial" w:hAnsi="Arial"/>
                <w:sz w:val="18"/>
                <w:szCs w:val="18"/>
                <w:color w:val="auto"/>
              </w:rPr>
              <w:t>(Loss) gain on financial instruments at fair value through profit or loss</w:t>
            </w:r>
          </w:p>
        </w:tc>
        <w:tc>
          <w:tcPr>
            <w:tcW w:w="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(2,175)</w:t>
            </w:r>
          </w:p>
        </w:tc>
        <w:tc>
          <w:tcPr>
            <w:tcW w:w="26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(2,258)</w:t>
            </w: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648</w:t>
            </w:r>
          </w:p>
        </w:tc>
      </w:tr>
      <w:tr>
        <w:trPr>
          <w:trHeight w:val="216"/>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Unrealized loss on financial instruments at fair value through profit or loss</w:t>
            </w:r>
          </w:p>
        </w:tc>
        <w:tc>
          <w:tcPr>
            <w:tcW w:w="5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(806)</w:t>
            </w: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6460" w:type="dxa"/>
            <w:vAlign w:val="bottom"/>
          </w:tcPr>
          <w:p>
            <w:pPr>
              <w:spacing w:after="0"/>
              <w:rPr>
                <w:sz w:val="20"/>
                <w:szCs w:val="20"/>
                <w:color w:val="auto"/>
              </w:rPr>
            </w:pPr>
            <w:r>
              <w:rPr>
                <w:rFonts w:ascii="Arial" w:cs="Arial" w:eastAsia="Arial" w:hAnsi="Arial"/>
                <w:sz w:val="18"/>
                <w:szCs w:val="18"/>
                <w:color w:val="auto"/>
              </w:rPr>
              <w:t>Realized gain on sale of securities at fair value through OCI</w:t>
            </w:r>
          </w:p>
        </w:tc>
        <w:tc>
          <w:tcPr>
            <w:tcW w:w="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186</w:t>
            </w: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194</w:t>
            </w:r>
          </w:p>
        </w:tc>
      </w:tr>
      <w:tr>
        <w:trPr>
          <w:trHeight w:val="230"/>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Gain (loss) on sale of loans</w:t>
            </w:r>
          </w:p>
        </w:tc>
        <w:tc>
          <w:tcPr>
            <w:tcW w:w="5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w:t>
            </w: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(625)</w:t>
            </w:r>
          </w:p>
        </w:tc>
      </w:tr>
      <w:tr>
        <w:trPr>
          <w:trHeight w:val="216"/>
        </w:trPr>
        <w:tc>
          <w:tcPr>
            <w:tcW w:w="6460" w:type="dxa"/>
            <w:vAlign w:val="bottom"/>
          </w:tcPr>
          <w:p>
            <w:pPr>
              <w:spacing w:after="0"/>
              <w:rPr>
                <w:sz w:val="20"/>
                <w:szCs w:val="20"/>
                <w:color w:val="auto"/>
              </w:rPr>
            </w:pPr>
            <w:r>
              <w:rPr>
                <w:rFonts w:ascii="Arial" w:cs="Arial" w:eastAsia="Arial" w:hAnsi="Arial"/>
                <w:sz w:val="18"/>
                <w:szCs w:val="18"/>
                <w:b w:val="1"/>
                <w:bCs w:val="1"/>
                <w:color w:val="auto"/>
              </w:rPr>
              <w:t>Loss on financial instruments, net</w:t>
            </w:r>
          </w:p>
        </w:tc>
        <w:tc>
          <w:tcPr>
            <w:tcW w:w="8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(4,794)</w:t>
            </w:r>
          </w:p>
        </w:tc>
        <w:tc>
          <w:tcPr>
            <w:tcW w:w="260" w:type="dxa"/>
            <w:vAlign w:val="bottom"/>
          </w:tcPr>
          <w:p>
            <w:pPr>
              <w:spacing w:after="0"/>
              <w:rPr>
                <w:sz w:val="20"/>
                <w:szCs w:val="20"/>
                <w:color w:val="auto"/>
              </w:rPr>
            </w:pPr>
            <w:r>
              <w:rPr>
                <w:rFonts w:ascii="Arial" w:cs="Arial" w:eastAsia="Arial" w:hAnsi="Arial"/>
                <w:sz w:val="18"/>
                <w:szCs w:val="18"/>
                <w:b w:val="1"/>
                <w:bCs w:val="1"/>
                <w:color w:val="auto"/>
              </w:rPr>
              <w:t>$</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(1,379)</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10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(1,009)</w:t>
            </w:r>
          </w:p>
        </w:tc>
      </w:tr>
      <w:tr>
        <w:trPr>
          <w:trHeight w:val="20"/>
        </w:trPr>
        <w:tc>
          <w:tcPr>
            <w:tcW w:w="646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2020, the Bank recorded a net loss on financial instruments of $4.8 million, compared to a net loss on financial instruments of $1.4 million for the year ended December 31, 2019, and a net loss on financial instruments of $1.0 million for the year ended December 31, 2018. The $3.4 million, or 248% increase in loss on financial instruments during 2020 was mainly attributable to the fair value adjustment of a debt instrument received as part of a loan restructuring back in 2018, and, to a lesser extent, to the ineffectiveness of the Bank’s foreign currency derivatives position to hedge the risk associated mainly with a portion of the notes issued under its Mexican note program. The $0.4 million, or 37% increase in loss on financial instruments during 2019 was mainly attributable to investment securities losses held at fair value through profit and loss.</w:t>
      </w: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8" w:name="page59"/>
    <w:bookmarkEnd w:id="58"/>
    <w:p>
      <w:pPr>
        <w:jc w:val="both"/>
        <w:spacing w:after="0" w:line="277" w:lineRule="auto"/>
        <w:rPr>
          <w:sz w:val="20"/>
          <w:szCs w:val="20"/>
          <w:color w:val="auto"/>
        </w:rPr>
      </w:pPr>
      <w:r>
        <w:rPr>
          <w:rFonts w:ascii="Arial" w:cs="Arial" w:eastAsia="Arial" w:hAnsi="Arial"/>
          <w:sz w:val="18"/>
          <w:szCs w:val="18"/>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purchases debt instruments with the intention of selling them prior to maturity, with the realized gain (loss) on the sale of securities recorded on financial instruments at fair value with changes in other comprehensive income. These debt instruments are classified as securities at FVOCI and are included as part of the Bank’s Credit Portfolio.</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gain (loss) on sale of loans at amortized cost corresponds to income derived from the Bank’s business stream of loan intermediation and distribution activities in the primary and secondary markets. During the year ended December 31, 2020, the Bank reported no results from sale of loans, due to decreased sale activity in the secondary markets in 2020, compared to a gain on sale of loans of $21 thousand during the year ended December 31, 2019, and a net loss on sale of loans of $0.6 million during the year ended December 31, 2018, as the Bank reduced its exposure in 2018 associated with a previously executed structured transaction.</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Other income, net</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ended December 31, 2020, the Bank recorded other income, net of $1.1 million, compared to $2.9 million and $1.7 million for the years ended December 31, 2019, and 2018, respectively. The $1.8 million or 62% decrease in other income in 2020 is mainly related to the payment of a matured investment security in the amount of $0.8 million that was recorded in 2019.</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Reversal (provision) for credit losses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reversal of provisions for credit losses totaled $1.5 million, an improved result when compared to credit loss provision charges of $0.4 million for the year ended December 31, 2019. The reversal of provisions for credit losses in 2020 was primarily due to improved credit quality derived from reduced levels of credit-impaired loans during the year, and from a 17% year-over-year decrease in Loan Portfolio balance at the end of 2020, as the Bank (i) was able to collect on virtually all scheduled loan maturities, (ii) implemented prudential measures since the onset of the COVID-19 pandemic, which prioritized liquidity over loan growth during most of the year, and (iii) focused its loan origination on sectors which management considers to be defensive in the current economic context (such as oil &amp; gas (downstream), electric power and food and beverage) under stricter credit underwriting standards.</w:t>
      </w:r>
    </w:p>
    <w:p>
      <w:pPr>
        <w:spacing w:after="0" w:line="19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2019, the Bank’s provision for credit losses totaled $0.4 million, a substantially improved result when compared to $57.5 million for the year ended December 31, 2018. The result in 2019 was primarily due to improved credit quality derived from reduced levels of credit-impaired loans, the Bank’s improved country risk profile and the scheduled repayments at maturity in 2019 of certain exposures that had previously undergone some credit deterioration since their origination, some of which were related to internal country risk downgrades or to the incorporation of certain exposures in our watch-list.</w:t>
      </w:r>
    </w:p>
    <w:p>
      <w:pPr>
        <w:spacing w:after="0" w:line="18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For the year ended December 31, 2018, provision for credit losses amounted to $57.5 million, reflecting the increase in credit-impaired loans mostly associated with the significant deterioration of a single credit in the Brazilian sugar sector, exacerbated by significant deterioration in 2018 as a result of worsening sugar fundamentals in international markets, and a resulting significant decrease in sugar prices, which decreased during 2018 to levels well below the worldwide marginal cost of production, as well as due to the risk involved in the borrower’s complex restructuring process.</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59" w:name="page60"/>
    <w:bookmarkEnd w:id="59"/>
    <w:p>
      <w:pPr>
        <w:spacing w:after="0"/>
        <w:rPr>
          <w:sz w:val="20"/>
          <w:szCs w:val="20"/>
          <w:color w:val="auto"/>
        </w:rPr>
      </w:pPr>
      <w:r>
        <w:rPr>
          <w:rFonts w:ascii="Arial" w:cs="Arial" w:eastAsia="Arial" w:hAnsi="Arial"/>
          <w:sz w:val="18"/>
          <w:szCs w:val="18"/>
          <w:i w:val="1"/>
          <w:iCs w:val="1"/>
          <w:color w:val="auto"/>
        </w:rPr>
        <w:t>Gain (loss) on non-financial assets, net</w:t>
      </w:r>
    </w:p>
    <w:p>
      <w:pPr>
        <w:spacing w:after="0" w:line="225"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For the years ended December 31, 2020 and 2019, the gain on non-financial assets, net, amounted to $0.3 million and $0.5 million, respectively, as the Bank registered an unrealized gain on an investment property in 2020, and a realized gain on the sale of an investment property in 2019.</w:t>
      </w:r>
    </w:p>
    <w:p>
      <w:pPr>
        <w:spacing w:after="0" w:line="14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For the year ended December 31, 2018, the loss on non-financial assets, net, amounted to $10.0 million, $4.0 million of which was associated with write offs corresponding mainly to technological projects classified as intangible assets ($2.7 million) and other assets under development ($1.3 million). The remaining amount relates to the storage silos received by the Bank as payment for a restructured loan transaction that were recorded as investment properties and as other assets under development of the deed, with carrying amounts of $3.8 million and $1.7 million, respectively, which were assessed in 2018 by the Bank to have a fair value of zero.</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Operating Expenses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During the year ended December 31, 2020, the Bank’s operating expenses totaled $37.3 million, compared to $40.7 million for the year ended December 31, 2019. The $3.4 million or 8% decrease in operating expenses was primarily related to lower personnel expenses, mostly due to lower performance-based variable compensation, as well as other cost savings related to the COVID-19 pandemic.</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During the year ended December 31, 2019, the Bank’s operating expenses totaled $40.7 million, compared to $48.9 million for the year ended December 31, 2018. The $8.2 million, or 17% decrease was mainly attributable to a 14% decrease in employee-related expenses resulting from the Bank’s personnel restructuring in 2018, together with other cost savings, such as previous rental expenses which, due to the adoption of a new accounting standard IFRS 16 in 2019, are now characterized as depreciation and interest expense, as well as the absence of certain one-time expenses that were recorded in 2018.</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Business Segment Analysis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Bank’s activities are managed and executed in two business segments: Commercial and Treasury.</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business segment results are determined based on the Bank’s managerial accounting process as defined by IFRS 8 – Operating Segments, which assigns assets, liabilities, revenue and expense items to each business segment on a systemic basis.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net interest income represents the main driver of profits for the year. Interest income is generated by interest-earning assets, which include interest-bearing deposits with banks, loans, and investment securities.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certain information of the Bank’s operations by business segment for the periods indicated:</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7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9"/>
          </w:tcPr>
          <w:p>
            <w:pPr>
              <w:jc w:val="center"/>
              <w:ind w:right="380"/>
              <w:spacing w:after="0"/>
              <w:rPr>
                <w:sz w:val="20"/>
                <w:szCs w:val="20"/>
                <w:color w:val="auto"/>
              </w:rPr>
            </w:pPr>
            <w:r>
              <w:rPr>
                <w:rFonts w:ascii="Arial" w:cs="Arial" w:eastAsia="Arial" w:hAnsi="Arial"/>
                <w:sz w:val="18"/>
                <w:szCs w:val="18"/>
                <w:b w:val="1"/>
                <w:bCs w:val="1"/>
                <w:color w:val="auto"/>
                <w:w w:val="90"/>
              </w:rPr>
              <w:t>For the Year Ended December 31,</w:t>
            </w:r>
          </w:p>
        </w:tc>
        <w:tc>
          <w:tcPr>
            <w:tcW w:w="0" w:type="dxa"/>
            <w:vAlign w:val="bottom"/>
          </w:tcPr>
          <w:p>
            <w:pPr>
              <w:spacing w:after="0"/>
              <w:rPr>
                <w:sz w:val="1"/>
                <w:szCs w:val="1"/>
                <w:color w:val="auto"/>
              </w:rPr>
            </w:pPr>
          </w:p>
        </w:tc>
      </w:tr>
      <w:tr>
        <w:trPr>
          <w:trHeight w:val="223"/>
        </w:trPr>
        <w:tc>
          <w:tcPr>
            <w:tcW w:w="4740" w:type="dxa"/>
            <w:vAlign w:val="bottom"/>
          </w:tcPr>
          <w:p>
            <w:pPr>
              <w:spacing w:after="0"/>
              <w:rPr>
                <w:sz w:val="19"/>
                <w:szCs w:val="19"/>
                <w:color w:val="auto"/>
              </w:rPr>
            </w:pPr>
          </w:p>
        </w:tc>
        <w:tc>
          <w:tcPr>
            <w:tcW w:w="224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top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center"/>
              <w:ind w:right="150"/>
              <w:spacing w:after="0"/>
              <w:rPr>
                <w:sz w:val="20"/>
                <w:szCs w:val="20"/>
                <w:color w:val="auto"/>
              </w:rPr>
            </w:pPr>
            <w:r>
              <w:rPr>
                <w:rFonts w:ascii="Arial" w:cs="Arial" w:eastAsia="Arial" w:hAnsi="Arial"/>
                <w:sz w:val="18"/>
                <w:szCs w:val="18"/>
                <w:b w:val="1"/>
                <w:bCs w:val="1"/>
                <w:color w:val="auto"/>
                <w:w w:val="89"/>
              </w:rPr>
              <w:t>2019</w:t>
            </w: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4740" w:type="dxa"/>
            <w:vAlign w:val="bottom"/>
            <w:vMerge w:val="restart"/>
          </w:tcPr>
          <w:p>
            <w:pPr>
              <w:spacing w:after="0"/>
              <w:rPr>
                <w:sz w:val="20"/>
                <w:szCs w:val="20"/>
                <w:color w:val="auto"/>
              </w:rPr>
            </w:pPr>
            <w:r>
              <w:rPr>
                <w:rFonts w:ascii="Arial" w:cs="Arial" w:eastAsia="Arial" w:hAnsi="Arial"/>
                <w:sz w:val="18"/>
                <w:szCs w:val="18"/>
                <w:b w:val="1"/>
                <w:bCs w:val="1"/>
                <w:color w:val="auto"/>
              </w:rPr>
              <w:t>COMMERCIAL:</w:t>
            </w:r>
          </w:p>
        </w:tc>
        <w:tc>
          <w:tcPr>
            <w:tcW w:w="22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980" w:type="dxa"/>
            <w:vAlign w:val="bottom"/>
            <w:gridSpan w:val="9"/>
          </w:tcPr>
          <w:p>
            <w:pPr>
              <w:jc w:val="center"/>
              <w:ind w:right="380"/>
              <w:spacing w:after="0"/>
              <w:rPr>
                <w:sz w:val="20"/>
                <w:szCs w:val="20"/>
                <w:color w:val="auto"/>
              </w:rPr>
            </w:pPr>
            <w:r>
              <w:rPr>
                <w:rFonts w:ascii="Arial" w:cs="Arial" w:eastAsia="Arial" w:hAnsi="Arial"/>
                <w:sz w:val="18"/>
                <w:szCs w:val="18"/>
                <w:color w:val="auto"/>
                <w:w w:val="87"/>
              </w:rPr>
              <w:t>(in $ thousands, except percentages)</w:t>
            </w:r>
          </w:p>
        </w:tc>
        <w:tc>
          <w:tcPr>
            <w:tcW w:w="0" w:type="dxa"/>
            <w:vAlign w:val="bottom"/>
          </w:tcPr>
          <w:p>
            <w:pPr>
              <w:spacing w:after="0"/>
              <w:rPr>
                <w:sz w:val="1"/>
                <w:szCs w:val="1"/>
                <w:color w:val="auto"/>
              </w:rPr>
            </w:pPr>
          </w:p>
        </w:tc>
      </w:tr>
      <w:tr>
        <w:trPr>
          <w:trHeight w:val="216"/>
        </w:trPr>
        <w:tc>
          <w:tcPr>
            <w:tcW w:w="4740" w:type="dxa"/>
            <w:vAlign w:val="bottom"/>
            <w:vMerge w:val="continue"/>
          </w:tcPr>
          <w:p>
            <w:pPr>
              <w:spacing w:after="0"/>
              <w:rPr>
                <w:sz w:val="18"/>
                <w:szCs w:val="18"/>
                <w:color w:val="auto"/>
              </w:rPr>
            </w:pP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Net interest income</w:t>
            </w:r>
          </w:p>
        </w:tc>
        <w:tc>
          <w:tcPr>
            <w:tcW w:w="25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87,921</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108,398</w:t>
            </w:r>
          </w:p>
        </w:tc>
        <w:tc>
          <w:tcPr>
            <w:tcW w:w="34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109,781</w:t>
            </w:r>
          </w:p>
        </w:tc>
        <w:tc>
          <w:tcPr>
            <w:tcW w:w="0" w:type="dxa"/>
            <w:vAlign w:val="bottom"/>
          </w:tcPr>
          <w:p>
            <w:pPr>
              <w:spacing w:after="0"/>
              <w:rPr>
                <w:sz w:val="1"/>
                <w:szCs w:val="1"/>
                <w:color w:val="auto"/>
              </w:rPr>
            </w:pPr>
          </w:p>
        </w:tc>
      </w:tr>
      <w:tr>
        <w:trPr>
          <w:trHeight w:val="230"/>
        </w:trPr>
        <w:tc>
          <w:tcPr>
            <w:tcW w:w="4740" w:type="dxa"/>
            <w:vAlign w:val="bottom"/>
          </w:tcPr>
          <w:p>
            <w:pPr>
              <w:ind w:left="180"/>
              <w:spacing w:after="0"/>
              <w:rPr>
                <w:sz w:val="20"/>
                <w:szCs w:val="20"/>
                <w:color w:val="auto"/>
              </w:rPr>
            </w:pPr>
            <w:r>
              <w:rPr>
                <w:rFonts w:ascii="Arial" w:cs="Arial" w:eastAsia="Arial" w:hAnsi="Arial"/>
                <w:sz w:val="18"/>
                <w:szCs w:val="18"/>
                <w:color w:val="auto"/>
              </w:rPr>
              <w:t>Other income (expense), net</w:t>
            </w:r>
          </w:p>
        </w:tc>
        <w:tc>
          <w:tcPr>
            <w:tcW w:w="2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8,597</w:t>
            </w:r>
          </w:p>
        </w:tc>
        <w:tc>
          <w:tcPr>
            <w:tcW w:w="260" w:type="dxa"/>
            <w:vAlign w:val="bottom"/>
          </w:tcPr>
          <w:p>
            <w:pPr>
              <w:spacing w:after="0"/>
              <w:rPr>
                <w:sz w:val="19"/>
                <w:szCs w:val="19"/>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15,577</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18,002</w:t>
            </w: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revenues</w:t>
            </w:r>
          </w:p>
        </w:tc>
        <w:tc>
          <w:tcPr>
            <w:tcW w:w="2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96,518</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123,975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127,783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Arial" w:cs="Arial" w:eastAsia="Arial" w:hAnsi="Arial"/>
                <w:sz w:val="18"/>
                <w:szCs w:val="18"/>
                <w:color w:val="auto"/>
              </w:rPr>
              <w:t>Reversal (provision) for credit losses</w:t>
            </w: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1,889</w:t>
            </w:r>
          </w:p>
        </w:tc>
        <w:tc>
          <w:tcPr>
            <w:tcW w:w="260" w:type="dxa"/>
            <w:vAlign w:val="bottom"/>
          </w:tcPr>
          <w:p>
            <w:pPr>
              <w:spacing w:after="0"/>
              <w:rPr>
                <w:sz w:val="18"/>
                <w:szCs w:val="18"/>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(744)</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(57,621)</w:t>
            </w: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Gain (loss) on non-financial assets, net</w:t>
            </w:r>
          </w:p>
        </w:tc>
        <w:tc>
          <w:tcPr>
            <w:tcW w:w="2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296</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(5,967)</w:t>
            </w:r>
          </w:p>
        </w:tc>
        <w:tc>
          <w:tcPr>
            <w:tcW w:w="0" w:type="dxa"/>
            <w:vAlign w:val="bottom"/>
          </w:tcPr>
          <w:p>
            <w:pPr>
              <w:spacing w:after="0"/>
              <w:rPr>
                <w:sz w:val="1"/>
                <w:szCs w:val="1"/>
                <w:color w:val="auto"/>
              </w:rPr>
            </w:pPr>
          </w:p>
        </w:tc>
      </w:tr>
      <w:tr>
        <w:trPr>
          <w:trHeight w:val="230"/>
        </w:trPr>
        <w:tc>
          <w:tcPr>
            <w:tcW w:w="474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2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(28,021)</w:t>
            </w:r>
          </w:p>
        </w:tc>
        <w:tc>
          <w:tcPr>
            <w:tcW w:w="26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(31,183)</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(37,436)</w:t>
            </w: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Profit for the segment</w:t>
            </w:r>
          </w:p>
        </w:tc>
        <w:tc>
          <w:tcPr>
            <w:tcW w:w="2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70,682</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92,548</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26,759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TREASURY:</w:t>
            </w:r>
          </w:p>
        </w:tc>
        <w:tc>
          <w:tcPr>
            <w:tcW w:w="2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25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4,529</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1,117</w:t>
            </w:r>
          </w:p>
        </w:tc>
        <w:tc>
          <w:tcPr>
            <w:tcW w:w="34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(38)</w:t>
            </w:r>
          </w:p>
        </w:tc>
        <w:tc>
          <w:tcPr>
            <w:tcW w:w="0" w:type="dxa"/>
            <w:vAlign w:val="bottom"/>
          </w:tcPr>
          <w:p>
            <w:pPr>
              <w:spacing w:after="0"/>
              <w:rPr>
                <w:sz w:val="1"/>
                <w:szCs w:val="1"/>
                <w:color w:val="auto"/>
              </w:rPr>
            </w:pPr>
          </w:p>
        </w:tc>
      </w:tr>
      <w:tr>
        <w:trPr>
          <w:trHeight w:val="229"/>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 net</w:t>
            </w:r>
          </w:p>
        </w:tc>
        <w:tc>
          <w:tcPr>
            <w:tcW w:w="22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(1,890)</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1,565</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(156)</w:t>
            </w: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Arial" w:cs="Arial" w:eastAsia="Arial" w:hAnsi="Arial"/>
                <w:sz w:val="18"/>
                <w:szCs w:val="18"/>
                <w:color w:val="auto"/>
              </w:rPr>
              <w:t>Total revenues</w:t>
            </w: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2,639</w:t>
            </w: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2,682</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(194)</w:t>
            </w: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Provision (reversal) for credit losses</w:t>
            </w:r>
          </w:p>
        </w:tc>
        <w:tc>
          <w:tcPr>
            <w:tcW w:w="2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(425)</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314</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w:t>
            </w:r>
          </w:p>
        </w:tc>
        <w:tc>
          <w:tcPr>
            <w:tcW w:w="0" w:type="dxa"/>
            <w:vAlign w:val="bottom"/>
          </w:tcPr>
          <w:p>
            <w:pPr>
              <w:spacing w:after="0"/>
              <w:rPr>
                <w:sz w:val="1"/>
                <w:szCs w:val="1"/>
                <w:color w:val="auto"/>
              </w:rPr>
            </w:pPr>
          </w:p>
        </w:tc>
      </w:tr>
      <w:tr>
        <w:trPr>
          <w:trHeight w:val="229"/>
        </w:trPr>
        <w:tc>
          <w:tcPr>
            <w:tcW w:w="4740" w:type="dxa"/>
            <w:vAlign w:val="bottom"/>
          </w:tcPr>
          <w:p>
            <w:pPr>
              <w:ind w:left="180"/>
              <w:spacing w:after="0"/>
              <w:rPr>
                <w:sz w:val="20"/>
                <w:szCs w:val="20"/>
                <w:color w:val="auto"/>
              </w:rPr>
            </w:pPr>
            <w:r>
              <w:rPr>
                <w:rFonts w:ascii="Arial" w:cs="Arial" w:eastAsia="Arial" w:hAnsi="Arial"/>
                <w:sz w:val="18"/>
                <w:szCs w:val="18"/>
                <w:color w:val="auto"/>
              </w:rPr>
              <w:t>Operating expenses</w:t>
            </w:r>
          </w:p>
        </w:tc>
        <w:tc>
          <w:tcPr>
            <w:tcW w:w="2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(9,303)</w:t>
            </w:r>
          </w:p>
        </w:tc>
        <w:tc>
          <w:tcPr>
            <w:tcW w:w="260" w:type="dxa"/>
            <w:vAlign w:val="bottom"/>
          </w:tcPr>
          <w:p>
            <w:pPr>
              <w:spacing w:after="0"/>
              <w:rPr>
                <w:sz w:val="19"/>
                <w:szCs w:val="19"/>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8"/>
                <w:szCs w:val="18"/>
                <w:color w:val="auto"/>
              </w:rPr>
              <w:t>(9,491)</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(11,482)</w:t>
            </w:r>
          </w:p>
        </w:tc>
        <w:tc>
          <w:tcPr>
            <w:tcW w:w="0" w:type="dxa"/>
            <w:vAlign w:val="bottom"/>
          </w:tcPr>
          <w:p>
            <w:pPr>
              <w:spacing w:after="0"/>
              <w:rPr>
                <w:sz w:val="1"/>
                <w:szCs w:val="1"/>
                <w:color w:val="auto"/>
              </w:rPr>
            </w:pPr>
          </w:p>
        </w:tc>
      </w:tr>
      <w:tr>
        <w:trPr>
          <w:trHeight w:val="210"/>
        </w:trPr>
        <w:tc>
          <w:tcPr>
            <w:tcW w:w="474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b w:val="1"/>
                <w:bCs w:val="1"/>
                <w:color w:val="auto"/>
              </w:rPr>
              <w:t>Loss for the segment</w:t>
            </w:r>
          </w:p>
        </w:tc>
        <w:tc>
          <w:tcPr>
            <w:tcW w:w="2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(7,089)</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(6,495)</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(11,570)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2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2520" w:type="dxa"/>
            <w:vAlign w:val="bottom"/>
            <w:gridSpan w:val="2"/>
          </w:tcPr>
          <w:p>
            <w:pPr>
              <w:jc w:val="right"/>
              <w:ind w:right="9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92,450</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109,515</w:t>
            </w:r>
          </w:p>
        </w:tc>
        <w:tc>
          <w:tcPr>
            <w:tcW w:w="340" w:type="dxa"/>
            <w:vAlign w:val="bottom"/>
            <w:gridSpan w:val="2"/>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109,743</w:t>
            </w:r>
          </w:p>
        </w:tc>
        <w:tc>
          <w:tcPr>
            <w:tcW w:w="0" w:type="dxa"/>
            <w:vAlign w:val="bottom"/>
          </w:tcPr>
          <w:p>
            <w:pPr>
              <w:spacing w:after="0"/>
              <w:rPr>
                <w:sz w:val="1"/>
                <w:szCs w:val="1"/>
                <w:color w:val="auto"/>
              </w:rPr>
            </w:pPr>
          </w:p>
        </w:tc>
      </w:tr>
      <w:tr>
        <w:trPr>
          <w:trHeight w:val="229"/>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Other income (expense), net</w:t>
            </w:r>
          </w:p>
        </w:tc>
        <w:tc>
          <w:tcPr>
            <w:tcW w:w="22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6,707</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17,142</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17,846</w:t>
            </w:r>
          </w:p>
        </w:tc>
        <w:tc>
          <w:tcPr>
            <w:tcW w:w="0" w:type="dxa"/>
            <w:vAlign w:val="bottom"/>
          </w:tcPr>
          <w:p>
            <w:pPr>
              <w:spacing w:after="0"/>
              <w:rPr>
                <w:sz w:val="1"/>
                <w:szCs w:val="1"/>
                <w:color w:val="auto"/>
              </w:rPr>
            </w:pPr>
          </w:p>
        </w:tc>
      </w:tr>
      <w:tr>
        <w:trPr>
          <w:trHeight w:val="210"/>
        </w:trPr>
        <w:tc>
          <w:tcPr>
            <w:tcW w:w="4740" w:type="dxa"/>
            <w:vAlign w:val="bottom"/>
          </w:tcPr>
          <w:p>
            <w:pPr>
              <w:ind w:left="180"/>
              <w:spacing w:after="0"/>
              <w:rPr>
                <w:sz w:val="20"/>
                <w:szCs w:val="20"/>
                <w:color w:val="auto"/>
              </w:rPr>
            </w:pPr>
            <w:r>
              <w:rPr>
                <w:rFonts w:ascii="Arial" w:cs="Arial" w:eastAsia="Arial" w:hAnsi="Arial"/>
                <w:sz w:val="18"/>
                <w:szCs w:val="18"/>
                <w:color w:val="auto"/>
              </w:rPr>
              <w:t>Total revenues</w:t>
            </w:r>
          </w:p>
        </w:tc>
        <w:tc>
          <w:tcPr>
            <w:tcW w:w="224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99,157</w:t>
            </w:r>
          </w:p>
        </w:tc>
        <w:tc>
          <w:tcPr>
            <w:tcW w:w="22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126,657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127,589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Reversal (provision) for credit losses</w:t>
            </w:r>
          </w:p>
        </w:tc>
        <w:tc>
          <w:tcPr>
            <w:tcW w:w="2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1,464</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(430)</w:t>
            </w:r>
          </w:p>
        </w:tc>
        <w:tc>
          <w:tcPr>
            <w:tcW w:w="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(57,515)</w:t>
            </w:r>
          </w:p>
        </w:tc>
        <w:tc>
          <w:tcPr>
            <w:tcW w:w="0" w:type="dxa"/>
            <w:vAlign w:val="bottom"/>
          </w:tcPr>
          <w:p>
            <w:pPr>
              <w:spacing w:after="0"/>
              <w:rPr>
                <w:sz w:val="1"/>
                <w:szCs w:val="1"/>
                <w:color w:val="auto"/>
              </w:rPr>
            </w:pPr>
          </w:p>
        </w:tc>
      </w:tr>
      <w:tr>
        <w:trPr>
          <w:trHeight w:val="216"/>
        </w:trPr>
        <w:tc>
          <w:tcPr>
            <w:tcW w:w="4740" w:type="dxa"/>
            <w:vAlign w:val="bottom"/>
          </w:tcPr>
          <w:p>
            <w:pPr>
              <w:ind w:left="180"/>
              <w:spacing w:after="0"/>
              <w:rPr>
                <w:sz w:val="20"/>
                <w:szCs w:val="20"/>
                <w:color w:val="auto"/>
              </w:rPr>
            </w:pPr>
            <w:r>
              <w:rPr>
                <w:rFonts w:ascii="Arial" w:cs="Arial" w:eastAsia="Arial" w:hAnsi="Arial"/>
                <w:sz w:val="18"/>
                <w:szCs w:val="18"/>
                <w:color w:val="auto"/>
              </w:rPr>
              <w:t>Gain (loss) on non-financial assets, net</w:t>
            </w:r>
          </w:p>
        </w:tc>
        <w:tc>
          <w:tcPr>
            <w:tcW w:w="2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296</w:t>
            </w:r>
          </w:p>
        </w:tc>
        <w:tc>
          <w:tcPr>
            <w:tcW w:w="260" w:type="dxa"/>
            <w:vAlign w:val="bottom"/>
          </w:tcPr>
          <w:p>
            <w:pPr>
              <w:spacing w:after="0"/>
              <w:rPr>
                <w:sz w:val="18"/>
                <w:szCs w:val="18"/>
                <w:color w:val="auto"/>
              </w:rPr>
            </w:pPr>
          </w:p>
        </w:tc>
        <w:tc>
          <w:tcPr>
            <w:tcW w:w="1100" w:type="dxa"/>
            <w:vAlign w:val="bottom"/>
            <w:gridSpan w:val="2"/>
          </w:tcPr>
          <w:p>
            <w:pPr>
              <w:jc w:val="right"/>
              <w:ind w:right="140"/>
              <w:spacing w:after="0"/>
              <w:rPr>
                <w:sz w:val="20"/>
                <w:szCs w:val="20"/>
                <w:color w:val="auto"/>
              </w:rPr>
            </w:pPr>
            <w:r>
              <w:rPr>
                <w:rFonts w:ascii="Arial" w:cs="Arial" w:eastAsia="Arial" w:hAnsi="Arial"/>
                <w:sz w:val="18"/>
                <w:szCs w:val="18"/>
                <w:color w:val="auto"/>
              </w:rPr>
              <w:t>500</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(5,967)</w:t>
            </w:r>
          </w:p>
        </w:tc>
        <w:tc>
          <w:tcPr>
            <w:tcW w:w="0" w:type="dxa"/>
            <w:vAlign w:val="bottom"/>
          </w:tcPr>
          <w:p>
            <w:pPr>
              <w:spacing w:after="0"/>
              <w:rPr>
                <w:sz w:val="1"/>
                <w:szCs w:val="1"/>
                <w:color w:val="auto"/>
              </w:rPr>
            </w:pPr>
          </w:p>
        </w:tc>
      </w:tr>
      <w:tr>
        <w:trPr>
          <w:trHeight w:val="229"/>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Operating expenses</w:t>
            </w:r>
          </w:p>
        </w:tc>
        <w:tc>
          <w:tcPr>
            <w:tcW w:w="22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(37,324)</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(40,674)</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(48,918)</w:t>
            </w:r>
          </w:p>
        </w:tc>
        <w:tc>
          <w:tcPr>
            <w:tcW w:w="0" w:type="dxa"/>
            <w:vAlign w:val="bottom"/>
          </w:tcPr>
          <w:p>
            <w:pPr>
              <w:spacing w:after="0"/>
              <w:rPr>
                <w:sz w:val="1"/>
                <w:szCs w:val="1"/>
                <w:color w:val="auto"/>
              </w:rPr>
            </w:pPr>
          </w:p>
        </w:tc>
      </w:tr>
      <w:tr>
        <w:trPr>
          <w:trHeight w:val="209"/>
        </w:trPr>
        <w:tc>
          <w:tcPr>
            <w:tcW w:w="4740" w:type="dxa"/>
            <w:vAlign w:val="bottom"/>
          </w:tcPr>
          <w:p>
            <w:pPr>
              <w:ind w:left="180"/>
              <w:spacing w:after="0"/>
              <w:rPr>
                <w:sz w:val="20"/>
                <w:szCs w:val="20"/>
                <w:color w:val="auto"/>
              </w:rPr>
            </w:pPr>
            <w:r>
              <w:rPr>
                <w:rFonts w:ascii="Arial" w:cs="Arial" w:eastAsia="Arial" w:hAnsi="Arial"/>
                <w:sz w:val="18"/>
                <w:szCs w:val="18"/>
                <w:b w:val="1"/>
                <w:bCs w:val="1"/>
                <w:color w:val="auto"/>
              </w:rPr>
              <w:t>Total profit for reportable segments</w:t>
            </w:r>
          </w:p>
        </w:tc>
        <w:tc>
          <w:tcPr>
            <w:tcW w:w="2240" w:type="dxa"/>
            <w:vAlign w:val="bottom"/>
          </w:tcPr>
          <w:p>
            <w:pPr>
              <w:spacing w:after="0"/>
              <w:rPr>
                <w:sz w:val="18"/>
                <w:szCs w:val="18"/>
                <w:color w:val="auto"/>
              </w:rPr>
            </w:pPr>
          </w:p>
        </w:tc>
        <w:tc>
          <w:tcPr>
            <w:tcW w:w="28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63,593</w:t>
            </w:r>
          </w:p>
        </w:tc>
        <w:tc>
          <w:tcPr>
            <w:tcW w:w="220" w:type="dxa"/>
            <w:vAlign w:val="bottom"/>
          </w:tcPr>
          <w:p>
            <w:pPr>
              <w:spacing w:after="0"/>
              <w:rPr>
                <w:sz w:val="18"/>
                <w:szCs w:val="18"/>
                <w:color w:val="auto"/>
              </w:rPr>
            </w:pPr>
          </w:p>
        </w:tc>
        <w:tc>
          <w:tcPr>
            <w:tcW w:w="260" w:type="dxa"/>
            <w:vAlign w:val="bottom"/>
            <w:tcBorders>
              <w:top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86,053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15,189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Unallocated impairment loss on non-financial assets</w:t>
            </w:r>
          </w:p>
        </w:tc>
        <w:tc>
          <w:tcPr>
            <w:tcW w:w="22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0</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(4,051)</w:t>
            </w:r>
          </w:p>
        </w:tc>
        <w:tc>
          <w:tcPr>
            <w:tcW w:w="0" w:type="dxa"/>
            <w:vAlign w:val="bottom"/>
          </w:tcPr>
          <w:p>
            <w:pPr>
              <w:spacing w:after="0"/>
              <w:rPr>
                <w:sz w:val="1"/>
                <w:szCs w:val="1"/>
                <w:color w:val="auto"/>
              </w:rPr>
            </w:pPr>
          </w:p>
        </w:tc>
      </w:tr>
      <w:tr>
        <w:trPr>
          <w:trHeight w:val="228"/>
        </w:trPr>
        <w:tc>
          <w:tcPr>
            <w:tcW w:w="4740" w:type="dxa"/>
            <w:vAlign w:val="bottom"/>
          </w:tcPr>
          <w:p>
            <w:pPr>
              <w:ind w:left="180"/>
              <w:spacing w:after="0"/>
              <w:rPr>
                <w:sz w:val="20"/>
                <w:szCs w:val="20"/>
                <w:color w:val="auto"/>
              </w:rPr>
            </w:pPr>
            <w:r>
              <w:rPr>
                <w:rFonts w:ascii="Arial" w:cs="Arial" w:eastAsia="Arial" w:hAnsi="Arial"/>
                <w:sz w:val="18"/>
                <w:szCs w:val="18"/>
                <w:b w:val="1"/>
                <w:bCs w:val="1"/>
                <w:color w:val="auto"/>
              </w:rPr>
              <w:t>Profit for the year</w:t>
            </w:r>
          </w:p>
        </w:tc>
        <w:tc>
          <w:tcPr>
            <w:tcW w:w="2240" w:type="dxa"/>
            <w:vAlign w:val="bottom"/>
          </w:tcPr>
          <w:p>
            <w:pPr>
              <w:spacing w:after="0"/>
              <w:rPr>
                <w:sz w:val="19"/>
                <w:szCs w:val="19"/>
                <w:color w:val="auto"/>
              </w:rPr>
            </w:pPr>
          </w:p>
        </w:tc>
        <w:tc>
          <w:tcPr>
            <w:tcW w:w="28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63,593</w:t>
            </w:r>
          </w:p>
        </w:tc>
        <w:tc>
          <w:tcPr>
            <w:tcW w:w="220" w:type="dxa"/>
            <w:vAlign w:val="bottom"/>
          </w:tcPr>
          <w:p>
            <w:pPr>
              <w:spacing w:after="0"/>
              <w:rPr>
                <w:sz w:val="19"/>
                <w:szCs w:val="19"/>
                <w:color w:val="auto"/>
              </w:rPr>
            </w:pPr>
          </w:p>
        </w:tc>
        <w:tc>
          <w:tcPr>
            <w:tcW w:w="260" w:type="dxa"/>
            <w:vAlign w:val="bottom"/>
            <w:tcBorders>
              <w:top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86,053</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60" w:type="dxa"/>
            <w:vAlign w:val="bottom"/>
            <w:tcBorders>
              <w:top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11,138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30"/>
        </w:trPr>
        <w:tc>
          <w:tcPr>
            <w:tcW w:w="47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jc w:val="right"/>
              <w:ind w:right="1170"/>
              <w:spacing w:after="0"/>
              <w:rPr>
                <w:sz w:val="20"/>
                <w:szCs w:val="20"/>
                <w:color w:val="auto"/>
              </w:rPr>
            </w:pPr>
            <w:r>
              <w:rPr>
                <w:rFonts w:ascii="Arial" w:cs="Arial" w:eastAsia="Arial" w:hAnsi="Arial"/>
                <w:sz w:val="18"/>
                <w:szCs w:val="18"/>
                <w:color w:val="auto"/>
              </w:rPr>
              <w:t>57</w:t>
            </w: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406"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i w:val="1"/>
          <w:iCs w:val="1"/>
          <w:color w:val="auto"/>
        </w:rPr>
        <w:t>The Commercial Business Segment</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See Item 4, “Information on the Company – Business Overview – Commercial Portfolio.”</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and from loan structuring and syndication activities; (iii) gain on sale of loans generated through loan intermediation activities, such as sales and distribution in the primary market; (iv) gain (loss) on sale on financial instruments measured at FVTPL; (v) reversal (provision) for credit losses; (vi) gain (loss) on other non-financial assets, net; and (vii) direct and allocated operating expenses.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2020 vs. Year 2019</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Commercial Business Segment’s profit of $70.7 million for the year 2020 was mainly impacted by: (i) reversal of provisions for credit loses totaling $1.9 million in 2020, compared to provision charges of $0.7 million in 2019, which was due to lower Loan Portfolio balances as well as the Bank’s timely collection of scheduled maturities and improved asset quality on origination focused on defensive sectors under stricter credit underwriting standards, (ii) lower core income generation from interest and commission income, impacted by the Bank’s defensive approach to prioritize liquidity over loan growth during most of the year, coupled with the impact of decreased market rates, and lower transactions from the Bank’s syndication desk in a year impacted by market uncertainty, and (iii) a $3.3 million or 8% decrease in operating expenses primarily related to lower personnel expenses, mostly due to a lower performance-based variable compensation, and other cost savings related to the COVID-19 pandemic.</w:t>
      </w: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1" w:name="page62"/>
    <w:bookmarkEnd w:id="61"/>
    <w:p>
      <w:pPr>
        <w:spacing w:after="0"/>
        <w:rPr>
          <w:sz w:val="20"/>
          <w:szCs w:val="20"/>
          <w:color w:val="auto"/>
        </w:rPr>
      </w:pPr>
      <w:r>
        <w:rPr>
          <w:rFonts w:ascii="Arial" w:cs="Arial" w:eastAsia="Arial" w:hAnsi="Arial"/>
          <w:sz w:val="18"/>
          <w:szCs w:val="18"/>
          <w:i w:val="1"/>
          <w:iCs w:val="1"/>
          <w:u w:val="single" w:color="auto"/>
          <w:color w:val="auto"/>
        </w:rPr>
        <w:t>Year 2019 vs. Year 2018</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Commercial Business Segment’s profit of $94.8 million for the year 2019 was mainly impacted by: (i) substantially lower provisions for credit losses of $0.7 million in 2019, compared to $57.6 million in 2018, which was due to the Bank’s improved risk profile as a result of higher quality loan originations, the timely collection of scheduled maturities of its watch-list exposures, and no new credits classified as credit-impaired loans since the third quarter of 2018, (ii) steady top line total revenues resulting in a $1.5 million or 1% decrease, as the Bank was able to maintain relatively stable financial margins and average Commercial Portfolio volumes, mainly resulting from the shifting of its credit underwriting toward lower risk countries and (iii) a $6.2 million or 17% decrease in operating expenses as a result of the Bank's continued efforts and focus on effective cost control management and overall improved structural and operational efficiencies.</w:t>
      </w:r>
    </w:p>
    <w:p>
      <w:pPr>
        <w:spacing w:after="0" w:line="19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The Treasury Business Segment</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78"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provision (reversal) for credit losses, and direct and allocated operating expenses.</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2020 vs. Year 2019</w:t>
      </w:r>
    </w:p>
    <w:p>
      <w:pPr>
        <w:spacing w:after="0" w:line="225"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The Treasury Business Segment reported a loss of $7.1 million for the year 2020, compared to a loss of $6.5 million for the year 2019. The $0.6 million, or 9% increase in the Treasury Business Segment’s loss was primarily associated with losses on financial instruments mainly due to the ineffectiveness of the Bank’s derivatives hedging position, and a $0.4 million provision for credit losses recorded in 2020 compared to a $0.3 million reversal for credit losses in 2019. These factors were only partially compensated by an increase in net interest income due to the Bank’s liability sensitivity interest rate gap in a declining interest rate environment, coupled with an increased bond portfolio driving higher yields of assets managed by the Treasury Business Segment.</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i w:val="1"/>
          <w:iCs w:val="1"/>
          <w:u w:val="single" w:color="auto"/>
          <w:color w:val="auto"/>
        </w:rPr>
        <w:t>Year 2019 vs. Year 2018</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Treasury Business Segment reported a loss of $8.7 million for the year 2019, compared to a loss of $11.6 million for the year 2018. The improvement of $2.8 million, or 24% was primarily associated with an increase in total revenues, mainly from the $1.2 million increase in net interest income, as a result of a positive gap income in an environment characterized by increasing interest rates, as well as a $2.0 million or 17% decrease in operating expenses as a result of the Bank's continued effort and focus on effective cost control management and overall improved structural and operational efficiencies.</w:t>
      </w: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i w:val="1"/>
          <w:iCs w:val="1"/>
          <w:color w:val="auto"/>
        </w:rPr>
        <w:t>Changes in Financial Position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components of the Bank’s consolidated statements of financial position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0" w:type="dxa"/>
            <w:vAlign w:val="bottom"/>
          </w:tcPr>
          <w:p>
            <w:pPr>
              <w:spacing w:after="0"/>
              <w:rPr>
                <w:sz w:val="20"/>
                <w:szCs w:val="20"/>
                <w:color w:val="auto"/>
              </w:rPr>
            </w:pPr>
          </w:p>
        </w:tc>
        <w:tc>
          <w:tcPr>
            <w:tcW w:w="75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280" w:type="dxa"/>
            <w:vAlign w:val="bottom"/>
            <w:gridSpan w:val="5"/>
          </w:tcPr>
          <w:p>
            <w:pPr>
              <w:jc w:val="right"/>
              <w:ind w:right="560"/>
              <w:spacing w:after="0"/>
              <w:rPr>
                <w:sz w:val="20"/>
                <w:szCs w:val="20"/>
                <w:color w:val="auto"/>
              </w:rPr>
            </w:pPr>
            <w:r>
              <w:rPr>
                <w:rFonts w:ascii="Arial" w:cs="Arial" w:eastAsia="Arial" w:hAnsi="Arial"/>
                <w:sz w:val="18"/>
                <w:szCs w:val="18"/>
                <w:b w:val="1"/>
                <w:bCs w:val="1"/>
                <w:color w:val="auto"/>
              </w:rPr>
              <w:t>As of December 31,</w:t>
            </w:r>
          </w:p>
        </w:tc>
        <w:tc>
          <w:tcPr>
            <w:tcW w:w="560" w:type="dxa"/>
            <w:vAlign w:val="bottom"/>
          </w:tcPr>
          <w:p>
            <w:pPr>
              <w:spacing w:after="0"/>
              <w:rPr>
                <w:sz w:val="20"/>
                <w:szCs w:val="20"/>
                <w:color w:val="auto"/>
              </w:rPr>
            </w:pPr>
          </w:p>
        </w:tc>
      </w:tr>
      <w:tr>
        <w:trPr>
          <w:trHeight w:val="223"/>
        </w:trPr>
        <w:tc>
          <w:tcPr>
            <w:tcW w:w="580" w:type="dxa"/>
            <w:vAlign w:val="bottom"/>
          </w:tcPr>
          <w:p>
            <w:pPr>
              <w:spacing w:after="0"/>
              <w:rPr>
                <w:sz w:val="19"/>
                <w:szCs w:val="19"/>
                <w:color w:val="auto"/>
              </w:rPr>
            </w:pPr>
          </w:p>
        </w:tc>
        <w:tc>
          <w:tcPr>
            <w:tcW w:w="758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top w:val="single" w:sz="8" w:color="auto"/>
            </w:tcBorders>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860" w:type="dxa"/>
            <w:vAlign w:val="bottom"/>
            <w:tcBorders>
              <w:top w:val="single" w:sz="8" w:color="auto"/>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237"/>
        </w:trPr>
        <w:tc>
          <w:tcPr>
            <w:tcW w:w="580" w:type="dxa"/>
            <w:vAlign w:val="bottom"/>
          </w:tcPr>
          <w:p>
            <w:pPr>
              <w:spacing w:after="0"/>
              <w:rPr>
                <w:sz w:val="20"/>
                <w:szCs w:val="20"/>
                <w:color w:val="auto"/>
              </w:rPr>
            </w:pPr>
          </w:p>
        </w:tc>
        <w:tc>
          <w:tcPr>
            <w:tcW w:w="75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280" w:type="dxa"/>
            <w:vAlign w:val="bottom"/>
            <w:gridSpan w:val="5"/>
          </w:tcPr>
          <w:p>
            <w:pPr>
              <w:jc w:val="right"/>
              <w:ind w:right="700"/>
              <w:spacing w:after="0"/>
              <w:rPr>
                <w:sz w:val="20"/>
                <w:szCs w:val="20"/>
                <w:color w:val="auto"/>
              </w:rPr>
            </w:pPr>
            <w:r>
              <w:rPr>
                <w:rFonts w:ascii="Arial" w:cs="Arial" w:eastAsia="Arial" w:hAnsi="Arial"/>
                <w:sz w:val="18"/>
                <w:szCs w:val="18"/>
                <w:b w:val="1"/>
                <w:bCs w:val="1"/>
                <w:color w:val="auto"/>
              </w:rPr>
              <w:t>(in $ thousands)</w:t>
            </w:r>
          </w:p>
        </w:tc>
        <w:tc>
          <w:tcPr>
            <w:tcW w:w="560" w:type="dxa"/>
            <w:vAlign w:val="bottom"/>
          </w:tcPr>
          <w:p>
            <w:pPr>
              <w:spacing w:after="0"/>
              <w:rPr>
                <w:sz w:val="20"/>
                <w:szCs w:val="20"/>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863,812</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1,178,170</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398,068</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88,794</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4,911,397</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5,892,997</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receivable</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27,350</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41,757</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ind w:left="160"/>
              <w:spacing w:after="0"/>
              <w:rPr>
                <w:sz w:val="20"/>
                <w:szCs w:val="20"/>
                <w:color w:val="auto"/>
              </w:rPr>
            </w:pPr>
            <w:r>
              <w:rPr>
                <w:rFonts w:ascii="Arial" w:cs="Arial" w:eastAsia="Arial" w:hAnsi="Arial"/>
                <w:sz w:val="18"/>
                <w:szCs w:val="18"/>
                <w:color w:val="auto"/>
              </w:rPr>
              <w:t>Loss allowances</w:t>
            </w:r>
          </w:p>
        </w:tc>
        <w:tc>
          <w:tcPr>
            <w:tcW w:w="240" w:type="dxa"/>
            <w:vAlign w:val="bottom"/>
          </w:tcPr>
          <w:p>
            <w:pPr>
              <w:spacing w:after="0"/>
              <w:rPr>
                <w:sz w:val="18"/>
                <w:szCs w:val="18"/>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(41,165)</w:t>
            </w:r>
          </w:p>
        </w:tc>
        <w:tc>
          <w:tcPr>
            <w:tcW w:w="240" w:type="dxa"/>
            <w:vAlign w:val="bottom"/>
          </w:tcPr>
          <w:p>
            <w:pPr>
              <w:spacing w:after="0"/>
              <w:rPr>
                <w:sz w:val="18"/>
                <w:szCs w:val="18"/>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(99,307)</w:t>
            </w:r>
          </w:p>
        </w:tc>
        <w:tc>
          <w:tcPr>
            <w:tcW w:w="56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75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Unearned interest and deferred fees</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(5,884)</w:t>
            </w:r>
          </w:p>
        </w:tc>
        <w:tc>
          <w:tcPr>
            <w:tcW w:w="2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(12,114)</w:t>
            </w:r>
          </w:p>
        </w:tc>
        <w:tc>
          <w:tcPr>
            <w:tcW w:w="560" w:type="dxa"/>
            <w:vAlign w:val="bottom"/>
          </w:tcPr>
          <w:p>
            <w:pPr>
              <w:spacing w:after="0"/>
              <w:rPr>
                <w:sz w:val="19"/>
                <w:szCs w:val="19"/>
                <w:color w:val="auto"/>
              </w:rPr>
            </w:pPr>
          </w:p>
        </w:tc>
      </w:tr>
      <w:tr>
        <w:trPr>
          <w:trHeight w:val="210"/>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Loans at amortized cost, net</w:t>
            </w:r>
          </w:p>
        </w:tc>
        <w:tc>
          <w:tcPr>
            <w:tcW w:w="24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4,891,698</w:t>
            </w:r>
          </w:p>
        </w:tc>
        <w:tc>
          <w:tcPr>
            <w:tcW w:w="20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5,823,333</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Loans at fair value through profit or loss</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4,949</w:t>
            </w:r>
          </w:p>
        </w:tc>
        <w:tc>
          <w:tcPr>
            <w:tcW w:w="2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560" w:type="dxa"/>
            <w:vAlign w:val="bottom"/>
          </w:tcPr>
          <w:p>
            <w:pPr>
              <w:spacing w:after="0"/>
              <w:rPr>
                <w:sz w:val="19"/>
                <w:szCs w:val="19"/>
                <w:color w:val="auto"/>
              </w:rPr>
            </w:pPr>
          </w:p>
        </w:tc>
      </w:tr>
      <w:tr>
        <w:trPr>
          <w:trHeight w:val="209"/>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Loans, net</w:t>
            </w:r>
          </w:p>
        </w:tc>
        <w:tc>
          <w:tcPr>
            <w:tcW w:w="24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4,896,647</w:t>
            </w:r>
          </w:p>
        </w:tc>
        <w:tc>
          <w:tcPr>
            <w:tcW w:w="200" w:type="dxa"/>
            <w:vAlign w:val="bottom"/>
          </w:tcPr>
          <w:p>
            <w:pPr>
              <w:spacing w:after="0"/>
              <w:rPr>
                <w:sz w:val="18"/>
                <w:szCs w:val="18"/>
                <w:color w:val="auto"/>
              </w:rPr>
            </w:pPr>
          </w:p>
        </w:tc>
        <w:tc>
          <w:tcPr>
            <w:tcW w:w="24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5,823,333</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Customers’ liabilities under acceptances</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74,366</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115,682</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27,778</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11,157</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16,213</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18,752</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1,984</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1,427</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Investment properties</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3,214</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3,494</w:t>
            </w:r>
          </w:p>
        </w:tc>
        <w:tc>
          <w:tcPr>
            <w:tcW w:w="56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24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6,816</w:t>
            </w:r>
          </w:p>
        </w:tc>
        <w:tc>
          <w:tcPr>
            <w:tcW w:w="2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8,857</w:t>
            </w:r>
          </w:p>
        </w:tc>
        <w:tc>
          <w:tcPr>
            <w:tcW w:w="560" w:type="dxa"/>
            <w:vAlign w:val="bottom"/>
          </w:tcPr>
          <w:p>
            <w:pPr>
              <w:spacing w:after="0"/>
              <w:rPr>
                <w:sz w:val="19"/>
                <w:szCs w:val="19"/>
                <w:color w:val="auto"/>
              </w:rPr>
            </w:pPr>
          </w:p>
        </w:tc>
      </w:tr>
      <w:tr>
        <w:trPr>
          <w:trHeight w:val="263"/>
        </w:trPr>
        <w:tc>
          <w:tcPr>
            <w:tcW w:w="580" w:type="dxa"/>
            <w:vAlign w:val="bottom"/>
          </w:tcPr>
          <w:p>
            <w:pPr>
              <w:spacing w:after="0"/>
              <w:rPr>
                <w:sz w:val="22"/>
                <w:szCs w:val="22"/>
                <w:color w:val="auto"/>
              </w:rPr>
            </w:pPr>
          </w:p>
        </w:tc>
        <w:tc>
          <w:tcPr>
            <w:tcW w:w="75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6,288,898</w:t>
            </w:r>
          </w:p>
        </w:tc>
        <w:tc>
          <w:tcPr>
            <w:tcW w:w="2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7,249,666</w:t>
            </w:r>
          </w:p>
        </w:tc>
        <w:tc>
          <w:tcPr>
            <w:tcW w:w="100" w:type="dxa"/>
            <w:vAlign w:val="bottom"/>
            <w:tcBorders>
              <w:bottom w:val="single" w:sz="8" w:color="CCEEFF"/>
            </w:tcBorders>
          </w:tcPr>
          <w:p>
            <w:pPr>
              <w:spacing w:after="0"/>
              <w:rPr>
                <w:sz w:val="22"/>
                <w:szCs w:val="22"/>
                <w:color w:val="auto"/>
              </w:rPr>
            </w:pPr>
          </w:p>
        </w:tc>
        <w:tc>
          <w:tcPr>
            <w:tcW w:w="560" w:type="dxa"/>
            <w:vAlign w:val="bottom"/>
          </w:tcPr>
          <w:p>
            <w:pPr>
              <w:spacing w:after="0"/>
              <w:rPr>
                <w:sz w:val="22"/>
                <w:szCs w:val="22"/>
                <w:color w:val="auto"/>
              </w:rPr>
            </w:pPr>
          </w:p>
        </w:tc>
      </w:tr>
      <w:tr>
        <w:trPr>
          <w:trHeight w:val="196"/>
        </w:trPr>
        <w:tc>
          <w:tcPr>
            <w:tcW w:w="580" w:type="dxa"/>
            <w:vAlign w:val="bottom"/>
          </w:tcPr>
          <w:p>
            <w:pPr>
              <w:spacing w:after="0"/>
              <w:rPr>
                <w:sz w:val="17"/>
                <w:szCs w:val="17"/>
                <w:color w:val="auto"/>
              </w:rPr>
            </w:pPr>
          </w:p>
        </w:tc>
        <w:tc>
          <w:tcPr>
            <w:tcW w:w="75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b w:val="1"/>
                <w:bCs w:val="1"/>
                <w:color w:val="auto"/>
              </w:rPr>
              <w:t>Liabilities and Equity</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170,660</w:t>
            </w:r>
          </w:p>
        </w:tc>
        <w:tc>
          <w:tcPr>
            <w:tcW w:w="24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85,786</w:t>
            </w: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Time deposits</w:t>
            </w:r>
          </w:p>
        </w:tc>
        <w:tc>
          <w:tcPr>
            <w:tcW w:w="24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2,968,240</w:t>
            </w:r>
          </w:p>
        </w:tc>
        <w:tc>
          <w:tcPr>
            <w:tcW w:w="24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2,802,550</w:t>
            </w:r>
          </w:p>
        </w:tc>
        <w:tc>
          <w:tcPr>
            <w:tcW w:w="560" w:type="dxa"/>
            <w:vAlign w:val="bottom"/>
          </w:tcPr>
          <w:p>
            <w:pPr>
              <w:spacing w:after="0"/>
              <w:rPr>
                <w:sz w:val="19"/>
                <w:szCs w:val="19"/>
                <w:color w:val="auto"/>
              </w:rPr>
            </w:pPr>
          </w:p>
        </w:tc>
      </w:tr>
      <w:tr>
        <w:trPr>
          <w:trHeight w:val="210"/>
        </w:trPr>
        <w:tc>
          <w:tcPr>
            <w:tcW w:w="580" w:type="dxa"/>
            <w:vAlign w:val="bottom"/>
          </w:tcPr>
          <w:p>
            <w:pPr>
              <w:spacing w:after="0"/>
              <w:rPr>
                <w:sz w:val="18"/>
                <w:szCs w:val="18"/>
                <w:color w:val="auto"/>
              </w:rPr>
            </w:pPr>
          </w:p>
        </w:tc>
        <w:tc>
          <w:tcPr>
            <w:tcW w:w="75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3,138,900</w:t>
            </w: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2,888,336</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7580" w:type="dxa"/>
            <w:vAlign w:val="bottom"/>
          </w:tcPr>
          <w:p>
            <w:pPr>
              <w:ind w:left="160"/>
              <w:spacing w:after="0"/>
              <w:rPr>
                <w:sz w:val="20"/>
                <w:szCs w:val="20"/>
                <w:color w:val="auto"/>
              </w:rPr>
            </w:pPr>
            <w:r>
              <w:rPr>
                <w:rFonts w:ascii="Arial" w:cs="Arial" w:eastAsia="Arial" w:hAnsi="Arial"/>
                <w:sz w:val="18"/>
                <w:szCs w:val="18"/>
                <w:color w:val="auto"/>
              </w:rPr>
              <w:t>Interest payable</w:t>
            </w:r>
          </w:p>
        </w:tc>
        <w:tc>
          <w:tcPr>
            <w:tcW w:w="24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1,975</w:t>
            </w:r>
          </w:p>
        </w:tc>
        <w:tc>
          <w:tcPr>
            <w:tcW w:w="24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5,219</w:t>
            </w:r>
          </w:p>
        </w:tc>
        <w:tc>
          <w:tcPr>
            <w:tcW w:w="560" w:type="dxa"/>
            <w:vAlign w:val="bottom"/>
          </w:tcPr>
          <w:p>
            <w:pPr>
              <w:spacing w:after="0"/>
              <w:rPr>
                <w:sz w:val="19"/>
                <w:szCs w:val="19"/>
                <w:color w:val="auto"/>
              </w:rPr>
            </w:pPr>
          </w:p>
        </w:tc>
      </w:tr>
      <w:tr>
        <w:trPr>
          <w:trHeight w:val="209"/>
        </w:trPr>
        <w:tc>
          <w:tcPr>
            <w:tcW w:w="580" w:type="dxa"/>
            <w:vAlign w:val="bottom"/>
          </w:tcPr>
          <w:p>
            <w:pPr>
              <w:spacing w:after="0"/>
              <w:rPr>
                <w:sz w:val="18"/>
                <w:szCs w:val="18"/>
                <w:color w:val="auto"/>
              </w:rPr>
            </w:pPr>
          </w:p>
        </w:tc>
        <w:tc>
          <w:tcPr>
            <w:tcW w:w="7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24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2,893,555</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10,663</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40,530</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1,985,070</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3,138,310</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9,175</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10,554</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Acceptance outstanding</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74,366</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115,682</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9,211</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14,675</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2,904</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3,044</w:t>
            </w: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Other liabilities</w:t>
            </w:r>
          </w:p>
        </w:tc>
        <w:tc>
          <w:tcPr>
            <w:tcW w:w="24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18,714</w:t>
            </w:r>
          </w:p>
        </w:tc>
        <w:tc>
          <w:tcPr>
            <w:tcW w:w="240" w:type="dxa"/>
            <w:vAlign w:val="bottom"/>
          </w:tcPr>
          <w:p>
            <w:pPr>
              <w:spacing w:after="0"/>
              <w:rPr>
                <w:sz w:val="19"/>
                <w:szCs w:val="19"/>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17,149</w:t>
            </w:r>
          </w:p>
        </w:tc>
        <w:tc>
          <w:tcPr>
            <w:tcW w:w="560" w:type="dxa"/>
            <w:vAlign w:val="bottom"/>
          </w:tcPr>
          <w:p>
            <w:pPr>
              <w:spacing w:after="0"/>
              <w:rPr>
                <w:sz w:val="19"/>
                <w:szCs w:val="19"/>
                <w:color w:val="auto"/>
              </w:rPr>
            </w:pPr>
          </w:p>
        </w:tc>
      </w:tr>
      <w:tr>
        <w:trPr>
          <w:trHeight w:val="210"/>
        </w:trPr>
        <w:tc>
          <w:tcPr>
            <w:tcW w:w="580" w:type="dxa"/>
            <w:vAlign w:val="bottom"/>
          </w:tcPr>
          <w:p>
            <w:pPr>
              <w:spacing w:after="0"/>
              <w:rPr>
                <w:sz w:val="18"/>
                <w:szCs w:val="18"/>
                <w:color w:val="auto"/>
              </w:rPr>
            </w:pPr>
          </w:p>
        </w:tc>
        <w:tc>
          <w:tcPr>
            <w:tcW w:w="7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5,250,978</w:t>
            </w: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6,233,499</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0"/>
        </w:trPr>
        <w:tc>
          <w:tcPr>
            <w:tcW w:w="580" w:type="dxa"/>
            <w:vAlign w:val="bottom"/>
          </w:tcPr>
          <w:p>
            <w:pPr>
              <w:spacing w:after="0"/>
              <w:rPr>
                <w:sz w:val="18"/>
                <w:szCs w:val="18"/>
                <w:color w:val="auto"/>
              </w:rPr>
            </w:pPr>
          </w:p>
        </w:tc>
        <w:tc>
          <w:tcPr>
            <w:tcW w:w="75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Equity</w:t>
            </w:r>
          </w:p>
        </w:tc>
        <w:tc>
          <w:tcPr>
            <w:tcW w:w="2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Common stock</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240" w:type="dxa"/>
            <w:vAlign w:val="bottom"/>
          </w:tcPr>
          <w:p>
            <w:pPr>
              <w:jc w:val="right"/>
              <w:ind w:right="50"/>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(57,999)</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(59,669)</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120,414</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120,362</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Regulatory reserves</w:t>
            </w:r>
          </w:p>
        </w:tc>
        <w:tc>
          <w:tcPr>
            <w:tcW w:w="240" w:type="dxa"/>
            <w:vAlign w:val="bottom"/>
          </w:tcPr>
          <w:p>
            <w:pPr>
              <w:spacing w:after="0"/>
              <w:rPr>
                <w:sz w:val="18"/>
                <w:szCs w:val="18"/>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24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136,019</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24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464,088</w:t>
            </w:r>
          </w:p>
        </w:tc>
        <w:tc>
          <w:tcPr>
            <w:tcW w:w="24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446,083</w:t>
            </w: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240" w:type="dxa"/>
            <w:vAlign w:val="bottom"/>
          </w:tcPr>
          <w:p>
            <w:pPr>
              <w:spacing w:after="0"/>
              <w:rPr>
                <w:sz w:val="19"/>
                <w:szCs w:val="19"/>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208</w:t>
            </w:r>
          </w:p>
        </w:tc>
        <w:tc>
          <w:tcPr>
            <w:tcW w:w="240" w:type="dxa"/>
            <w:vAlign w:val="bottom"/>
          </w:tcPr>
          <w:p>
            <w:pPr>
              <w:spacing w:after="0"/>
              <w:rPr>
                <w:sz w:val="19"/>
                <w:szCs w:val="19"/>
                <w:color w:val="auto"/>
              </w:rPr>
            </w:pPr>
          </w:p>
        </w:tc>
        <w:tc>
          <w:tcPr>
            <w:tcW w:w="960" w:type="dxa"/>
            <w:vAlign w:val="bottom"/>
            <w:gridSpan w:val="2"/>
          </w:tcPr>
          <w:p>
            <w:pPr>
              <w:jc w:val="right"/>
              <w:ind w:right="40"/>
              <w:spacing w:after="0"/>
              <w:rPr>
                <w:sz w:val="20"/>
                <w:szCs w:val="20"/>
                <w:color w:val="auto"/>
              </w:rPr>
            </w:pPr>
            <w:r>
              <w:rPr>
                <w:rFonts w:ascii="Arial" w:cs="Arial" w:eastAsia="Arial" w:hAnsi="Arial"/>
                <w:sz w:val="18"/>
                <w:szCs w:val="18"/>
                <w:color w:val="auto"/>
              </w:rPr>
              <w:t>(1,818)</w:t>
            </w:r>
          </w:p>
        </w:tc>
        <w:tc>
          <w:tcPr>
            <w:tcW w:w="560" w:type="dxa"/>
            <w:vAlign w:val="bottom"/>
          </w:tcPr>
          <w:p>
            <w:pPr>
              <w:spacing w:after="0"/>
              <w:rPr>
                <w:sz w:val="19"/>
                <w:szCs w:val="19"/>
                <w:color w:val="auto"/>
              </w:rPr>
            </w:pPr>
          </w:p>
        </w:tc>
      </w:tr>
      <w:tr>
        <w:trPr>
          <w:trHeight w:val="209"/>
        </w:trPr>
        <w:tc>
          <w:tcPr>
            <w:tcW w:w="580" w:type="dxa"/>
            <w:vAlign w:val="bottom"/>
          </w:tcPr>
          <w:p>
            <w:pPr>
              <w:spacing w:after="0"/>
              <w:rPr>
                <w:sz w:val="18"/>
                <w:szCs w:val="18"/>
                <w:color w:val="auto"/>
              </w:rPr>
            </w:pPr>
          </w:p>
        </w:tc>
        <w:tc>
          <w:tcPr>
            <w:tcW w:w="7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Equity</w:t>
            </w: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1,037,920</w:t>
            </w:r>
          </w:p>
        </w:tc>
        <w:tc>
          <w:tcPr>
            <w:tcW w:w="2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1,016,167</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63"/>
        </w:trPr>
        <w:tc>
          <w:tcPr>
            <w:tcW w:w="580" w:type="dxa"/>
            <w:vAlign w:val="bottom"/>
          </w:tcPr>
          <w:p>
            <w:pPr>
              <w:spacing w:after="0"/>
              <w:rPr>
                <w:sz w:val="22"/>
                <w:szCs w:val="22"/>
                <w:color w:val="auto"/>
              </w:rPr>
            </w:pPr>
          </w:p>
        </w:tc>
        <w:tc>
          <w:tcPr>
            <w:tcW w:w="75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 and Equity</w:t>
            </w:r>
          </w:p>
        </w:tc>
        <w:tc>
          <w:tcPr>
            <w:tcW w:w="24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6,288,898</w:t>
            </w:r>
          </w:p>
        </w:tc>
        <w:tc>
          <w:tcPr>
            <w:tcW w:w="200" w:type="dxa"/>
            <w:vAlign w:val="bottom"/>
            <w:tcBorders>
              <w:bottom w:val="single" w:sz="8" w:color="CCEEFF"/>
            </w:tcBorders>
          </w:tcPr>
          <w:p>
            <w:pPr>
              <w:spacing w:after="0"/>
              <w:rPr>
                <w:sz w:val="22"/>
                <w:szCs w:val="22"/>
                <w:color w:val="auto"/>
              </w:rPr>
            </w:pPr>
          </w:p>
        </w:tc>
        <w:tc>
          <w:tcPr>
            <w:tcW w:w="24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w w:val="79"/>
              </w:rPr>
              <w:t>$</w:t>
            </w: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7,249,666</w:t>
            </w:r>
          </w:p>
        </w:tc>
        <w:tc>
          <w:tcPr>
            <w:tcW w:w="100" w:type="dxa"/>
            <w:vAlign w:val="bottom"/>
            <w:tcBorders>
              <w:bottom w:val="single" w:sz="8" w:color="CCEEFF"/>
            </w:tcBorders>
          </w:tcPr>
          <w:p>
            <w:pPr>
              <w:spacing w:after="0"/>
              <w:rPr>
                <w:sz w:val="22"/>
                <w:szCs w:val="22"/>
                <w:color w:val="auto"/>
              </w:rPr>
            </w:pPr>
          </w:p>
        </w:tc>
        <w:tc>
          <w:tcPr>
            <w:tcW w:w="560" w:type="dxa"/>
            <w:vAlign w:val="bottom"/>
          </w:tcPr>
          <w:p>
            <w:pPr>
              <w:spacing w:after="0"/>
              <w:rPr>
                <w:sz w:val="22"/>
                <w:szCs w:val="22"/>
                <w:color w:val="auto"/>
              </w:rPr>
            </w:pPr>
          </w:p>
        </w:tc>
      </w:tr>
      <w:tr>
        <w:trPr>
          <w:trHeight w:val="197"/>
        </w:trPr>
        <w:tc>
          <w:tcPr>
            <w:tcW w:w="580" w:type="dxa"/>
            <w:vAlign w:val="bottom"/>
          </w:tcPr>
          <w:p>
            <w:pPr>
              <w:spacing w:after="0"/>
              <w:rPr>
                <w:sz w:val="17"/>
                <w:szCs w:val="17"/>
                <w:color w:val="auto"/>
              </w:rPr>
            </w:pPr>
          </w:p>
        </w:tc>
        <w:tc>
          <w:tcPr>
            <w:tcW w:w="75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648"/>
        </w:trPr>
        <w:tc>
          <w:tcPr>
            <w:tcW w:w="8160" w:type="dxa"/>
            <w:vAlign w:val="bottom"/>
            <w:tcBorders>
              <w:bottom w:val="single" w:sz="8" w:color="auto"/>
            </w:tcBorders>
            <w:gridSpan w:val="2"/>
          </w:tcPr>
          <w:p>
            <w:pPr>
              <w:jc w:val="right"/>
              <w:ind w:right="2350"/>
              <w:spacing w:after="0"/>
              <w:rPr>
                <w:sz w:val="20"/>
                <w:szCs w:val="20"/>
                <w:color w:val="auto"/>
              </w:rPr>
            </w:pPr>
            <w:r>
              <w:rPr>
                <w:rFonts w:ascii="Arial" w:cs="Arial" w:eastAsia="Arial" w:hAnsi="Arial"/>
                <w:sz w:val="18"/>
                <w:szCs w:val="18"/>
                <w:color w:val="auto"/>
              </w:rPr>
              <w:t>60</w:t>
            </w:r>
          </w:p>
        </w:tc>
        <w:tc>
          <w:tcPr>
            <w:tcW w:w="2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8" w:right="339" w:bottom="1440" w:gutter="0" w:footer="0" w:header="0"/>
        </w:sectPr>
      </w:pPr>
    </w:p>
    <w:bookmarkStart w:id="63" w:name="page64"/>
    <w:bookmarkEnd w:id="63"/>
    <w:p>
      <w:pPr>
        <w:spacing w:after="0"/>
        <w:rPr>
          <w:sz w:val="20"/>
          <w:szCs w:val="20"/>
          <w:color w:val="auto"/>
        </w:rPr>
      </w:pPr>
      <w:r>
        <w:rPr>
          <w:rFonts w:ascii="Arial" w:cs="Arial" w:eastAsia="Arial" w:hAnsi="Arial"/>
          <w:sz w:val="18"/>
          <w:szCs w:val="18"/>
          <w:i w:val="1"/>
          <w:iCs w:val="1"/>
          <w:u w:val="single" w:color="auto"/>
          <w:color w:val="auto"/>
        </w:rPr>
        <w:t>2020 vs. 2019</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total assets amounted to $6,289 million, a 13% decrease compared to $7,250 million as of December 31, 2019, which was mainly attributable to a decrease in the Bank’s Loan Portfolio and cash and due from banks, which was partially offset by growth in the Bank’s Investment Portfolio, all as described below.</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cash and due from banks, most of which consist of actively managed liquid assets, totaled $864 million as of December 31, 2020, compared to $1,178 million as of December 31, 2019, a $314 million decrease in cash and due from banks as the Bank shifted, in the second half of 2020, some of its cash to corporate debt securities classified as high quality liquid assets (“HQLA”) in accordance with the specifications of the Basel Committee, in order to improve the overall yield of its liquidity position.</w:t>
      </w:r>
    </w:p>
    <w:p>
      <w:pPr>
        <w:spacing w:after="0" w:line="187"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Securities and other financial assets are mostly comprised of the Bank’s Investment Portfolio, in the form of both securities at FVOCI and securities at amortized cost, consisting of highly liquid corporate debt securities rated above ‘A’ (alluded to in the prior paragraph), and investments in securities issued by Latin American entities related to the Bank’s investment management activities, which amounted to $398 million, or 6% of total assets as of December 31, 2020, a 348% increase compared to $89 million, or 1% of total assets as of December 31, 2019.</w:t>
      </w:r>
    </w:p>
    <w:p>
      <w:pPr>
        <w:spacing w:after="0" w:line="17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December 31, 2020, the Bank’s loans at amortized cost, or the Loan Portfolio, totaled $4,911 million, compared to $5,893 million as of December 31, 2019. The $982 million, or 17% Loan Portfolio decrease as of December 31, 2020 was mainly attributable to the prudential measures implemented by management since the onset of the COVID-19 pandemic, including stricter credit underwriting and an emphasis on sectors which management considers defensive in the current economic context (such as oil &amp; gas (downstream), electric power and food and beverage). As a result, in 2020 the Bank focussed its origination in short-term lending to its traditional client base of top quality financial institutions, export corporations and “multilatinas”, while it was able to collect on virtually all loan scheduled maturities.</w:t>
      </w:r>
    </w:p>
    <w:p>
      <w:pPr>
        <w:spacing w:after="0" w:line="19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As of December 31, 2020, total liabilities amounted to $5,251 million, a $982 million or 16% decrease, compared to $6,233 million as of December 31, 2019, which was mainly attributable to lower funding sources in the form of borrowings and debt, which decreased 37% as of December 31, 2020 compared to December 31, 2019, as the Bank increased its deposits and reduced its reliance on short-term borrowings. Deposit balances totaled $3,139 million as of December 31, 2020, a $251 million or 9% increase compared to $2,888 million as of December 31, 2019. Deposit balances as a percentage of total liabilities increased to 60% as of December 31, 2020, compared to 46% of total liabilities as of December 31, 2019. The majority of the deposits are placed by central banks or designees (i.e., Class A shareholders of the Bank), with 50% and 61% of total deposits at the end of these periods, respectively.</w:t>
      </w:r>
    </w:p>
    <w:p>
      <w:pPr>
        <w:spacing w:after="0" w:line="164"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Total equity increased by 2% to $1,038 million as of December 31, 2020, compared to $1,016 million as of December 31, 2019. The increased equity level during 2020 was primarily due to profits totaling $64 million in 2020, net of $45 million in declared cash dividends, which were reduced in April of 2020 by 35%, to an annualized level of $1.00 per share compared to prior years at $1.54 per share, as a prudential measure under deteriorated market conditions. The Bank’s equity consists of issued and fully paid ordinary common stock and retained earnings.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Asset Quality</w:t>
      </w:r>
    </w:p>
    <w:p>
      <w:pPr>
        <w:spacing w:after="0" w:line="225" w:lineRule="exact"/>
        <w:rPr>
          <w:sz w:val="20"/>
          <w:szCs w:val="20"/>
          <w:color w:val="auto"/>
        </w:rPr>
      </w:pPr>
    </w:p>
    <w:p>
      <w:pPr>
        <w:spacing w:after="0" w:line="259" w:lineRule="auto"/>
        <w:rPr>
          <w:sz w:val="20"/>
          <w:szCs w:val="20"/>
          <w:color w:val="auto"/>
        </w:rPr>
      </w:pPr>
      <w:r>
        <w:rPr>
          <w:rFonts w:ascii="Arial" w:cs="Arial" w:eastAsia="Arial" w:hAnsi="Arial"/>
          <w:sz w:val="18"/>
          <w:szCs w:val="18"/>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delinquencies. The Bank’s collection policies include rapid internal notification of any delinquency and prompt initiation of collection efforts, usually involving senior management.</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4" w:name="page65"/>
    <w:bookmarkEnd w:id="64"/>
    <w:p>
      <w:pPr>
        <w:jc w:val="both"/>
        <w:spacing w:after="0" w:line="257"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 Each exposure is assigned to a risk rating at the time of initial recognition based on the information available about the customer and the country. Exposures are subject to continuous monitoring, which may result in the change of an exposure to a different risk rating. A description of the Bank’s mapping of its internal credit risk grades to external ratings is as follows:</w:t>
      </w:r>
    </w:p>
    <w:p>
      <w:pPr>
        <w:spacing w:after="0" w:line="182" w:lineRule="exact"/>
        <w:rPr>
          <w:sz w:val="20"/>
          <w:szCs w:val="20"/>
          <w:color w:val="auto"/>
        </w:rPr>
      </w:pPr>
    </w:p>
    <w:tbl>
      <w:tblPr>
        <w:tblLayout w:type="fixed"/>
        <w:tblInd w:w="0" w:type="dxa"/>
        <w:tblCellMar>
          <w:top w:w="0" w:type="dxa"/>
          <w:left w:w="0" w:type="dxa"/>
          <w:bottom w:w="0" w:type="dxa"/>
          <w:right w:w="0" w:type="dxa"/>
        </w:tblCellMar>
      </w:tblPr>
      <w:tr>
        <w:trPr>
          <w:trHeight w:val="189"/>
        </w:trPr>
        <w:tc>
          <w:tcPr>
            <w:tcW w:w="42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gridSpan w:val="3"/>
          </w:tcPr>
          <w:p>
            <w:pPr>
              <w:jc w:val="center"/>
              <w:spacing w:after="0" w:line="189" w:lineRule="exact"/>
              <w:rPr>
                <w:sz w:val="20"/>
                <w:szCs w:val="20"/>
                <w:color w:val="auto"/>
              </w:rPr>
            </w:pPr>
            <w:r>
              <w:rPr>
                <w:rFonts w:ascii="Arial" w:cs="Arial" w:eastAsia="Arial" w:hAnsi="Arial"/>
                <w:sz w:val="18"/>
                <w:szCs w:val="18"/>
                <w:b w:val="1"/>
                <w:bCs w:val="1"/>
                <w:color w:val="auto"/>
                <w:w w:val="98"/>
              </w:rPr>
              <w:t>Internal</w:t>
            </w:r>
          </w:p>
        </w:tc>
        <w:tc>
          <w:tcPr>
            <w:tcW w:w="300" w:type="dxa"/>
            <w:vAlign w:val="bottom"/>
            <w:tcBorders>
              <w:top w:val="single" w:sz="8" w:color="auto"/>
            </w:tcBorders>
          </w:tcPr>
          <w:p>
            <w:pPr>
              <w:spacing w:after="0"/>
              <w:rPr>
                <w:sz w:val="16"/>
                <w:szCs w:val="16"/>
                <w:color w:val="auto"/>
              </w:rPr>
            </w:pPr>
          </w:p>
        </w:tc>
        <w:tc>
          <w:tcPr>
            <w:tcW w:w="30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gridSpan w:val="4"/>
          </w:tcPr>
          <w:p>
            <w:pPr>
              <w:jc w:val="right"/>
              <w:ind w:right="56"/>
              <w:spacing w:after="0" w:line="189" w:lineRule="exact"/>
              <w:rPr>
                <w:sz w:val="20"/>
                <w:szCs w:val="20"/>
                <w:color w:val="auto"/>
              </w:rPr>
            </w:pPr>
            <w:r>
              <w:rPr>
                <w:rFonts w:ascii="Arial" w:cs="Arial" w:eastAsia="Arial" w:hAnsi="Arial"/>
                <w:sz w:val="18"/>
                <w:szCs w:val="18"/>
                <w:b w:val="1"/>
                <w:bCs w:val="1"/>
                <w:color w:val="auto"/>
                <w:w w:val="90"/>
              </w:rPr>
              <w:t>12 - month</w:t>
            </w:r>
          </w:p>
        </w:tc>
        <w:tc>
          <w:tcPr>
            <w:tcW w:w="56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gridSpan w:val="5"/>
          </w:tcPr>
          <w:p>
            <w:pPr>
              <w:ind w:left="20"/>
              <w:spacing w:after="0" w:line="189" w:lineRule="exact"/>
              <w:rPr>
                <w:sz w:val="20"/>
                <w:szCs w:val="20"/>
                <w:color w:val="auto"/>
              </w:rPr>
            </w:pPr>
            <w:r>
              <w:rPr>
                <w:rFonts w:ascii="Arial" w:cs="Arial" w:eastAsia="Arial" w:hAnsi="Arial"/>
                <w:sz w:val="18"/>
                <w:szCs w:val="18"/>
                <w:b w:val="1"/>
                <w:bCs w:val="1"/>
                <w:color w:val="auto"/>
              </w:rPr>
              <w:t>External</w:t>
            </w:r>
          </w:p>
        </w:tc>
        <w:tc>
          <w:tcPr>
            <w:tcW w:w="314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98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4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320" w:type="dxa"/>
            <w:vAlign w:val="bottom"/>
            <w:tcBorders>
              <w:right w:val="single" w:sz="8" w:color="auto"/>
            </w:tcBorders>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9"/>
        </w:trPr>
        <w:tc>
          <w:tcPr>
            <w:tcW w:w="4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80" w:type="dxa"/>
            <w:vAlign w:val="bottom"/>
            <w:vMerge w:val="restart"/>
          </w:tcPr>
          <w:p>
            <w:pPr>
              <w:jc w:val="center"/>
              <w:spacing w:after="0" w:line="182" w:lineRule="exact"/>
              <w:rPr>
                <w:sz w:val="20"/>
                <w:szCs w:val="20"/>
                <w:color w:val="auto"/>
              </w:rPr>
            </w:pPr>
            <w:r>
              <w:rPr>
                <w:rFonts w:ascii="Arial" w:cs="Arial" w:eastAsia="Arial" w:hAnsi="Arial"/>
                <w:sz w:val="18"/>
                <w:szCs w:val="18"/>
                <w:b w:val="1"/>
                <w:bCs w:val="1"/>
                <w:color w:val="auto"/>
                <w:w w:val="95"/>
              </w:rPr>
              <w:t>rating</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300" w:type="dxa"/>
            <w:vAlign w:val="bottom"/>
            <w:vMerge w:val="restart"/>
          </w:tcPr>
          <w:p>
            <w:pPr>
              <w:spacing w:after="0"/>
              <w:rPr>
                <w:sz w:val="14"/>
                <w:szCs w:val="14"/>
                <w:color w:val="auto"/>
              </w:rPr>
            </w:pPr>
          </w:p>
        </w:tc>
        <w:tc>
          <w:tcPr>
            <w:tcW w:w="960" w:type="dxa"/>
            <w:vAlign w:val="bottom"/>
            <w:gridSpan w:val="4"/>
            <w:vMerge w:val="restart"/>
          </w:tcPr>
          <w:p>
            <w:pPr>
              <w:spacing w:after="0"/>
              <w:rPr>
                <w:sz w:val="20"/>
                <w:szCs w:val="20"/>
                <w:color w:val="auto"/>
              </w:rPr>
            </w:pPr>
            <w:r>
              <w:rPr>
                <w:rFonts w:ascii="Arial" w:cs="Arial" w:eastAsia="Arial" w:hAnsi="Arial"/>
                <w:sz w:val="18"/>
                <w:szCs w:val="18"/>
                <w:b w:val="1"/>
                <w:bCs w:val="1"/>
                <w:color w:val="auto"/>
                <w:w w:val="93"/>
              </w:rPr>
              <w:t>average PD</w:t>
            </w: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75"/>
              </w:rPr>
              <w:t>(1)</w:t>
            </w:r>
          </w:p>
        </w:tc>
        <w:tc>
          <w:tcPr>
            <w:tcW w:w="560" w:type="dxa"/>
            <w:vAlign w:val="bottom"/>
            <w:vMerge w:val="restart"/>
          </w:tcPr>
          <w:p>
            <w:pPr>
              <w:spacing w:after="0"/>
              <w:rPr>
                <w:sz w:val="14"/>
                <w:szCs w:val="14"/>
                <w:color w:val="auto"/>
              </w:rPr>
            </w:pPr>
          </w:p>
        </w:tc>
        <w:tc>
          <w:tcPr>
            <w:tcW w:w="520" w:type="dxa"/>
            <w:vAlign w:val="bottom"/>
            <w:gridSpan w:val="2"/>
            <w:vMerge w:val="restart"/>
          </w:tcPr>
          <w:p>
            <w:pPr>
              <w:spacing w:after="0"/>
              <w:rPr>
                <w:sz w:val="20"/>
                <w:szCs w:val="20"/>
                <w:color w:val="auto"/>
              </w:rPr>
            </w:pPr>
            <w:r>
              <w:rPr>
                <w:rFonts w:ascii="Arial" w:cs="Arial" w:eastAsia="Arial" w:hAnsi="Arial"/>
                <w:sz w:val="18"/>
                <w:szCs w:val="18"/>
                <w:b w:val="1"/>
                <w:bCs w:val="1"/>
                <w:color w:val="auto"/>
                <w:w w:val="99"/>
              </w:rPr>
              <w:t>rating</w:t>
            </w:r>
          </w:p>
        </w:tc>
        <w:tc>
          <w:tcPr>
            <w:tcW w:w="180" w:type="dxa"/>
            <w:vAlign w:val="bottom"/>
            <w:tcBorders>
              <w:bottom w:val="single" w:sz="8" w:color="auto"/>
            </w:tcBorders>
            <w:gridSpan w:val="2"/>
          </w:tcPr>
          <w:p>
            <w:pPr>
              <w:jc w:val="right"/>
              <w:spacing w:after="0" w:line="156" w:lineRule="exact"/>
              <w:rPr>
                <w:sz w:val="20"/>
                <w:szCs w:val="20"/>
                <w:color w:val="auto"/>
              </w:rPr>
            </w:pPr>
            <w:r>
              <w:rPr>
                <w:rFonts w:ascii="Arial" w:cs="Arial" w:eastAsia="Arial" w:hAnsi="Arial"/>
                <w:sz w:val="15"/>
                <w:szCs w:val="15"/>
                <w:b w:val="1"/>
                <w:bCs w:val="1"/>
                <w:color w:val="auto"/>
                <w:w w:val="87"/>
              </w:rPr>
              <w:t>(2)</w:t>
            </w:r>
          </w:p>
        </w:tc>
        <w:tc>
          <w:tcPr>
            <w:tcW w:w="220" w:type="dxa"/>
            <w:vAlign w:val="bottom"/>
            <w:vMerge w:val="restart"/>
          </w:tcPr>
          <w:p>
            <w:pPr>
              <w:spacing w:after="0"/>
              <w:rPr>
                <w:sz w:val="14"/>
                <w:szCs w:val="14"/>
                <w:color w:val="auto"/>
              </w:rPr>
            </w:pPr>
          </w:p>
        </w:tc>
        <w:tc>
          <w:tcPr>
            <w:tcW w:w="3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9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5"/>
        </w:trPr>
        <w:tc>
          <w:tcPr>
            <w:tcW w:w="4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Borders>
              <w:bottom w:val="single" w:sz="8" w:color="auto"/>
            </w:tcBorders>
            <w:vMerge w:val="continue"/>
          </w:tcPr>
          <w:p>
            <w:pPr>
              <w:spacing w:after="0" w:line="20" w:lineRule="exact"/>
              <w:rPr>
                <w:sz w:val="1"/>
                <w:szCs w:val="1"/>
                <w:color w:val="auto"/>
              </w:rPr>
            </w:pPr>
          </w:p>
        </w:tc>
        <w:tc>
          <w:tcPr>
            <w:tcW w:w="380" w:type="dxa"/>
            <w:vAlign w:val="bottom"/>
            <w:gridSpan w:val="2"/>
            <w:vMerge w:val="restart"/>
          </w:tcPr>
          <w:p>
            <w:pPr>
              <w:spacing w:after="0" w:line="20" w:lineRule="exact"/>
              <w:rPr>
                <w:sz w:val="1"/>
                <w:szCs w:val="1"/>
                <w:color w:val="auto"/>
              </w:rPr>
            </w:pPr>
          </w:p>
        </w:tc>
        <w:tc>
          <w:tcPr>
            <w:tcW w:w="300" w:type="dxa"/>
            <w:vAlign w:val="bottom"/>
            <w:vMerge w:val="continue"/>
          </w:tcPr>
          <w:p>
            <w:pPr>
              <w:spacing w:after="0" w:line="20" w:lineRule="exact"/>
              <w:rPr>
                <w:sz w:val="1"/>
                <w:szCs w:val="1"/>
                <w:color w:val="auto"/>
              </w:rPr>
            </w:pPr>
          </w:p>
        </w:tc>
        <w:tc>
          <w:tcPr>
            <w:tcW w:w="960" w:type="dxa"/>
            <w:vAlign w:val="bottom"/>
            <w:gridSpan w:val="4"/>
            <w:vMerge w:val="continue"/>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560" w:type="dxa"/>
            <w:vAlign w:val="bottom"/>
            <w:vMerge w:val="continue"/>
          </w:tcPr>
          <w:p>
            <w:pPr>
              <w:spacing w:after="0" w:line="20" w:lineRule="exact"/>
              <w:rPr>
                <w:sz w:val="1"/>
                <w:szCs w:val="1"/>
                <w:color w:val="auto"/>
              </w:rPr>
            </w:pPr>
          </w:p>
        </w:tc>
        <w:tc>
          <w:tcPr>
            <w:tcW w:w="520" w:type="dxa"/>
            <w:vAlign w:val="bottom"/>
            <w:gridSpan w:val="2"/>
            <w:vMerge w:val="continue"/>
          </w:tcPr>
          <w:p>
            <w:pPr>
              <w:spacing w:after="0" w:line="20" w:lineRule="exact"/>
              <w:rPr>
                <w:sz w:val="1"/>
                <w:szCs w:val="1"/>
                <w:color w:val="auto"/>
              </w:rPr>
            </w:pPr>
          </w:p>
        </w:tc>
        <w:tc>
          <w:tcPr>
            <w:tcW w:w="180" w:type="dxa"/>
            <w:vAlign w:val="bottom"/>
            <w:gridSpan w:val="2"/>
            <w:vMerge w:val="restart"/>
          </w:tcPr>
          <w:p>
            <w:pPr>
              <w:spacing w:after="0" w:line="20" w:lineRule="exact"/>
              <w:rPr>
                <w:sz w:val="1"/>
                <w:szCs w:val="1"/>
                <w:color w:val="auto"/>
              </w:rPr>
            </w:pPr>
          </w:p>
        </w:tc>
        <w:tc>
          <w:tcPr>
            <w:tcW w:w="220" w:type="dxa"/>
            <w:vAlign w:val="bottom"/>
            <w:vMerge w:val="continue"/>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
        </w:trPr>
        <w:tc>
          <w:tcPr>
            <w:tcW w:w="4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80" w:type="dxa"/>
            <w:vAlign w:val="bottom"/>
            <w:gridSpan w:val="2"/>
            <w:vMerge w:val="continue"/>
          </w:tcPr>
          <w:p>
            <w:pPr>
              <w:spacing w:after="0" w:line="20" w:lineRule="exact"/>
              <w:rPr>
                <w:sz w:val="1"/>
                <w:szCs w:val="1"/>
                <w:color w:val="auto"/>
              </w:rPr>
            </w:pPr>
          </w:p>
        </w:tc>
        <w:tc>
          <w:tcPr>
            <w:tcW w:w="300" w:type="dxa"/>
            <w:vAlign w:val="bottom"/>
            <w:vMerge w:val="continue"/>
          </w:tcPr>
          <w:p>
            <w:pPr>
              <w:spacing w:after="0" w:line="20" w:lineRule="exact"/>
              <w:rPr>
                <w:sz w:val="1"/>
                <w:szCs w:val="1"/>
                <w:color w:val="auto"/>
              </w:rPr>
            </w:pPr>
          </w:p>
        </w:tc>
        <w:tc>
          <w:tcPr>
            <w:tcW w:w="960" w:type="dxa"/>
            <w:vAlign w:val="bottom"/>
            <w:tcBorders>
              <w:bottom w:val="single" w:sz="8" w:color="auto"/>
            </w:tcBorders>
            <w:gridSpan w:val="4"/>
            <w:vMerge w:val="continue"/>
          </w:tcPr>
          <w:p>
            <w:pPr>
              <w:spacing w:after="0" w:line="20" w:lineRule="exact"/>
              <w:rPr>
                <w:sz w:val="1"/>
                <w:szCs w:val="1"/>
                <w:color w:val="auto"/>
              </w:rPr>
            </w:pPr>
          </w:p>
        </w:tc>
        <w:tc>
          <w:tcPr>
            <w:tcW w:w="140" w:type="dxa"/>
            <w:vAlign w:val="bottom"/>
            <w:vMerge w:val="continue"/>
          </w:tcPr>
          <w:p>
            <w:pPr>
              <w:spacing w:after="0" w:line="20" w:lineRule="exact"/>
              <w:rPr>
                <w:sz w:val="1"/>
                <w:szCs w:val="1"/>
                <w:color w:val="auto"/>
              </w:rPr>
            </w:pPr>
          </w:p>
        </w:tc>
        <w:tc>
          <w:tcPr>
            <w:tcW w:w="560" w:type="dxa"/>
            <w:vAlign w:val="bottom"/>
            <w:vMerge w:val="continue"/>
          </w:tcPr>
          <w:p>
            <w:pPr>
              <w:spacing w:after="0" w:line="20" w:lineRule="exact"/>
              <w:rPr>
                <w:sz w:val="1"/>
                <w:szCs w:val="1"/>
                <w:color w:val="auto"/>
              </w:rPr>
            </w:pPr>
          </w:p>
        </w:tc>
        <w:tc>
          <w:tcPr>
            <w:tcW w:w="520" w:type="dxa"/>
            <w:vAlign w:val="bottom"/>
            <w:tcBorders>
              <w:bottom w:val="single" w:sz="8" w:color="auto"/>
            </w:tcBorders>
            <w:gridSpan w:val="2"/>
            <w:vMerge w:val="continue"/>
          </w:tcPr>
          <w:p>
            <w:pPr>
              <w:spacing w:after="0" w:line="20" w:lineRule="exact"/>
              <w:rPr>
                <w:sz w:val="1"/>
                <w:szCs w:val="1"/>
                <w:color w:val="auto"/>
              </w:rPr>
            </w:pPr>
          </w:p>
        </w:tc>
        <w:tc>
          <w:tcPr>
            <w:tcW w:w="180" w:type="dxa"/>
            <w:vAlign w:val="bottom"/>
            <w:gridSpan w:val="2"/>
            <w:vMerge w:val="continue"/>
          </w:tcPr>
          <w:p>
            <w:pPr>
              <w:spacing w:after="0" w:line="20" w:lineRule="exact"/>
              <w:rPr>
                <w:sz w:val="1"/>
                <w:szCs w:val="1"/>
                <w:color w:val="auto"/>
              </w:rPr>
            </w:pPr>
          </w:p>
        </w:tc>
        <w:tc>
          <w:tcPr>
            <w:tcW w:w="220" w:type="dxa"/>
            <w:vAlign w:val="bottom"/>
            <w:vMerge w:val="continue"/>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4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260" w:type="dxa"/>
            <w:vAlign w:val="bottom"/>
            <w:gridSpan w:val="5"/>
          </w:tcPr>
          <w:p>
            <w:pPr>
              <w:jc w:val="center"/>
              <w:ind w:left="350"/>
              <w:spacing w:after="0" w:line="183" w:lineRule="exact"/>
              <w:rPr>
                <w:sz w:val="20"/>
                <w:szCs w:val="20"/>
                <w:color w:val="auto"/>
              </w:rPr>
            </w:pPr>
            <w:r>
              <w:rPr>
                <w:rFonts w:ascii="Arial" w:cs="Arial" w:eastAsia="Arial" w:hAnsi="Arial"/>
                <w:sz w:val="18"/>
                <w:szCs w:val="18"/>
                <w:b w:val="1"/>
                <w:bCs w:val="1"/>
                <w:color w:val="auto"/>
              </w:rPr>
              <w:t>%</w:t>
            </w:r>
          </w:p>
        </w:tc>
        <w:tc>
          <w:tcPr>
            <w:tcW w:w="14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000" w:type="dxa"/>
            <w:vAlign w:val="bottom"/>
            <w:gridSpan w:val="3"/>
          </w:tcPr>
          <w:p>
            <w:pPr>
              <w:ind w:left="3140"/>
              <w:spacing w:after="0" w:line="183" w:lineRule="exact"/>
              <w:rPr>
                <w:sz w:val="20"/>
                <w:szCs w:val="20"/>
                <w:color w:val="auto"/>
              </w:rPr>
            </w:pPr>
            <w:r>
              <w:rPr>
                <w:rFonts w:ascii="Arial" w:cs="Arial" w:eastAsia="Arial" w:hAnsi="Arial"/>
                <w:sz w:val="18"/>
                <w:szCs w:val="18"/>
                <w:b w:val="1"/>
                <w:bCs w:val="1"/>
                <w:color w:val="auto"/>
              </w:rPr>
              <w:t>Description</w:t>
            </w:r>
          </w:p>
        </w:tc>
        <w:tc>
          <w:tcPr>
            <w:tcW w:w="0" w:type="dxa"/>
            <w:vAlign w:val="bottom"/>
          </w:tcPr>
          <w:p>
            <w:pPr>
              <w:spacing w:after="0"/>
              <w:rPr>
                <w:sz w:val="1"/>
                <w:szCs w:val="1"/>
                <w:color w:val="auto"/>
              </w:rPr>
            </w:pPr>
          </w:p>
        </w:tc>
      </w:tr>
      <w:tr>
        <w:trPr>
          <w:trHeight w:val="21"/>
        </w:trPr>
        <w:tc>
          <w:tcPr>
            <w:tcW w:w="4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3140" w:type="dxa"/>
            <w:vAlign w:val="bottom"/>
            <w:tcBorders>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9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95"/>
        </w:trPr>
        <w:tc>
          <w:tcPr>
            <w:tcW w:w="4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60" w:type="dxa"/>
            <w:vAlign w:val="bottom"/>
            <w:gridSpan w:val="3"/>
            <w:shd w:val="clear" w:color="auto" w:fill="CCEEFF"/>
          </w:tcPr>
          <w:p>
            <w:pPr>
              <w:jc w:val="center"/>
              <w:ind w:right="380"/>
              <w:spacing w:after="0" w:line="195" w:lineRule="exact"/>
              <w:rPr>
                <w:sz w:val="20"/>
                <w:szCs w:val="20"/>
                <w:color w:val="auto"/>
              </w:rPr>
            </w:pPr>
            <w:r>
              <w:rPr>
                <w:rFonts w:ascii="Arial" w:cs="Arial" w:eastAsia="Arial" w:hAnsi="Arial"/>
                <w:sz w:val="18"/>
                <w:szCs w:val="18"/>
                <w:color w:val="auto"/>
                <w:w w:val="88"/>
              </w:rPr>
              <w:t>1 to 4</w:t>
            </w:r>
          </w:p>
        </w:tc>
        <w:tc>
          <w:tcPr>
            <w:tcW w:w="1260" w:type="dxa"/>
            <w:vAlign w:val="bottom"/>
            <w:tcBorders>
              <w:right w:val="single" w:sz="8" w:color="CCEEFF"/>
            </w:tcBorders>
            <w:gridSpan w:val="5"/>
            <w:shd w:val="clear" w:color="auto" w:fill="CCEEFF"/>
          </w:tcPr>
          <w:p>
            <w:pPr>
              <w:jc w:val="center"/>
              <w:ind w:left="370"/>
              <w:spacing w:after="0" w:line="195" w:lineRule="exact"/>
              <w:rPr>
                <w:sz w:val="20"/>
                <w:szCs w:val="20"/>
                <w:color w:val="auto"/>
              </w:rPr>
            </w:pPr>
            <w:r>
              <w:rPr>
                <w:rFonts w:ascii="Arial" w:cs="Arial" w:eastAsia="Arial" w:hAnsi="Arial"/>
                <w:sz w:val="18"/>
                <w:szCs w:val="18"/>
                <w:color w:val="auto"/>
                <w:w w:val="91"/>
              </w:rPr>
              <w:t>0.09</w:t>
            </w:r>
          </w:p>
        </w:tc>
        <w:tc>
          <w:tcPr>
            <w:tcW w:w="140" w:type="dxa"/>
            <w:vAlign w:val="bottom"/>
            <w:shd w:val="clear" w:color="auto" w:fill="CCEEFF"/>
          </w:tcPr>
          <w:p>
            <w:pPr>
              <w:spacing w:after="0"/>
              <w:rPr>
                <w:sz w:val="16"/>
                <w:szCs w:val="16"/>
                <w:color w:val="auto"/>
              </w:rPr>
            </w:pPr>
          </w:p>
        </w:tc>
        <w:tc>
          <w:tcPr>
            <w:tcW w:w="1480" w:type="dxa"/>
            <w:vAlign w:val="bottom"/>
            <w:gridSpan w:val="6"/>
            <w:shd w:val="clear" w:color="auto" w:fill="CCEEFF"/>
          </w:tcPr>
          <w:p>
            <w:pPr>
              <w:jc w:val="center"/>
              <w:ind w:left="150"/>
              <w:spacing w:after="0" w:line="195" w:lineRule="exact"/>
              <w:rPr>
                <w:sz w:val="20"/>
                <w:szCs w:val="20"/>
                <w:color w:val="auto"/>
              </w:rPr>
            </w:pPr>
            <w:r>
              <w:rPr>
                <w:rFonts w:ascii="Arial" w:cs="Arial" w:eastAsia="Arial" w:hAnsi="Arial"/>
                <w:sz w:val="18"/>
                <w:szCs w:val="18"/>
                <w:color w:val="auto"/>
                <w:w w:val="90"/>
              </w:rPr>
              <w:t>Aaa – Ba1</w:t>
            </w:r>
          </w:p>
        </w:tc>
        <w:tc>
          <w:tcPr>
            <w:tcW w:w="7000" w:type="dxa"/>
            <w:vAlign w:val="bottom"/>
            <w:gridSpan w:val="3"/>
            <w:shd w:val="clear" w:color="auto" w:fill="CCEEFF"/>
          </w:tcPr>
          <w:p>
            <w:pPr>
              <w:ind w:left="140"/>
              <w:spacing w:after="0" w:line="195" w:lineRule="exact"/>
              <w:rPr>
                <w:sz w:val="20"/>
                <w:szCs w:val="20"/>
                <w:color w:val="auto"/>
              </w:rPr>
            </w:pPr>
            <w:r>
              <w:rPr>
                <w:rFonts w:ascii="Arial" w:cs="Arial" w:eastAsia="Arial" w:hAnsi="Arial"/>
                <w:sz w:val="18"/>
                <w:szCs w:val="18"/>
                <w:color w:val="auto"/>
                <w:w w:val="99"/>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4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320" w:type="dxa"/>
            <w:vAlign w:val="bottom"/>
            <w:tcBorders>
              <w:right w:val="single" w:sz="8" w:color="CCEEFF"/>
            </w:tcBorders>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5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commitments.</w:t>
            </w:r>
          </w:p>
        </w:tc>
        <w:tc>
          <w:tcPr>
            <w:tcW w:w="0" w:type="dxa"/>
            <w:vAlign w:val="bottom"/>
          </w:tcPr>
          <w:p>
            <w:pPr>
              <w:spacing w:after="0"/>
              <w:rPr>
                <w:sz w:val="1"/>
                <w:szCs w:val="1"/>
                <w:color w:val="auto"/>
              </w:rPr>
            </w:pPr>
          </w:p>
        </w:tc>
      </w:tr>
      <w:tr>
        <w:trPr>
          <w:trHeight w:val="108"/>
        </w:trPr>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320" w:type="dxa"/>
            <w:vAlign w:val="bottom"/>
            <w:tcBorders>
              <w:right w:val="single" w:sz="8" w:color="CCEEFF"/>
            </w:tcBorders>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14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29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420" w:type="dxa"/>
            <w:vAlign w:val="bottom"/>
          </w:tcPr>
          <w:p>
            <w:pPr>
              <w:spacing w:after="0"/>
              <w:rPr>
                <w:sz w:val="17"/>
                <w:szCs w:val="17"/>
                <w:color w:val="auto"/>
              </w:rPr>
            </w:pPr>
          </w:p>
        </w:tc>
        <w:tc>
          <w:tcPr>
            <w:tcW w:w="940" w:type="dxa"/>
            <w:vAlign w:val="bottom"/>
            <w:gridSpan w:val="4"/>
          </w:tcPr>
          <w:p>
            <w:pPr>
              <w:ind w:left="80"/>
              <w:spacing w:after="0" w:line="201" w:lineRule="exact"/>
              <w:rPr>
                <w:sz w:val="20"/>
                <w:szCs w:val="20"/>
                <w:color w:val="auto"/>
              </w:rPr>
            </w:pPr>
            <w:r>
              <w:rPr>
                <w:rFonts w:ascii="Arial" w:cs="Arial" w:eastAsia="Arial" w:hAnsi="Arial"/>
                <w:sz w:val="18"/>
                <w:szCs w:val="18"/>
                <w:color w:val="auto"/>
              </w:rPr>
              <w:t>5 to 6</w:t>
            </w:r>
          </w:p>
        </w:tc>
        <w:tc>
          <w:tcPr>
            <w:tcW w:w="1260" w:type="dxa"/>
            <w:vAlign w:val="bottom"/>
            <w:gridSpan w:val="5"/>
          </w:tcPr>
          <w:p>
            <w:pPr>
              <w:jc w:val="center"/>
              <w:ind w:left="370"/>
              <w:spacing w:after="0" w:line="201" w:lineRule="exact"/>
              <w:rPr>
                <w:sz w:val="20"/>
                <w:szCs w:val="20"/>
                <w:color w:val="auto"/>
              </w:rPr>
            </w:pPr>
            <w:r>
              <w:rPr>
                <w:rFonts w:ascii="Arial" w:cs="Arial" w:eastAsia="Arial" w:hAnsi="Arial"/>
                <w:sz w:val="18"/>
                <w:szCs w:val="18"/>
                <w:color w:val="auto"/>
                <w:w w:val="91"/>
              </w:rPr>
              <w:t>2.35</w:t>
            </w:r>
          </w:p>
        </w:tc>
        <w:tc>
          <w:tcPr>
            <w:tcW w:w="140" w:type="dxa"/>
            <w:vAlign w:val="bottom"/>
          </w:tcPr>
          <w:p>
            <w:pPr>
              <w:spacing w:after="0"/>
              <w:rPr>
                <w:sz w:val="17"/>
                <w:szCs w:val="17"/>
                <w:color w:val="auto"/>
              </w:rPr>
            </w:pPr>
          </w:p>
        </w:tc>
        <w:tc>
          <w:tcPr>
            <w:tcW w:w="1480" w:type="dxa"/>
            <w:vAlign w:val="bottom"/>
            <w:gridSpan w:val="6"/>
          </w:tcPr>
          <w:p>
            <w:pPr>
              <w:jc w:val="center"/>
              <w:ind w:left="150"/>
              <w:spacing w:after="0" w:line="201" w:lineRule="exact"/>
              <w:rPr>
                <w:sz w:val="20"/>
                <w:szCs w:val="20"/>
                <w:color w:val="auto"/>
              </w:rPr>
            </w:pPr>
            <w:r>
              <w:rPr>
                <w:rFonts w:ascii="Arial" w:cs="Arial" w:eastAsia="Arial" w:hAnsi="Arial"/>
                <w:sz w:val="18"/>
                <w:szCs w:val="18"/>
                <w:color w:val="auto"/>
                <w:w w:val="91"/>
              </w:rPr>
              <w:t>Ba2 – B3</w:t>
            </w:r>
          </w:p>
        </w:tc>
        <w:tc>
          <w:tcPr>
            <w:tcW w:w="7000" w:type="dxa"/>
            <w:vAlign w:val="bottom"/>
            <w:gridSpan w:val="3"/>
          </w:tcPr>
          <w:p>
            <w:pPr>
              <w:ind w:left="140"/>
              <w:spacing w:after="0" w:line="201" w:lineRule="exact"/>
              <w:rPr>
                <w:sz w:val="20"/>
                <w:szCs w:val="20"/>
                <w:color w:val="auto"/>
              </w:rPr>
            </w:pPr>
            <w:r>
              <w:rPr>
                <w:rFonts w:ascii="Arial" w:cs="Arial" w:eastAsia="Arial" w:hAnsi="Arial"/>
                <w:sz w:val="18"/>
                <w:szCs w:val="18"/>
                <w:color w:val="auto"/>
                <w:w w:val="99"/>
              </w:rPr>
              <w:t>Exposure  in  customers  or  countries  with  payment  ability  to  satisfy  their  financial</w:t>
            </w:r>
          </w:p>
        </w:tc>
        <w:tc>
          <w:tcPr>
            <w:tcW w:w="0" w:type="dxa"/>
            <w:vAlign w:val="bottom"/>
          </w:tcPr>
          <w:p>
            <w:pPr>
              <w:spacing w:after="0"/>
              <w:rPr>
                <w:sz w:val="1"/>
                <w:szCs w:val="1"/>
                <w:color w:val="auto"/>
              </w:rPr>
            </w:pPr>
          </w:p>
        </w:tc>
      </w:tr>
      <w:tr>
        <w:trPr>
          <w:trHeight w:val="230"/>
        </w:trPr>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000" w:type="dxa"/>
            <w:vAlign w:val="bottom"/>
            <w:gridSpan w:val="3"/>
          </w:tcPr>
          <w:p>
            <w:pPr>
              <w:ind w:left="140"/>
              <w:spacing w:after="0"/>
              <w:rPr>
                <w:sz w:val="20"/>
                <w:szCs w:val="20"/>
                <w:color w:val="auto"/>
              </w:rPr>
            </w:pPr>
            <w:r>
              <w:rPr>
                <w:rFonts w:ascii="Arial" w:cs="Arial" w:eastAsia="Arial" w:hAnsi="Arial"/>
                <w:sz w:val="18"/>
                <w:szCs w:val="18"/>
                <w:color w:val="auto"/>
              </w:rPr>
              <w:t>commitments, but with more frequent reviews.</w:t>
            </w:r>
          </w:p>
        </w:tc>
        <w:tc>
          <w:tcPr>
            <w:tcW w:w="0" w:type="dxa"/>
            <w:vAlign w:val="bottom"/>
          </w:tcPr>
          <w:p>
            <w:pPr>
              <w:spacing w:after="0"/>
              <w:rPr>
                <w:sz w:val="1"/>
                <w:szCs w:val="1"/>
                <w:color w:val="auto"/>
              </w:rPr>
            </w:pPr>
          </w:p>
        </w:tc>
      </w:tr>
      <w:tr>
        <w:trPr>
          <w:trHeight w:val="108"/>
        </w:trPr>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80" w:type="dxa"/>
            <w:vAlign w:val="bottom"/>
          </w:tcPr>
          <w:p>
            <w:pPr>
              <w:spacing w:after="0"/>
              <w:rPr>
                <w:sz w:val="9"/>
                <w:szCs w:val="9"/>
                <w:color w:val="auto"/>
              </w:rPr>
            </w:pPr>
          </w:p>
        </w:tc>
        <w:tc>
          <w:tcPr>
            <w:tcW w:w="30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0" w:type="dxa"/>
            <w:vAlign w:val="bottom"/>
          </w:tcPr>
          <w:p>
            <w:pPr>
              <w:spacing w:after="0"/>
              <w:rPr>
                <w:sz w:val="9"/>
                <w:szCs w:val="9"/>
                <w:color w:val="auto"/>
              </w:rPr>
            </w:pPr>
          </w:p>
        </w:tc>
        <w:tc>
          <w:tcPr>
            <w:tcW w:w="320" w:type="dxa"/>
            <w:vAlign w:val="bottom"/>
          </w:tcPr>
          <w:p>
            <w:pPr>
              <w:spacing w:after="0"/>
              <w:rPr>
                <w:sz w:val="9"/>
                <w:szCs w:val="9"/>
                <w:color w:val="auto"/>
              </w:rPr>
            </w:pPr>
          </w:p>
        </w:tc>
        <w:tc>
          <w:tcPr>
            <w:tcW w:w="180" w:type="dxa"/>
            <w:vAlign w:val="bottom"/>
          </w:tcPr>
          <w:p>
            <w:pPr>
              <w:spacing w:after="0"/>
              <w:rPr>
                <w:sz w:val="9"/>
                <w:szCs w:val="9"/>
                <w:color w:val="auto"/>
              </w:rPr>
            </w:pPr>
          </w:p>
        </w:tc>
        <w:tc>
          <w:tcPr>
            <w:tcW w:w="3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500" w:type="dxa"/>
            <w:vAlign w:val="bottom"/>
          </w:tcPr>
          <w:p>
            <w:pPr>
              <w:spacing w:after="0"/>
              <w:rPr>
                <w:sz w:val="9"/>
                <w:szCs w:val="9"/>
                <w:color w:val="auto"/>
              </w:rPr>
            </w:pPr>
          </w:p>
        </w:tc>
        <w:tc>
          <w:tcPr>
            <w:tcW w:w="160" w:type="dxa"/>
            <w:vAlign w:val="bottom"/>
          </w:tcPr>
          <w:p>
            <w:pPr>
              <w:spacing w:after="0"/>
              <w:rPr>
                <w:sz w:val="9"/>
                <w:szCs w:val="9"/>
                <w:color w:val="auto"/>
              </w:rPr>
            </w:pPr>
          </w:p>
        </w:tc>
        <w:tc>
          <w:tcPr>
            <w:tcW w:w="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140" w:type="dxa"/>
            <w:vAlign w:val="bottom"/>
          </w:tcPr>
          <w:p>
            <w:pPr>
              <w:spacing w:after="0"/>
              <w:rPr>
                <w:sz w:val="9"/>
                <w:szCs w:val="9"/>
                <w:color w:val="auto"/>
              </w:rPr>
            </w:pPr>
          </w:p>
        </w:tc>
        <w:tc>
          <w:tcPr>
            <w:tcW w:w="880" w:type="dxa"/>
            <w:vAlign w:val="bottom"/>
          </w:tcPr>
          <w:p>
            <w:pPr>
              <w:spacing w:after="0"/>
              <w:rPr>
                <w:sz w:val="9"/>
                <w:szCs w:val="9"/>
                <w:color w:val="auto"/>
              </w:rPr>
            </w:pPr>
          </w:p>
        </w:tc>
        <w:tc>
          <w:tcPr>
            <w:tcW w:w="29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980" w:type="dxa"/>
            <w:vAlign w:val="bottom"/>
            <w:gridSpan w:val="3"/>
            <w:shd w:val="clear" w:color="auto" w:fill="CCEEFF"/>
          </w:tcPr>
          <w:p>
            <w:pPr>
              <w:jc w:val="center"/>
              <w:ind w:left="410"/>
              <w:spacing w:after="0" w:line="201" w:lineRule="exact"/>
              <w:rPr>
                <w:sz w:val="20"/>
                <w:szCs w:val="20"/>
                <w:color w:val="auto"/>
              </w:rPr>
            </w:pPr>
            <w:r>
              <w:rPr>
                <w:rFonts w:ascii="Arial" w:cs="Arial" w:eastAsia="Arial" w:hAnsi="Arial"/>
                <w:sz w:val="18"/>
                <w:szCs w:val="18"/>
                <w:color w:val="auto"/>
                <w:w w:val="79"/>
              </w:rPr>
              <w:t>7</w:t>
            </w:r>
          </w:p>
        </w:tc>
        <w:tc>
          <w:tcPr>
            <w:tcW w:w="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60" w:type="dxa"/>
            <w:vAlign w:val="bottom"/>
            <w:tcBorders>
              <w:right w:val="single" w:sz="8" w:color="CCEEFF"/>
            </w:tcBorders>
            <w:gridSpan w:val="5"/>
            <w:shd w:val="clear" w:color="auto" w:fill="CCEEFF"/>
          </w:tcPr>
          <w:p>
            <w:pPr>
              <w:jc w:val="center"/>
              <w:ind w:left="370"/>
              <w:spacing w:after="0" w:line="201" w:lineRule="exact"/>
              <w:rPr>
                <w:sz w:val="20"/>
                <w:szCs w:val="20"/>
                <w:color w:val="auto"/>
              </w:rPr>
            </w:pPr>
            <w:r>
              <w:rPr>
                <w:rFonts w:ascii="Arial" w:cs="Arial" w:eastAsia="Arial" w:hAnsi="Arial"/>
                <w:sz w:val="18"/>
                <w:szCs w:val="18"/>
                <w:color w:val="auto"/>
                <w:w w:val="91"/>
              </w:rPr>
              <w:t>7.90</w:t>
            </w:r>
          </w:p>
        </w:tc>
        <w:tc>
          <w:tcPr>
            <w:tcW w:w="140" w:type="dxa"/>
            <w:vAlign w:val="bottom"/>
            <w:shd w:val="clear" w:color="auto" w:fill="CCEEFF"/>
          </w:tcPr>
          <w:p>
            <w:pPr>
              <w:spacing w:after="0"/>
              <w:rPr>
                <w:sz w:val="17"/>
                <w:szCs w:val="17"/>
                <w:color w:val="auto"/>
              </w:rPr>
            </w:pPr>
          </w:p>
        </w:tc>
        <w:tc>
          <w:tcPr>
            <w:tcW w:w="1480" w:type="dxa"/>
            <w:vAlign w:val="bottom"/>
            <w:gridSpan w:val="6"/>
            <w:shd w:val="clear" w:color="auto" w:fill="CCEEFF"/>
          </w:tcPr>
          <w:p>
            <w:pPr>
              <w:jc w:val="center"/>
              <w:ind w:left="150"/>
              <w:spacing w:after="0" w:line="201" w:lineRule="exact"/>
              <w:rPr>
                <w:sz w:val="20"/>
                <w:szCs w:val="20"/>
                <w:color w:val="auto"/>
              </w:rPr>
            </w:pPr>
            <w:r>
              <w:rPr>
                <w:rFonts w:ascii="Arial" w:cs="Arial" w:eastAsia="Arial" w:hAnsi="Arial"/>
                <w:sz w:val="18"/>
                <w:szCs w:val="18"/>
                <w:color w:val="auto"/>
                <w:w w:val="86"/>
              </w:rPr>
              <w:t>Caa1 – Caa3</w:t>
            </w:r>
          </w:p>
        </w:tc>
        <w:tc>
          <w:tcPr>
            <w:tcW w:w="7000" w:type="dxa"/>
            <w:vAlign w:val="bottom"/>
            <w:gridSpan w:val="3"/>
            <w:shd w:val="clear" w:color="auto" w:fill="CCEEFF"/>
          </w:tcPr>
          <w:p>
            <w:pPr>
              <w:ind w:left="140"/>
              <w:spacing w:after="0" w:line="201" w:lineRule="exact"/>
              <w:rPr>
                <w:sz w:val="20"/>
                <w:szCs w:val="20"/>
                <w:color w:val="auto"/>
              </w:rPr>
            </w:pPr>
            <w:r>
              <w:rPr>
                <w:rFonts w:ascii="Arial" w:cs="Arial" w:eastAsia="Arial" w:hAnsi="Arial"/>
                <w:sz w:val="18"/>
                <w:szCs w:val="18"/>
                <w:color w:val="auto"/>
                <w:w w:val="91"/>
              </w:rPr>
              <w:t>Exposure in customers whose primary source of payment (operating cash flow) is inadequate,</w:t>
            </w:r>
          </w:p>
        </w:tc>
        <w:tc>
          <w:tcPr>
            <w:tcW w:w="0" w:type="dxa"/>
            <w:vAlign w:val="bottom"/>
          </w:tcPr>
          <w:p>
            <w:pPr>
              <w:spacing w:after="0"/>
              <w:rPr>
                <w:sz w:val="1"/>
                <w:szCs w:val="1"/>
                <w:color w:val="auto"/>
              </w:rPr>
            </w:pPr>
          </w:p>
        </w:tc>
      </w:tr>
      <w:tr>
        <w:trPr>
          <w:trHeight w:val="216"/>
        </w:trPr>
        <w:tc>
          <w:tcPr>
            <w:tcW w:w="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w w:val="94"/>
              </w:rPr>
              <w:t>and who show evidence of deterioration in their working capital that does not allow them to</w:t>
            </w:r>
          </w:p>
        </w:tc>
        <w:tc>
          <w:tcPr>
            <w:tcW w:w="0" w:type="dxa"/>
            <w:vAlign w:val="bottom"/>
          </w:tcPr>
          <w:p>
            <w:pPr>
              <w:spacing w:after="0"/>
              <w:rPr>
                <w:sz w:val="1"/>
                <w:szCs w:val="1"/>
                <w:color w:val="auto"/>
              </w:rPr>
            </w:pPr>
          </w:p>
        </w:tc>
      </w:tr>
      <w:tr>
        <w:trPr>
          <w:trHeight w:val="216"/>
        </w:trPr>
        <w:tc>
          <w:tcPr>
            <w:tcW w:w="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w w:val="93"/>
              </w:rPr>
              <w:t>satisfy payments on the agreed terms, or in countries where the transaction involves certain</w:t>
            </w:r>
          </w:p>
        </w:tc>
        <w:tc>
          <w:tcPr>
            <w:tcW w:w="0" w:type="dxa"/>
            <w:vAlign w:val="bottom"/>
          </w:tcPr>
          <w:p>
            <w:pPr>
              <w:spacing w:after="0"/>
              <w:rPr>
                <w:sz w:val="1"/>
                <w:szCs w:val="1"/>
                <w:color w:val="auto"/>
              </w:rPr>
            </w:pPr>
          </w:p>
        </w:tc>
      </w:tr>
      <w:tr>
        <w:trPr>
          <w:trHeight w:val="230"/>
        </w:trPr>
        <w:tc>
          <w:tcPr>
            <w:tcW w:w="4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320" w:type="dxa"/>
            <w:vAlign w:val="bottom"/>
            <w:tcBorders>
              <w:right w:val="single" w:sz="8" w:color="CCEEFF"/>
            </w:tcBorders>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5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risks.</w:t>
            </w:r>
          </w:p>
        </w:tc>
        <w:tc>
          <w:tcPr>
            <w:tcW w:w="0" w:type="dxa"/>
            <w:vAlign w:val="bottom"/>
          </w:tcPr>
          <w:p>
            <w:pPr>
              <w:spacing w:after="0"/>
              <w:rPr>
                <w:sz w:val="1"/>
                <w:szCs w:val="1"/>
                <w:color w:val="auto"/>
              </w:rPr>
            </w:pPr>
          </w:p>
        </w:tc>
      </w:tr>
      <w:tr>
        <w:trPr>
          <w:trHeight w:val="108"/>
        </w:trPr>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320" w:type="dxa"/>
            <w:vAlign w:val="bottom"/>
            <w:tcBorders>
              <w:right w:val="single" w:sz="8" w:color="CCEEFF"/>
            </w:tcBorders>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14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29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980" w:type="dxa"/>
            <w:vAlign w:val="bottom"/>
            <w:gridSpan w:val="3"/>
          </w:tcPr>
          <w:p>
            <w:pPr>
              <w:jc w:val="center"/>
              <w:ind w:left="410"/>
              <w:spacing w:after="0" w:line="201" w:lineRule="exact"/>
              <w:rPr>
                <w:sz w:val="20"/>
                <w:szCs w:val="20"/>
                <w:color w:val="auto"/>
              </w:rPr>
            </w:pPr>
            <w:r>
              <w:rPr>
                <w:rFonts w:ascii="Arial" w:cs="Arial" w:eastAsia="Arial" w:hAnsi="Arial"/>
                <w:sz w:val="18"/>
                <w:szCs w:val="18"/>
                <w:color w:val="auto"/>
                <w:w w:val="92"/>
              </w:rPr>
              <w:t>8-9</w:t>
            </w:r>
          </w:p>
        </w:tc>
        <w:tc>
          <w:tcPr>
            <w:tcW w:w="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260" w:type="dxa"/>
            <w:vAlign w:val="bottom"/>
            <w:gridSpan w:val="5"/>
          </w:tcPr>
          <w:p>
            <w:pPr>
              <w:jc w:val="center"/>
              <w:ind w:left="370"/>
              <w:spacing w:after="0" w:line="201" w:lineRule="exact"/>
              <w:rPr>
                <w:sz w:val="20"/>
                <w:szCs w:val="20"/>
                <w:color w:val="auto"/>
              </w:rPr>
            </w:pPr>
            <w:r>
              <w:rPr>
                <w:rFonts w:ascii="Arial" w:cs="Arial" w:eastAsia="Arial" w:hAnsi="Arial"/>
                <w:sz w:val="18"/>
                <w:szCs w:val="18"/>
                <w:color w:val="auto"/>
                <w:w w:val="88"/>
              </w:rPr>
              <w:t>30.67</w:t>
            </w:r>
          </w:p>
        </w:tc>
        <w:tc>
          <w:tcPr>
            <w:tcW w:w="1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900" w:type="dxa"/>
            <w:vAlign w:val="bottom"/>
            <w:gridSpan w:val="4"/>
          </w:tcPr>
          <w:p>
            <w:pPr>
              <w:jc w:val="center"/>
              <w:ind w:right="340"/>
              <w:spacing w:after="0" w:line="201" w:lineRule="exact"/>
              <w:rPr>
                <w:sz w:val="20"/>
                <w:szCs w:val="20"/>
                <w:color w:val="auto"/>
              </w:rPr>
            </w:pPr>
            <w:r>
              <w:rPr>
                <w:rFonts w:ascii="Arial" w:cs="Arial" w:eastAsia="Arial" w:hAnsi="Arial"/>
                <w:sz w:val="18"/>
                <w:szCs w:val="18"/>
                <w:color w:val="auto"/>
                <w:w w:val="86"/>
              </w:rPr>
              <w:t>Ca</w:t>
            </w:r>
          </w:p>
        </w:tc>
        <w:tc>
          <w:tcPr>
            <w:tcW w:w="7000" w:type="dxa"/>
            <w:vAlign w:val="bottom"/>
            <w:gridSpan w:val="3"/>
          </w:tcPr>
          <w:p>
            <w:pPr>
              <w:ind w:left="140"/>
              <w:spacing w:after="0" w:line="201" w:lineRule="exact"/>
              <w:rPr>
                <w:sz w:val="20"/>
                <w:szCs w:val="20"/>
                <w:color w:val="auto"/>
              </w:rPr>
            </w:pPr>
            <w:r>
              <w:rPr>
                <w:rFonts w:ascii="Arial" w:cs="Arial" w:eastAsia="Arial" w:hAnsi="Arial"/>
                <w:sz w:val="18"/>
                <w:szCs w:val="18"/>
                <w:color w:val="auto"/>
                <w:w w:val="99"/>
              </w:rPr>
              <w:t>Exposure in customers whose operating cash flow continuously shows insufficiency to</w:t>
            </w:r>
          </w:p>
        </w:tc>
        <w:tc>
          <w:tcPr>
            <w:tcW w:w="0" w:type="dxa"/>
            <w:vAlign w:val="bottom"/>
          </w:tcPr>
          <w:p>
            <w:pPr>
              <w:spacing w:after="0"/>
              <w:rPr>
                <w:sz w:val="1"/>
                <w:szCs w:val="1"/>
                <w:color w:val="auto"/>
              </w:rPr>
            </w:pPr>
          </w:p>
        </w:tc>
      </w:tr>
      <w:tr>
        <w:trPr>
          <w:trHeight w:val="216"/>
        </w:trPr>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000" w:type="dxa"/>
            <w:vAlign w:val="bottom"/>
            <w:gridSpan w:val="3"/>
          </w:tcPr>
          <w:p>
            <w:pPr>
              <w:ind w:left="140"/>
              <w:spacing w:after="0"/>
              <w:rPr>
                <w:sz w:val="20"/>
                <w:szCs w:val="20"/>
                <w:color w:val="auto"/>
              </w:rPr>
            </w:pPr>
            <w:r>
              <w:rPr>
                <w:rFonts w:ascii="Arial" w:cs="Arial" w:eastAsia="Arial" w:hAnsi="Arial"/>
                <w:sz w:val="18"/>
                <w:szCs w:val="18"/>
                <w:color w:val="auto"/>
                <w:w w:val="99"/>
              </w:rPr>
              <w:t>service the debt on the originally agreed terms, or in countries where the transaction is</w:t>
            </w:r>
          </w:p>
        </w:tc>
        <w:tc>
          <w:tcPr>
            <w:tcW w:w="0" w:type="dxa"/>
            <w:vAlign w:val="bottom"/>
          </w:tcPr>
          <w:p>
            <w:pPr>
              <w:spacing w:after="0"/>
              <w:rPr>
                <w:sz w:val="1"/>
                <w:szCs w:val="1"/>
                <w:color w:val="auto"/>
              </w:rPr>
            </w:pPr>
          </w:p>
        </w:tc>
      </w:tr>
      <w:tr>
        <w:trPr>
          <w:trHeight w:val="230"/>
        </w:trPr>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000" w:type="dxa"/>
            <w:vAlign w:val="bottom"/>
            <w:gridSpan w:val="3"/>
          </w:tcPr>
          <w:p>
            <w:pPr>
              <w:ind w:left="140"/>
              <w:spacing w:after="0"/>
              <w:rPr>
                <w:sz w:val="20"/>
                <w:szCs w:val="20"/>
                <w:color w:val="auto"/>
              </w:rPr>
            </w:pPr>
            <w:r>
              <w:rPr>
                <w:rFonts w:ascii="Arial" w:cs="Arial" w:eastAsia="Arial" w:hAnsi="Arial"/>
                <w:sz w:val="18"/>
                <w:szCs w:val="18"/>
                <w:color w:val="auto"/>
              </w:rPr>
              <w:t>limited or restricted to certain terms, structure and types of credits.</w:t>
            </w:r>
          </w:p>
        </w:tc>
        <w:tc>
          <w:tcPr>
            <w:tcW w:w="0" w:type="dxa"/>
            <w:vAlign w:val="bottom"/>
          </w:tcPr>
          <w:p>
            <w:pPr>
              <w:spacing w:after="0"/>
              <w:rPr>
                <w:sz w:val="1"/>
                <w:szCs w:val="1"/>
                <w:color w:val="auto"/>
              </w:rPr>
            </w:pPr>
          </w:p>
        </w:tc>
      </w:tr>
      <w:tr>
        <w:trPr>
          <w:trHeight w:val="108"/>
        </w:trPr>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80" w:type="dxa"/>
            <w:vAlign w:val="bottom"/>
          </w:tcPr>
          <w:p>
            <w:pPr>
              <w:spacing w:after="0"/>
              <w:rPr>
                <w:sz w:val="9"/>
                <w:szCs w:val="9"/>
                <w:color w:val="auto"/>
              </w:rPr>
            </w:pPr>
          </w:p>
        </w:tc>
        <w:tc>
          <w:tcPr>
            <w:tcW w:w="30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0" w:type="dxa"/>
            <w:vAlign w:val="bottom"/>
          </w:tcPr>
          <w:p>
            <w:pPr>
              <w:spacing w:after="0"/>
              <w:rPr>
                <w:sz w:val="9"/>
                <w:szCs w:val="9"/>
                <w:color w:val="auto"/>
              </w:rPr>
            </w:pPr>
          </w:p>
        </w:tc>
        <w:tc>
          <w:tcPr>
            <w:tcW w:w="320" w:type="dxa"/>
            <w:vAlign w:val="bottom"/>
          </w:tcPr>
          <w:p>
            <w:pPr>
              <w:spacing w:after="0"/>
              <w:rPr>
                <w:sz w:val="9"/>
                <w:szCs w:val="9"/>
                <w:color w:val="auto"/>
              </w:rPr>
            </w:pPr>
          </w:p>
        </w:tc>
        <w:tc>
          <w:tcPr>
            <w:tcW w:w="180" w:type="dxa"/>
            <w:vAlign w:val="bottom"/>
          </w:tcPr>
          <w:p>
            <w:pPr>
              <w:spacing w:after="0"/>
              <w:rPr>
                <w:sz w:val="9"/>
                <w:szCs w:val="9"/>
                <w:color w:val="auto"/>
              </w:rPr>
            </w:pPr>
          </w:p>
        </w:tc>
        <w:tc>
          <w:tcPr>
            <w:tcW w:w="3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500" w:type="dxa"/>
            <w:vAlign w:val="bottom"/>
          </w:tcPr>
          <w:p>
            <w:pPr>
              <w:spacing w:after="0"/>
              <w:rPr>
                <w:sz w:val="9"/>
                <w:szCs w:val="9"/>
                <w:color w:val="auto"/>
              </w:rPr>
            </w:pPr>
          </w:p>
        </w:tc>
        <w:tc>
          <w:tcPr>
            <w:tcW w:w="160" w:type="dxa"/>
            <w:vAlign w:val="bottom"/>
          </w:tcPr>
          <w:p>
            <w:pPr>
              <w:spacing w:after="0"/>
              <w:rPr>
                <w:sz w:val="9"/>
                <w:szCs w:val="9"/>
                <w:color w:val="auto"/>
              </w:rPr>
            </w:pPr>
          </w:p>
        </w:tc>
        <w:tc>
          <w:tcPr>
            <w:tcW w:w="20" w:type="dxa"/>
            <w:vAlign w:val="bottom"/>
          </w:tcPr>
          <w:p>
            <w:pPr>
              <w:spacing w:after="0"/>
              <w:rPr>
                <w:sz w:val="9"/>
                <w:szCs w:val="9"/>
                <w:color w:val="auto"/>
              </w:rPr>
            </w:pPr>
          </w:p>
        </w:tc>
        <w:tc>
          <w:tcPr>
            <w:tcW w:w="220" w:type="dxa"/>
            <w:vAlign w:val="bottom"/>
          </w:tcPr>
          <w:p>
            <w:pPr>
              <w:spacing w:after="0"/>
              <w:rPr>
                <w:sz w:val="9"/>
                <w:szCs w:val="9"/>
                <w:color w:val="auto"/>
              </w:rPr>
            </w:pPr>
          </w:p>
        </w:tc>
        <w:tc>
          <w:tcPr>
            <w:tcW w:w="3140" w:type="dxa"/>
            <w:vAlign w:val="bottom"/>
          </w:tcPr>
          <w:p>
            <w:pPr>
              <w:spacing w:after="0"/>
              <w:rPr>
                <w:sz w:val="9"/>
                <w:szCs w:val="9"/>
                <w:color w:val="auto"/>
              </w:rPr>
            </w:pPr>
          </w:p>
        </w:tc>
        <w:tc>
          <w:tcPr>
            <w:tcW w:w="880" w:type="dxa"/>
            <w:vAlign w:val="bottom"/>
          </w:tcPr>
          <w:p>
            <w:pPr>
              <w:spacing w:after="0"/>
              <w:rPr>
                <w:sz w:val="9"/>
                <w:szCs w:val="9"/>
                <w:color w:val="auto"/>
              </w:rPr>
            </w:pPr>
          </w:p>
        </w:tc>
        <w:tc>
          <w:tcPr>
            <w:tcW w:w="29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980" w:type="dxa"/>
            <w:vAlign w:val="bottom"/>
            <w:gridSpan w:val="3"/>
            <w:shd w:val="clear" w:color="auto" w:fill="CCEEFF"/>
          </w:tcPr>
          <w:p>
            <w:pPr>
              <w:jc w:val="center"/>
              <w:ind w:left="430"/>
              <w:spacing w:after="0" w:line="201" w:lineRule="exact"/>
              <w:rPr>
                <w:sz w:val="20"/>
                <w:szCs w:val="20"/>
                <w:color w:val="auto"/>
              </w:rPr>
            </w:pPr>
            <w:r>
              <w:rPr>
                <w:rFonts w:ascii="Arial" w:cs="Arial" w:eastAsia="Arial" w:hAnsi="Arial"/>
                <w:sz w:val="18"/>
                <w:szCs w:val="18"/>
                <w:color w:val="auto"/>
                <w:w w:val="89"/>
              </w:rPr>
              <w:t>10</w:t>
            </w:r>
          </w:p>
        </w:tc>
        <w:tc>
          <w:tcPr>
            <w:tcW w:w="8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260" w:type="dxa"/>
            <w:vAlign w:val="bottom"/>
            <w:tcBorders>
              <w:right w:val="single" w:sz="8" w:color="CCEEFF"/>
            </w:tcBorders>
            <w:gridSpan w:val="5"/>
            <w:shd w:val="clear" w:color="auto" w:fill="CCEEFF"/>
          </w:tcPr>
          <w:p>
            <w:pPr>
              <w:jc w:val="center"/>
              <w:ind w:left="370"/>
              <w:spacing w:after="0" w:line="201" w:lineRule="exact"/>
              <w:rPr>
                <w:sz w:val="20"/>
                <w:szCs w:val="20"/>
                <w:color w:val="auto"/>
              </w:rPr>
            </w:pPr>
            <w:r>
              <w:rPr>
                <w:rFonts w:ascii="Arial" w:cs="Arial" w:eastAsia="Arial" w:hAnsi="Arial"/>
                <w:sz w:val="18"/>
                <w:szCs w:val="18"/>
                <w:color w:val="auto"/>
                <w:w w:val="93"/>
              </w:rPr>
              <w:t>100</w:t>
            </w:r>
          </w:p>
        </w:tc>
        <w:tc>
          <w:tcPr>
            <w:tcW w:w="1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900" w:type="dxa"/>
            <w:vAlign w:val="bottom"/>
            <w:gridSpan w:val="4"/>
            <w:shd w:val="clear" w:color="auto" w:fill="CCEEFF"/>
          </w:tcPr>
          <w:p>
            <w:pPr>
              <w:jc w:val="center"/>
              <w:ind w:right="340"/>
              <w:spacing w:after="0" w:line="201" w:lineRule="exact"/>
              <w:rPr>
                <w:sz w:val="20"/>
                <w:szCs w:val="20"/>
                <w:color w:val="auto"/>
              </w:rPr>
            </w:pPr>
            <w:r>
              <w:rPr>
                <w:rFonts w:ascii="Arial" w:cs="Arial" w:eastAsia="Arial" w:hAnsi="Arial"/>
                <w:sz w:val="18"/>
                <w:szCs w:val="18"/>
                <w:color w:val="auto"/>
                <w:w w:val="91"/>
              </w:rPr>
              <w:t>C</w:t>
            </w:r>
          </w:p>
        </w:tc>
        <w:tc>
          <w:tcPr>
            <w:tcW w:w="7000" w:type="dxa"/>
            <w:vAlign w:val="bottom"/>
            <w:gridSpan w:val="3"/>
            <w:shd w:val="clear" w:color="auto" w:fill="CCEEFF"/>
          </w:tcPr>
          <w:p>
            <w:pPr>
              <w:ind w:left="140"/>
              <w:spacing w:after="0" w:line="201" w:lineRule="exact"/>
              <w:rPr>
                <w:sz w:val="20"/>
                <w:szCs w:val="20"/>
                <w:color w:val="auto"/>
              </w:rPr>
            </w:pPr>
            <w:r>
              <w:rPr>
                <w:rFonts w:ascii="Arial" w:cs="Arial" w:eastAsia="Arial" w:hAnsi="Arial"/>
                <w:sz w:val="18"/>
                <w:szCs w:val="18"/>
                <w:color w:val="auto"/>
              </w:rPr>
              <w:t>Exposure to customers with operating cash flow that does not cover their costs, are in</w:t>
            </w:r>
          </w:p>
        </w:tc>
        <w:tc>
          <w:tcPr>
            <w:tcW w:w="0" w:type="dxa"/>
            <w:vAlign w:val="bottom"/>
          </w:tcPr>
          <w:p>
            <w:pPr>
              <w:spacing w:after="0"/>
              <w:rPr>
                <w:sz w:val="1"/>
                <w:szCs w:val="1"/>
                <w:color w:val="auto"/>
              </w:rPr>
            </w:pPr>
          </w:p>
        </w:tc>
      </w:tr>
      <w:tr>
        <w:trPr>
          <w:trHeight w:val="216"/>
        </w:trPr>
        <w:tc>
          <w:tcPr>
            <w:tcW w:w="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suspension  of  payments,  presumably  will  also  have  difficulties  fulfilling  possible</w:t>
            </w:r>
          </w:p>
        </w:tc>
        <w:tc>
          <w:tcPr>
            <w:tcW w:w="0" w:type="dxa"/>
            <w:vAlign w:val="bottom"/>
          </w:tcPr>
          <w:p>
            <w:pPr>
              <w:spacing w:after="0"/>
              <w:rPr>
                <w:sz w:val="1"/>
                <w:szCs w:val="1"/>
                <w:color w:val="auto"/>
              </w:rPr>
            </w:pPr>
          </w:p>
        </w:tc>
      </w:tr>
      <w:tr>
        <w:trPr>
          <w:trHeight w:val="216"/>
        </w:trPr>
        <w:tc>
          <w:tcPr>
            <w:tcW w:w="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2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w w:val="95"/>
              </w:rPr>
              <w:t>restructuring agreements, are in a state of insolvency, or have filed for bankruptcy, among</w:t>
            </w:r>
          </w:p>
        </w:tc>
        <w:tc>
          <w:tcPr>
            <w:tcW w:w="0" w:type="dxa"/>
            <w:vAlign w:val="bottom"/>
          </w:tcPr>
          <w:p>
            <w:pPr>
              <w:spacing w:after="0"/>
              <w:rPr>
                <w:sz w:val="1"/>
                <w:szCs w:val="1"/>
                <w:color w:val="auto"/>
              </w:rPr>
            </w:pPr>
          </w:p>
        </w:tc>
      </w:tr>
      <w:tr>
        <w:trPr>
          <w:trHeight w:val="230"/>
        </w:trPr>
        <w:tc>
          <w:tcPr>
            <w:tcW w:w="4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320" w:type="dxa"/>
            <w:vAlign w:val="bottom"/>
            <w:tcBorders>
              <w:right w:val="single" w:sz="8" w:color="CCEEFF"/>
            </w:tcBorders>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5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70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others.</w:t>
            </w:r>
          </w:p>
        </w:tc>
        <w:tc>
          <w:tcPr>
            <w:tcW w:w="0" w:type="dxa"/>
            <w:vAlign w:val="bottom"/>
          </w:tcPr>
          <w:p>
            <w:pPr>
              <w:spacing w:after="0"/>
              <w:rPr>
                <w:sz w:val="1"/>
                <w:szCs w:val="1"/>
                <w:color w:val="auto"/>
              </w:rPr>
            </w:pPr>
          </w:p>
        </w:tc>
      </w:tr>
      <w:tr>
        <w:trPr>
          <w:trHeight w:val="108"/>
        </w:trPr>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3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32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320" w:type="dxa"/>
            <w:vAlign w:val="bottom"/>
            <w:tcBorders>
              <w:right w:val="single" w:sz="8" w:color="CCEEFF"/>
            </w:tcBorders>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3140" w:type="dxa"/>
            <w:vAlign w:val="bottom"/>
            <w:shd w:val="clear" w:color="auto" w:fill="CCEEFF"/>
          </w:tcPr>
          <w:p>
            <w:pPr>
              <w:spacing w:after="0"/>
              <w:rPr>
                <w:sz w:val="9"/>
                <w:szCs w:val="9"/>
                <w:color w:val="auto"/>
              </w:rPr>
            </w:pPr>
          </w:p>
        </w:tc>
        <w:tc>
          <w:tcPr>
            <w:tcW w:w="880" w:type="dxa"/>
            <w:vAlign w:val="bottom"/>
            <w:shd w:val="clear" w:color="auto" w:fill="CCEEFF"/>
          </w:tcPr>
          <w:p>
            <w:pPr>
              <w:spacing w:after="0"/>
              <w:rPr>
                <w:sz w:val="9"/>
                <w:szCs w:val="9"/>
                <w:color w:val="auto"/>
              </w:rPr>
            </w:pPr>
          </w:p>
        </w:tc>
        <w:tc>
          <w:tcPr>
            <w:tcW w:w="29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174" w:lineRule="exact"/>
        <w:rPr>
          <w:sz w:val="20"/>
          <w:szCs w:val="20"/>
          <w:color w:val="auto"/>
        </w:rPr>
      </w:pPr>
    </w:p>
    <w:p>
      <w:pPr>
        <w:ind w:left="220" w:hanging="212"/>
        <w:spacing w:after="0"/>
        <w:tabs>
          <w:tab w:leader="none" w:pos="220" w:val="left"/>
        </w:tabs>
        <w:numPr>
          <w:ilvl w:val="0"/>
          <w:numId w:val="36"/>
        </w:numPr>
        <w:rPr>
          <w:rFonts w:ascii="Arial" w:cs="Arial" w:eastAsia="Arial" w:hAnsi="Arial"/>
          <w:sz w:val="26"/>
          <w:szCs w:val="26"/>
          <w:color w:val="auto"/>
          <w:vertAlign w:val="superscript"/>
        </w:rPr>
      </w:pPr>
      <w:r>
        <w:rPr>
          <w:rFonts w:ascii="Arial" w:cs="Arial" w:eastAsia="Arial" w:hAnsi="Arial"/>
          <w:sz w:val="16"/>
          <w:szCs w:val="16"/>
          <w:color w:val="auto"/>
        </w:rPr>
        <w:t>PD refers to probability of default.</w:t>
      </w:r>
    </w:p>
    <w:p>
      <w:pPr>
        <w:spacing w:after="0" w:line="42" w:lineRule="exact"/>
        <w:rPr>
          <w:rFonts w:ascii="Arial" w:cs="Arial" w:eastAsia="Arial" w:hAnsi="Arial"/>
          <w:sz w:val="26"/>
          <w:szCs w:val="26"/>
          <w:color w:val="auto"/>
          <w:vertAlign w:val="superscript"/>
        </w:rPr>
      </w:pPr>
    </w:p>
    <w:p>
      <w:pPr>
        <w:ind w:left="220" w:hanging="212"/>
        <w:spacing w:after="0" w:line="194" w:lineRule="auto"/>
        <w:tabs>
          <w:tab w:leader="none" w:pos="220" w:val="left"/>
        </w:tabs>
        <w:numPr>
          <w:ilvl w:val="0"/>
          <w:numId w:val="36"/>
        </w:numPr>
        <w:rPr>
          <w:rFonts w:ascii="Arial" w:cs="Arial" w:eastAsia="Arial" w:hAnsi="Arial"/>
          <w:sz w:val="23"/>
          <w:szCs w:val="23"/>
          <w:color w:val="auto"/>
          <w:vertAlign w:val="superscript"/>
        </w:rPr>
      </w:pPr>
      <w:r>
        <w:rPr>
          <w:rFonts w:ascii="Arial" w:cs="Arial" w:eastAsia="Arial" w:hAnsi="Arial"/>
          <w:sz w:val="15"/>
          <w:szCs w:val="15"/>
          <w:color w:val="auto"/>
        </w:rPr>
        <w:t>External rating in accordance to Moody’s Investors Service.</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In order to periodically monitor the quality of the portfolio, customers and countries are reviewed every three to twelve months, depending on the risk rating.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of Financial Assets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3" w:lineRule="exact"/>
        <w:rPr>
          <w:sz w:val="20"/>
          <w:szCs w:val="20"/>
          <w:color w:val="auto"/>
        </w:rPr>
      </w:pPr>
    </w:p>
    <w:p>
      <w:pPr>
        <w:ind w:left="660" w:hanging="328"/>
        <w:spacing w:after="0" w:line="250" w:lineRule="auto"/>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The debtor is more than 90 days past due in any of its obligations to the Bank, either in loan principal or interest; or when the principal balance with one single balloon payment is more than 30 days past due;</w:t>
      </w:r>
    </w:p>
    <w:p>
      <w:pPr>
        <w:ind w:left="660" w:hanging="328"/>
        <w:spacing w:after="0" w:line="260" w:lineRule="auto"/>
        <w:tabs>
          <w:tab w:leader="none" w:pos="660" w:val="left"/>
        </w:tabs>
        <w:numPr>
          <w:ilvl w:val="0"/>
          <w:numId w:val="37"/>
        </w:numPr>
        <w:rPr>
          <w:rFonts w:ascii="Arial" w:cs="Arial" w:eastAsia="Arial" w:hAnsi="Arial"/>
          <w:sz w:val="18"/>
          <w:szCs w:val="18"/>
          <w:color w:val="auto"/>
        </w:rPr>
      </w:pPr>
      <w:r>
        <w:rPr>
          <w:rFonts w:ascii="Arial" w:cs="Arial" w:eastAsia="Arial" w:hAnsi="Arial"/>
          <w:sz w:val="18"/>
          <w:szCs w:val="18"/>
          <w:color w:val="auto"/>
        </w:rPr>
        <w:t>Deterioration in the financial condition of the client, or the existence of other factors allowing the Bank to estimate the possibility that the balance of principal and interest on client loans is not fully recoverable.</w:t>
      </w:r>
    </w:p>
    <w:p>
      <w:pPr>
        <w:spacing w:after="0" w:line="18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assessing whether a borrower is in default, the Bank considers qualitative and quantitative indicators that are based on both, data developed internally and information obtained from external sources. Inputs into the assessment of whether a financial instrument is in default and their significance may vary over time to reflect changes in circumstances.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5" w:name="page66"/>
    <w:bookmarkEnd w:id="65"/>
    <w:p>
      <w:pPr>
        <w:jc w:val="both"/>
        <w:spacing w:after="0" w:line="263" w:lineRule="auto"/>
        <w:rPr>
          <w:sz w:val="20"/>
          <w:szCs w:val="20"/>
          <w:color w:val="auto"/>
        </w:rPr>
      </w:pPr>
      <w:r>
        <w:rPr>
          <w:rFonts w:ascii="Arial" w:cs="Arial" w:eastAsia="Arial" w:hAnsi="Arial"/>
          <w:sz w:val="18"/>
          <w:szCs w:val="18"/>
          <w:color w:val="auto"/>
        </w:rPr>
        <w:t>A modified financial asset is an instrument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84" w:lineRule="exact"/>
        <w:rPr>
          <w:sz w:val="20"/>
          <w:szCs w:val="20"/>
          <w:color w:val="auto"/>
        </w:rPr>
      </w:pPr>
    </w:p>
    <w:p>
      <w:pPr>
        <w:ind w:left="660" w:hanging="328"/>
        <w:spacing w:after="0" w:line="277" w:lineRule="auto"/>
        <w:tabs>
          <w:tab w:leader="none" w:pos="660" w:val="left"/>
        </w:tabs>
        <w:numPr>
          <w:ilvl w:val="0"/>
          <w:numId w:val="38"/>
        </w:numPr>
        <w:rPr>
          <w:rFonts w:ascii="Arial" w:cs="Arial" w:eastAsia="Arial" w:hAnsi="Arial"/>
          <w:sz w:val="18"/>
          <w:szCs w:val="18"/>
          <w:color w:val="auto"/>
        </w:rPr>
      </w:pPr>
      <w:r>
        <w:rPr>
          <w:rFonts w:ascii="Arial" w:cs="Arial" w:eastAsia="Arial" w:hAnsi="Arial"/>
          <w:sz w:val="18"/>
          <w:szCs w:val="18"/>
          <w:color w:val="auto"/>
        </w:rPr>
        <w:t>Qualitative factors, such as contractual cash flows after modification are no longer solely payments of principal and interest, change in currency or change of counterparty, the extent of change in interest rates, maturity and covenants.</w:t>
      </w:r>
    </w:p>
    <w:p>
      <w:pPr>
        <w:spacing w:after="0" w:line="197"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38"/>
        </w:numPr>
        <w:rPr>
          <w:rFonts w:ascii="Arial" w:cs="Arial" w:eastAsia="Arial" w:hAnsi="Arial"/>
          <w:sz w:val="18"/>
          <w:szCs w:val="18"/>
          <w:color w:val="auto"/>
        </w:rPr>
      </w:pPr>
      <w:r>
        <w:rPr>
          <w:rFonts w:ascii="Arial" w:cs="Arial" w:eastAsia="Arial" w:hAnsi="Arial"/>
          <w:sz w:val="18"/>
          <w:szCs w:val="18"/>
          <w:color w:val="auto"/>
        </w:rPr>
        <w:t>If the qualitative factors do not clearly indicate a substantial modification, then a quantitative assessment is performed to compare the present value of the remaining contractual cash flows under the original terms with the contractual cash flows under the revised terms, both amounts discounted at the original effective interest rate.</w:t>
      </w:r>
    </w:p>
    <w:p>
      <w:pPr>
        <w:spacing w:after="0" w:line="184"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70" w:lineRule="exact"/>
        <w:rPr>
          <w:sz w:val="20"/>
          <w:szCs w:val="20"/>
          <w:color w:val="auto"/>
        </w:rPr>
      </w:pPr>
    </w:p>
    <w:p>
      <w:pPr>
        <w:ind w:left="660" w:hanging="328"/>
        <w:spacing w:after="0"/>
        <w:tabs>
          <w:tab w:leader="none" w:pos="660" w:val="left"/>
        </w:tabs>
        <w:numPr>
          <w:ilvl w:val="0"/>
          <w:numId w:val="39"/>
        </w:numPr>
        <w:rPr>
          <w:rFonts w:ascii="Arial" w:cs="Arial" w:eastAsia="Arial" w:hAnsi="Arial"/>
          <w:sz w:val="17"/>
          <w:szCs w:val="17"/>
          <w:color w:val="auto"/>
        </w:rPr>
      </w:pPr>
      <w:r>
        <w:rPr>
          <w:rFonts w:ascii="Arial" w:cs="Arial" w:eastAsia="Arial" w:hAnsi="Arial"/>
          <w:sz w:val="17"/>
          <w:szCs w:val="17"/>
          <w:color w:val="auto"/>
        </w:rPr>
        <w:t>The remaining lifetime probability of default (“PD”) estimated based on data at initial recognition and the original contractual terms; with</w:t>
      </w:r>
    </w:p>
    <w:p>
      <w:pPr>
        <w:spacing w:after="0" w:line="263" w:lineRule="exact"/>
        <w:rPr>
          <w:rFonts w:ascii="Arial" w:cs="Arial" w:eastAsia="Arial" w:hAnsi="Arial"/>
          <w:sz w:val="17"/>
          <w:szCs w:val="17"/>
          <w:color w:val="auto"/>
        </w:rPr>
      </w:pPr>
    </w:p>
    <w:p>
      <w:pPr>
        <w:ind w:left="660" w:hanging="328"/>
        <w:spacing w:after="0"/>
        <w:tabs>
          <w:tab w:leader="none" w:pos="660" w:val="left"/>
        </w:tabs>
        <w:numPr>
          <w:ilvl w:val="0"/>
          <w:numId w:val="39"/>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In the renegotiation or modification of the contractual cash flows of the loan, the Bank shall:</w:t>
      </w:r>
    </w:p>
    <w:p>
      <w:pPr>
        <w:spacing w:after="0" w:line="225" w:lineRule="exact"/>
        <w:rPr>
          <w:sz w:val="20"/>
          <w:szCs w:val="20"/>
          <w:color w:val="auto"/>
        </w:rPr>
      </w:pPr>
    </w:p>
    <w:p>
      <w:pPr>
        <w:ind w:left="660" w:hanging="328"/>
        <w:spacing w:after="0"/>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loan that has been modified.</w:t>
      </w:r>
    </w:p>
    <w:p>
      <w:pPr>
        <w:spacing w:after="0" w:line="252"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loan’s original effective interest rate.</w:t>
      </w:r>
    </w:p>
    <w:p>
      <w:pPr>
        <w:spacing w:after="0" w:line="197" w:lineRule="exact"/>
        <w:rPr>
          <w:rFonts w:ascii="Arial" w:cs="Arial" w:eastAsia="Arial" w:hAnsi="Arial"/>
          <w:sz w:val="18"/>
          <w:szCs w:val="18"/>
          <w:color w:val="auto"/>
        </w:rPr>
      </w:pPr>
    </w:p>
    <w:p>
      <w:pPr>
        <w:jc w:val="both"/>
        <w:ind w:left="660" w:hanging="328"/>
        <w:spacing w:after="0" w:line="272" w:lineRule="auto"/>
        <w:tabs>
          <w:tab w:leader="none" w:pos="660" w:val="left"/>
        </w:tabs>
        <w:numPr>
          <w:ilvl w:val="0"/>
          <w:numId w:val="40"/>
        </w:numPr>
        <w:rPr>
          <w:rFonts w:ascii="Arial" w:cs="Arial" w:eastAsia="Arial" w:hAnsi="Arial"/>
          <w:sz w:val="17"/>
          <w:szCs w:val="17"/>
          <w:color w:val="auto"/>
        </w:rPr>
      </w:pPr>
      <w:r>
        <w:rPr>
          <w:rFonts w:ascii="Arial" w:cs="Arial" w:eastAsia="Arial" w:hAnsi="Arial"/>
          <w:sz w:val="17"/>
          <w:szCs w:val="17"/>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204" w:lineRule="exact"/>
        <w:rPr>
          <w:rFonts w:ascii="Arial" w:cs="Arial" w:eastAsia="Arial" w:hAnsi="Arial"/>
          <w:sz w:val="17"/>
          <w:szCs w:val="17"/>
          <w:color w:val="auto"/>
        </w:rPr>
      </w:pPr>
    </w:p>
    <w:p>
      <w:pPr>
        <w:jc w:val="both"/>
        <w:ind w:left="660" w:hanging="328"/>
        <w:spacing w:after="0" w:line="263" w:lineRule="auto"/>
        <w:tabs>
          <w:tab w:leader="none" w:pos="660" w:val="left"/>
        </w:tabs>
        <w:numPr>
          <w:ilvl w:val="0"/>
          <w:numId w:val="40"/>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the effect of such modifications (including the effect on the measurement of expected credit losses) and how the Bank monitors these loans that have been modified.</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recognizes a loss allowance for expected credit losses on a financial asset that is measured at amortized cost at each reporting date at an amount equal to the lifetime expected credit losses if the credit risk of that financial asset has increased significantly since initial recognition. If at the reporting date, the credit risk of that financial asset has not increased significantly since initial recognition, an entity shall measure the loss allowance for that financial asset at an amount equal to 12-month expected credit losses.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66" w:name="page67"/>
    <w:bookmarkEnd w:id="66"/>
    <w:p>
      <w:pPr>
        <w:jc w:val="both"/>
        <w:spacing w:after="0" w:line="259" w:lineRule="auto"/>
        <w:rPr>
          <w:sz w:val="20"/>
          <w:szCs w:val="20"/>
          <w:color w:val="auto"/>
        </w:rPr>
      </w:pPr>
      <w:r>
        <w:rPr>
          <w:rFonts w:ascii="Arial" w:cs="Arial" w:eastAsia="Arial" w:hAnsi="Arial"/>
          <w:sz w:val="18"/>
          <w:szCs w:val="18"/>
          <w:color w:val="auto"/>
        </w:rPr>
        <w:t>Loans and debt securities are written off (either partially or in full) when there is no reasonable expectation of recovering a financial asset in its entirety or a portion thereof..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87" w:lineRule="exact"/>
        <w:rPr>
          <w:sz w:val="20"/>
          <w:szCs w:val="20"/>
          <w:color w:val="auto"/>
        </w:rPr>
      </w:pPr>
    </w:p>
    <w:p>
      <w:pPr>
        <w:spacing w:after="0"/>
        <w:rPr>
          <w:sz w:val="20"/>
          <w:szCs w:val="20"/>
          <w:color w:val="auto"/>
        </w:rPr>
      </w:pPr>
      <w:r>
        <w:rPr>
          <w:rFonts w:ascii="Arial" w:cs="Arial" w:eastAsia="Arial" w:hAnsi="Arial"/>
          <w:sz w:val="17"/>
          <w:szCs w:val="17"/>
          <w:color w:val="auto"/>
        </w:rPr>
        <w:t>If the amount of loss on write-off is greater than the accumulated loss allowance, the difference will be recognized as an additional impairment loss.</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sets forth information regarding the Bank’s impaired credits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700" w:type="dxa"/>
            <w:vAlign w:val="bottom"/>
            <w:tcBorders>
              <w:bottom w:val="single" w:sz="8" w:color="auto"/>
            </w:tcBorders>
          </w:tcPr>
          <w:p>
            <w:pPr>
              <w:spacing w:after="0"/>
              <w:rPr>
                <w:sz w:val="20"/>
                <w:szCs w:val="20"/>
                <w:color w:val="auto"/>
              </w:rPr>
            </w:pPr>
          </w:p>
        </w:tc>
        <w:tc>
          <w:tcPr>
            <w:tcW w:w="1920" w:type="dxa"/>
            <w:vAlign w:val="bottom"/>
            <w:tcBorders>
              <w:bottom w:val="single" w:sz="8" w:color="auto"/>
            </w:tcBorders>
            <w:gridSpan w:val="8"/>
          </w:tcPr>
          <w:p>
            <w:pPr>
              <w:jc w:val="center"/>
              <w:spacing w:after="0"/>
              <w:rPr>
                <w:sz w:val="20"/>
                <w:szCs w:val="20"/>
                <w:color w:val="auto"/>
              </w:rPr>
            </w:pPr>
            <w:r>
              <w:rPr>
                <w:rFonts w:ascii="Arial" w:cs="Arial" w:eastAsia="Arial" w:hAnsi="Arial"/>
                <w:sz w:val="18"/>
                <w:szCs w:val="18"/>
                <w:b w:val="1"/>
                <w:bCs w:val="1"/>
                <w:color w:val="auto"/>
                <w:w w:val="88"/>
              </w:rPr>
              <w:t>As of December 31,</w:t>
            </w:r>
          </w:p>
        </w:tc>
        <w:tc>
          <w:tcPr>
            <w:tcW w:w="78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r>
      <w:tr>
        <w:trPr>
          <w:trHeight w:val="223"/>
        </w:trPr>
        <w:tc>
          <w:tcPr>
            <w:tcW w:w="48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28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jc w:val="center"/>
              <w:ind w:right="11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2018</w:t>
            </w:r>
          </w:p>
        </w:tc>
        <w:tc>
          <w:tcPr>
            <w:tcW w:w="160" w:type="dxa"/>
            <w:vAlign w:val="bottom"/>
          </w:tcPr>
          <w:p>
            <w:pPr>
              <w:spacing w:after="0"/>
              <w:rPr>
                <w:sz w:val="19"/>
                <w:szCs w:val="19"/>
                <w:color w:val="auto"/>
              </w:rPr>
            </w:pPr>
          </w:p>
        </w:tc>
      </w:tr>
      <w:tr>
        <w:trPr>
          <w:trHeight w:val="223"/>
        </w:trPr>
        <w:tc>
          <w:tcPr>
            <w:tcW w:w="486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3400" w:type="dxa"/>
            <w:vAlign w:val="bottom"/>
            <w:gridSpan w:val="10"/>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160" w:type="dxa"/>
            <w:vAlign w:val="bottom"/>
          </w:tcPr>
          <w:p>
            <w:pPr>
              <w:spacing w:after="0"/>
              <w:rPr>
                <w:sz w:val="19"/>
                <w:szCs w:val="19"/>
                <w:color w:val="auto"/>
              </w:rPr>
            </w:pP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w:t>
            </w:r>
          </w:p>
        </w:tc>
        <w:tc>
          <w:tcPr>
            <w:tcW w:w="1260" w:type="dxa"/>
            <w:vAlign w:val="bottom"/>
            <w:gridSpan w:val="2"/>
            <w:shd w:val="clear" w:color="auto" w:fill="CCEEFF"/>
          </w:tcPr>
          <w:p>
            <w:pPr>
              <w:jc w:val="right"/>
              <w:ind w:right="510"/>
              <w:spacing w:after="0"/>
              <w:rPr>
                <w:sz w:val="20"/>
                <w:szCs w:val="20"/>
                <w:color w:val="auto"/>
              </w:rPr>
            </w:pPr>
            <w:r>
              <w:rPr>
                <w:rFonts w:ascii="Arial" w:cs="Arial" w:eastAsia="Arial" w:hAnsi="Arial"/>
                <w:sz w:val="18"/>
                <w:szCs w:val="18"/>
                <w:color w:val="auto"/>
              </w:rPr>
              <w:t>$</w:t>
            </w:r>
          </w:p>
        </w:tc>
        <w:tc>
          <w:tcPr>
            <w:tcW w:w="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r>
      <w:tr>
        <w:trPr>
          <w:trHeight w:val="216"/>
        </w:trPr>
        <w:tc>
          <w:tcPr>
            <w:tcW w:w="4860" w:type="dxa"/>
            <w:vAlign w:val="bottom"/>
          </w:tcPr>
          <w:p>
            <w:pPr>
              <w:spacing w:after="0"/>
              <w:rPr>
                <w:sz w:val="20"/>
                <w:szCs w:val="20"/>
                <w:color w:val="auto"/>
              </w:rPr>
            </w:pPr>
            <w:r>
              <w:rPr>
                <w:rFonts w:ascii="Arial" w:cs="Arial" w:eastAsia="Arial" w:hAnsi="Arial"/>
                <w:sz w:val="18"/>
                <w:szCs w:val="18"/>
                <w:color w:val="auto"/>
              </w:rPr>
              <w:t>Asset-specific allocation from the allowance for loan losses</w:t>
            </w:r>
          </w:p>
        </w:tc>
        <w:tc>
          <w:tcPr>
            <w:tcW w:w="56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460" w:type="dxa"/>
            <w:vAlign w:val="bottom"/>
            <w:gridSpan w:val="2"/>
          </w:tcPr>
          <w:p>
            <w:pPr>
              <w:jc w:val="right"/>
              <w:ind w:right="180"/>
              <w:spacing w:after="0"/>
              <w:rPr>
                <w:sz w:val="20"/>
                <w:szCs w:val="20"/>
                <w:color w:val="auto"/>
              </w:rPr>
            </w:pPr>
            <w:r>
              <w:rPr>
                <w:rFonts w:ascii="Arial" w:cs="Arial" w:eastAsia="Arial" w:hAnsi="Arial"/>
                <w:sz w:val="18"/>
                <w:szCs w:val="18"/>
                <w:color w:val="auto"/>
              </w:rPr>
              <w:t>5</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54</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8"/>
                <w:szCs w:val="18"/>
                <w:color w:val="auto"/>
              </w:rPr>
              <w:t>49</w:t>
            </w:r>
          </w:p>
        </w:tc>
      </w:tr>
      <w:tr>
        <w:trPr>
          <w:trHeight w:val="216"/>
        </w:trPr>
        <w:tc>
          <w:tcPr>
            <w:tcW w:w="486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as a percentage of Loan Portfolio</w:t>
            </w:r>
          </w:p>
        </w:tc>
        <w:tc>
          <w:tcPr>
            <w:tcW w:w="56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w w:val="97"/>
              </w:rPr>
              <w:t>0.2%</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w:t>
            </w: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As of the end of each reported period, the Bank did not have credit-impaired loans in its Loan Portfolio without related allowances.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distribution of the Bank’s loans write-off by gross carrying amount against the allowance for loan losses by country for the periods indicated:</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16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54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440" w:type="dxa"/>
            <w:vAlign w:val="bottom"/>
            <w:tcBorders>
              <w:bottom w:val="single" w:sz="8" w:color="auto"/>
            </w:tcBorders>
          </w:tcPr>
          <w:p>
            <w:pPr>
              <w:spacing w:after="0"/>
              <w:rPr>
                <w:sz w:val="18"/>
                <w:szCs w:val="18"/>
                <w:color w:val="auto"/>
              </w:rPr>
            </w:pPr>
          </w:p>
        </w:tc>
        <w:tc>
          <w:tcPr>
            <w:tcW w:w="2400" w:type="dxa"/>
            <w:vAlign w:val="bottom"/>
            <w:tcBorders>
              <w:bottom w:val="single" w:sz="8" w:color="auto"/>
            </w:tcBorders>
            <w:gridSpan w:val="8"/>
          </w:tcPr>
          <w:p>
            <w:pPr>
              <w:jc w:val="right"/>
              <w:spacing w:after="0"/>
              <w:rPr>
                <w:sz w:val="20"/>
                <w:szCs w:val="20"/>
                <w:color w:val="auto"/>
              </w:rPr>
            </w:pPr>
            <w:r>
              <w:rPr>
                <w:rFonts w:ascii="Arial" w:cs="Arial" w:eastAsia="Arial" w:hAnsi="Arial"/>
                <w:sz w:val="16"/>
                <w:szCs w:val="16"/>
                <w:b w:val="1"/>
                <w:bCs w:val="1"/>
                <w:color w:val="auto"/>
                <w:w w:val="94"/>
              </w:rPr>
              <w:t>For the year ended December 31,</w:t>
            </w:r>
          </w:p>
        </w:tc>
        <w:tc>
          <w:tcPr>
            <w:tcW w:w="540" w:type="dxa"/>
            <w:vAlign w:val="bottom"/>
            <w:tcBorders>
              <w:bottom w:val="single" w:sz="8" w:color="auto"/>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16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2020</w:t>
            </w:r>
          </w:p>
        </w:tc>
        <w:tc>
          <w:tcPr>
            <w:tcW w:w="160" w:type="dxa"/>
            <w:vAlign w:val="bottom"/>
            <w:tcBorders>
              <w:bottom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4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6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rPr>
              <w:t>2019</w:t>
            </w:r>
          </w:p>
        </w:tc>
        <w:tc>
          <w:tcPr>
            <w:tcW w:w="140" w:type="dxa"/>
            <w:vAlign w:val="bottom"/>
          </w:tcPr>
          <w:p>
            <w:pPr>
              <w:spacing w:after="0"/>
              <w:rPr>
                <w:sz w:val="18"/>
                <w:szCs w:val="18"/>
                <w:color w:val="auto"/>
              </w:rPr>
            </w:pPr>
          </w:p>
        </w:tc>
        <w:tc>
          <w:tcPr>
            <w:tcW w:w="68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w:t>
            </w:r>
          </w:p>
        </w:tc>
        <w:tc>
          <w:tcPr>
            <w:tcW w:w="240" w:type="dxa"/>
            <w:vAlign w:val="bottom"/>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540" w:type="dxa"/>
            <w:vAlign w:val="bottom"/>
            <w:tcBorders>
              <w:bottom w:val="single" w:sz="8" w:color="auto"/>
            </w:tcBorders>
          </w:tcPr>
          <w:p>
            <w:pPr>
              <w:jc w:val="right"/>
              <w:ind w:right="99"/>
              <w:spacing w:after="0"/>
              <w:rPr>
                <w:sz w:val="20"/>
                <w:szCs w:val="20"/>
                <w:color w:val="auto"/>
              </w:rPr>
            </w:pPr>
            <w:r>
              <w:rPr>
                <w:rFonts w:ascii="Arial" w:cs="Arial" w:eastAsia="Arial" w:hAnsi="Arial"/>
                <w:sz w:val="16"/>
                <w:szCs w:val="16"/>
                <w:b w:val="1"/>
                <w:bCs w:val="1"/>
                <w:color w:val="auto"/>
                <w:w w:val="95"/>
              </w:rPr>
              <w:t>2018</w:t>
            </w:r>
          </w:p>
        </w:tc>
        <w:tc>
          <w:tcPr>
            <w:tcW w:w="140" w:type="dxa"/>
            <w:vAlign w:val="bottom"/>
          </w:tcPr>
          <w:p>
            <w:pPr>
              <w:spacing w:after="0"/>
              <w:rPr>
                <w:sz w:val="18"/>
                <w:szCs w:val="18"/>
                <w:color w:val="auto"/>
              </w:rPr>
            </w:pPr>
          </w:p>
        </w:tc>
        <w:tc>
          <w:tcPr>
            <w:tcW w:w="68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w:t>
            </w: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9"/>
        </w:trPr>
        <w:tc>
          <w:tcPr>
            <w:tcW w:w="16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400" w:type="dxa"/>
            <w:vAlign w:val="bottom"/>
            <w:gridSpan w:val="8"/>
          </w:tcPr>
          <w:p>
            <w:pPr>
              <w:jc w:val="right"/>
              <w:spacing w:after="0"/>
              <w:rPr>
                <w:sz w:val="20"/>
                <w:szCs w:val="20"/>
                <w:color w:val="auto"/>
              </w:rPr>
            </w:pPr>
            <w:r>
              <w:rPr>
                <w:rFonts w:ascii="Arial" w:cs="Arial" w:eastAsia="Arial" w:hAnsi="Arial"/>
                <w:sz w:val="16"/>
                <w:szCs w:val="16"/>
                <w:color w:val="auto"/>
                <w:w w:val="96"/>
              </w:rPr>
              <w:t>(in $ millions, except percentages)</w:t>
            </w:r>
          </w:p>
        </w:tc>
        <w:tc>
          <w:tcPr>
            <w:tcW w:w="5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05"/>
        </w:trPr>
        <w:tc>
          <w:tcPr>
            <w:tcW w:w="1660" w:type="dxa"/>
            <w:vAlign w:val="bottom"/>
            <w:shd w:val="clear" w:color="auto" w:fill="CCEEFF"/>
          </w:tcPr>
          <w:p>
            <w:pPr>
              <w:spacing w:after="0"/>
              <w:rPr>
                <w:sz w:val="20"/>
                <w:szCs w:val="20"/>
                <w:color w:val="auto"/>
              </w:rPr>
            </w:pPr>
            <w:r>
              <w:rPr>
                <w:rFonts w:ascii="Arial" w:cs="Arial" w:eastAsia="Arial" w:hAnsi="Arial"/>
                <w:sz w:val="16"/>
                <w:szCs w:val="16"/>
                <w:color w:val="auto"/>
              </w:rPr>
              <w:t>Brazil</w:t>
            </w:r>
          </w:p>
        </w:tc>
        <w:tc>
          <w:tcPr>
            <w:tcW w:w="1540" w:type="dxa"/>
            <w:vAlign w:val="bottom"/>
            <w:gridSpan w:val="2"/>
            <w:shd w:val="clear" w:color="auto" w:fill="CCEEFF"/>
          </w:tcPr>
          <w:p>
            <w:pPr>
              <w:jc w:val="right"/>
              <w:ind w:right="382"/>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78"/>
              </w:rPr>
              <w:t>52</w:t>
            </w:r>
          </w:p>
        </w:tc>
        <w:tc>
          <w:tcPr>
            <w:tcW w:w="140" w:type="dxa"/>
            <w:vAlign w:val="bottom"/>
            <w:shd w:val="clear" w:color="auto" w:fill="CCEEFF"/>
          </w:tcPr>
          <w:p>
            <w:pPr>
              <w:spacing w:after="0"/>
              <w:rPr>
                <w:sz w:val="17"/>
                <w:szCs w:val="17"/>
                <w:color w:val="auto"/>
              </w:rPr>
            </w:pPr>
          </w:p>
        </w:tc>
        <w:tc>
          <w:tcPr>
            <w:tcW w:w="440" w:type="dxa"/>
            <w:vAlign w:val="bottom"/>
            <w:shd w:val="clear" w:color="auto" w:fill="CCEEFF"/>
          </w:tcPr>
          <w:p>
            <w:pPr>
              <w:spacing w:after="0"/>
              <w:rPr>
                <w:sz w:val="17"/>
                <w:szCs w:val="17"/>
                <w:color w:val="auto"/>
              </w:rPr>
            </w:pPr>
          </w:p>
        </w:tc>
        <w:tc>
          <w:tcPr>
            <w:tcW w:w="62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93% $</w:t>
            </w: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140" w:type="dxa"/>
            <w:vAlign w:val="bottom"/>
            <w:shd w:val="clear" w:color="auto" w:fill="CCEEFF"/>
          </w:tcPr>
          <w:p>
            <w:pPr>
              <w:spacing w:after="0"/>
              <w:rPr>
                <w:sz w:val="17"/>
                <w:szCs w:val="17"/>
                <w:color w:val="auto"/>
              </w:rPr>
            </w:pPr>
          </w:p>
        </w:tc>
        <w:tc>
          <w:tcPr>
            <w:tcW w:w="1080" w:type="dxa"/>
            <w:vAlign w:val="bottom"/>
            <w:gridSpan w:val="3"/>
            <w:shd w:val="clear" w:color="auto" w:fill="CCEEFF"/>
          </w:tcPr>
          <w:p>
            <w:pPr>
              <w:jc w:val="right"/>
              <w:ind w:right="4"/>
              <w:spacing w:after="0"/>
              <w:rPr>
                <w:sz w:val="20"/>
                <w:szCs w:val="20"/>
                <w:color w:val="auto"/>
              </w:rPr>
            </w:pPr>
            <w:r>
              <w:rPr>
                <w:rFonts w:ascii="Arial" w:cs="Arial" w:eastAsia="Arial" w:hAnsi="Arial"/>
                <w:sz w:val="16"/>
                <w:szCs w:val="16"/>
                <w:color w:val="auto"/>
              </w:rPr>
              <w:t>100% $</w:t>
            </w:r>
          </w:p>
        </w:tc>
        <w:tc>
          <w:tcPr>
            <w:tcW w:w="5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37</w:t>
            </w:r>
          </w:p>
        </w:tc>
        <w:tc>
          <w:tcPr>
            <w:tcW w:w="140" w:type="dxa"/>
            <w:vAlign w:val="bottom"/>
            <w:shd w:val="clear" w:color="auto" w:fill="CCEEFF"/>
          </w:tcPr>
          <w:p>
            <w:pPr>
              <w:spacing w:after="0"/>
              <w:rPr>
                <w:sz w:val="17"/>
                <w:szCs w:val="17"/>
                <w:color w:val="auto"/>
              </w:rPr>
            </w:pPr>
          </w:p>
        </w:tc>
        <w:tc>
          <w:tcPr>
            <w:tcW w:w="840" w:type="dxa"/>
            <w:vAlign w:val="bottom"/>
            <w:gridSpan w:val="3"/>
            <w:shd w:val="clear" w:color="auto" w:fill="CCEEFF"/>
          </w:tcPr>
          <w:p>
            <w:pPr>
              <w:jc w:val="right"/>
              <w:ind w:right="20"/>
              <w:spacing w:after="0"/>
              <w:rPr>
                <w:sz w:val="20"/>
                <w:szCs w:val="20"/>
                <w:color w:val="auto"/>
              </w:rPr>
            </w:pPr>
            <w:r>
              <w:rPr>
                <w:rFonts w:ascii="Arial" w:cs="Arial" w:eastAsia="Arial" w:hAnsi="Arial"/>
                <w:sz w:val="16"/>
                <w:szCs w:val="16"/>
                <w:color w:val="auto"/>
              </w:rPr>
              <w:t>89%</w:t>
            </w:r>
          </w:p>
        </w:tc>
      </w:tr>
      <w:tr>
        <w:trPr>
          <w:trHeight w:val="203"/>
        </w:trPr>
        <w:tc>
          <w:tcPr>
            <w:tcW w:w="1660" w:type="dxa"/>
            <w:vAlign w:val="bottom"/>
          </w:tcPr>
          <w:p>
            <w:pPr>
              <w:spacing w:after="0"/>
              <w:rPr>
                <w:sz w:val="20"/>
                <w:szCs w:val="20"/>
                <w:color w:val="auto"/>
              </w:rPr>
            </w:pPr>
            <w:r>
              <w:rPr>
                <w:rFonts w:ascii="Arial" w:cs="Arial" w:eastAsia="Arial" w:hAnsi="Arial"/>
                <w:sz w:val="16"/>
                <w:szCs w:val="16"/>
                <w:color w:val="auto"/>
              </w:rPr>
              <w:t>Chile</w:t>
            </w:r>
          </w:p>
        </w:tc>
        <w:tc>
          <w:tcPr>
            <w:tcW w:w="100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4</w:t>
            </w:r>
          </w:p>
        </w:tc>
        <w:tc>
          <w:tcPr>
            <w:tcW w:w="1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480" w:type="dxa"/>
            <w:vAlign w:val="bottom"/>
            <w:gridSpan w:val="2"/>
          </w:tcPr>
          <w:p>
            <w:pPr>
              <w:jc w:val="right"/>
              <w:ind w:right="19"/>
              <w:spacing w:after="0"/>
              <w:rPr>
                <w:sz w:val="20"/>
                <w:szCs w:val="20"/>
                <w:color w:val="auto"/>
              </w:rPr>
            </w:pPr>
            <w:r>
              <w:rPr>
                <w:rFonts w:ascii="Arial" w:cs="Arial" w:eastAsia="Arial" w:hAnsi="Arial"/>
                <w:sz w:val="16"/>
                <w:szCs w:val="16"/>
                <w:color w:val="auto"/>
              </w:rPr>
              <w:t>7%</w:t>
            </w:r>
          </w:p>
        </w:tc>
        <w:tc>
          <w:tcPr>
            <w:tcW w:w="14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6"/>
                <w:szCs w:val="16"/>
                <w:color w:val="auto"/>
              </w:rPr>
              <w:t>0</w:t>
            </w:r>
          </w:p>
        </w:tc>
        <w:tc>
          <w:tcPr>
            <w:tcW w:w="140" w:type="dxa"/>
            <w:vAlign w:val="bottom"/>
          </w:tcPr>
          <w:p>
            <w:pPr>
              <w:spacing w:after="0"/>
              <w:rPr>
                <w:sz w:val="17"/>
                <w:szCs w:val="17"/>
                <w:color w:val="auto"/>
              </w:rPr>
            </w:pPr>
          </w:p>
        </w:tc>
        <w:tc>
          <w:tcPr>
            <w:tcW w:w="920" w:type="dxa"/>
            <w:vAlign w:val="bottom"/>
            <w:gridSpan w:val="2"/>
          </w:tcPr>
          <w:p>
            <w:pPr>
              <w:jc w:val="right"/>
              <w:ind w:right="19"/>
              <w:spacing w:after="0"/>
              <w:rPr>
                <w:sz w:val="20"/>
                <w:szCs w:val="20"/>
                <w:color w:val="auto"/>
              </w:rPr>
            </w:pPr>
            <w:r>
              <w:rPr>
                <w:rFonts w:ascii="Arial" w:cs="Arial" w:eastAsia="Arial" w:hAnsi="Arial"/>
                <w:sz w:val="16"/>
                <w:szCs w:val="16"/>
                <w:color w:val="auto"/>
              </w:rPr>
              <w:t>0%</w:t>
            </w:r>
          </w:p>
        </w:tc>
        <w:tc>
          <w:tcPr>
            <w:tcW w:w="160" w:type="dxa"/>
            <w:vAlign w:val="bottom"/>
          </w:tcPr>
          <w:p>
            <w:pPr>
              <w:spacing w:after="0"/>
              <w:rPr>
                <w:sz w:val="17"/>
                <w:szCs w:val="17"/>
                <w:color w:val="auto"/>
              </w:rPr>
            </w:pPr>
          </w:p>
        </w:tc>
        <w:tc>
          <w:tcPr>
            <w:tcW w:w="540" w:type="dxa"/>
            <w:vAlign w:val="bottom"/>
          </w:tcPr>
          <w:p>
            <w:pPr>
              <w:jc w:val="right"/>
              <w:spacing w:after="0"/>
              <w:rPr>
                <w:sz w:val="20"/>
                <w:szCs w:val="20"/>
                <w:color w:val="auto"/>
              </w:rPr>
            </w:pPr>
            <w:r>
              <w:rPr>
                <w:rFonts w:ascii="Arial" w:cs="Arial" w:eastAsia="Arial" w:hAnsi="Arial"/>
                <w:sz w:val="16"/>
                <w:szCs w:val="16"/>
                <w:color w:val="auto"/>
              </w:rPr>
              <w:t>0</w:t>
            </w:r>
          </w:p>
        </w:tc>
        <w:tc>
          <w:tcPr>
            <w:tcW w:w="140" w:type="dxa"/>
            <w:vAlign w:val="bottom"/>
          </w:tcPr>
          <w:p>
            <w:pPr>
              <w:spacing w:after="0"/>
              <w:rPr>
                <w:sz w:val="17"/>
                <w:szCs w:val="17"/>
                <w:color w:val="auto"/>
              </w:rPr>
            </w:pPr>
          </w:p>
        </w:tc>
        <w:tc>
          <w:tcPr>
            <w:tcW w:w="840" w:type="dxa"/>
            <w:vAlign w:val="bottom"/>
            <w:gridSpan w:val="3"/>
          </w:tcPr>
          <w:p>
            <w:pPr>
              <w:jc w:val="right"/>
              <w:ind w:right="20"/>
              <w:spacing w:after="0"/>
              <w:rPr>
                <w:sz w:val="20"/>
                <w:szCs w:val="20"/>
                <w:color w:val="auto"/>
              </w:rPr>
            </w:pPr>
            <w:r>
              <w:rPr>
                <w:rFonts w:ascii="Arial" w:cs="Arial" w:eastAsia="Arial" w:hAnsi="Arial"/>
                <w:sz w:val="16"/>
                <w:szCs w:val="16"/>
                <w:color w:val="auto"/>
              </w:rPr>
              <w:t>0%</w:t>
            </w:r>
          </w:p>
        </w:tc>
      </w:tr>
      <w:tr>
        <w:trPr>
          <w:trHeight w:val="216"/>
        </w:trPr>
        <w:tc>
          <w:tcPr>
            <w:tcW w:w="1660" w:type="dxa"/>
            <w:vAlign w:val="bottom"/>
            <w:shd w:val="clear" w:color="auto" w:fill="CCEEFF"/>
          </w:tcPr>
          <w:p>
            <w:pPr>
              <w:spacing w:after="0"/>
              <w:rPr>
                <w:sz w:val="20"/>
                <w:szCs w:val="20"/>
                <w:color w:val="auto"/>
              </w:rPr>
            </w:pPr>
            <w:r>
              <w:rPr>
                <w:rFonts w:ascii="Arial" w:cs="Arial" w:eastAsia="Arial" w:hAnsi="Arial"/>
                <w:sz w:val="16"/>
                <w:szCs w:val="16"/>
                <w:color w:val="auto"/>
              </w:rPr>
              <w:t>Paraguay</w:t>
            </w:r>
          </w:p>
        </w:tc>
        <w:tc>
          <w:tcPr>
            <w:tcW w:w="100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19"/>
              <w:spacing w:after="0"/>
              <w:rPr>
                <w:sz w:val="20"/>
                <w:szCs w:val="20"/>
                <w:color w:val="auto"/>
              </w:rPr>
            </w:pPr>
            <w:r>
              <w:rPr>
                <w:rFonts w:ascii="Arial" w:cs="Arial" w:eastAsia="Arial" w:hAnsi="Arial"/>
                <w:sz w:val="16"/>
                <w:szCs w:val="16"/>
                <w:color w:val="auto"/>
              </w:rPr>
              <w:t>0%</w:t>
            </w:r>
          </w:p>
        </w:tc>
        <w:tc>
          <w:tcPr>
            <w:tcW w:w="140" w:type="dxa"/>
            <w:vAlign w:val="bottom"/>
            <w:shd w:val="clear" w:color="auto" w:fill="CCEEFF"/>
          </w:tcPr>
          <w:p>
            <w:pPr>
              <w:spacing w:after="0"/>
              <w:rPr>
                <w:sz w:val="18"/>
                <w:szCs w:val="18"/>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9"/>
              <w:spacing w:after="0"/>
              <w:rPr>
                <w:sz w:val="20"/>
                <w:szCs w:val="20"/>
                <w:color w:val="auto"/>
              </w:rPr>
            </w:pPr>
            <w:r>
              <w:rPr>
                <w:rFonts w:ascii="Arial" w:cs="Arial" w:eastAsia="Arial" w:hAnsi="Arial"/>
                <w:sz w:val="16"/>
                <w:szCs w:val="16"/>
                <w:color w:val="auto"/>
              </w:rPr>
              <w:t>0%</w:t>
            </w:r>
          </w:p>
        </w:tc>
        <w:tc>
          <w:tcPr>
            <w:tcW w:w="160" w:type="dxa"/>
            <w:vAlign w:val="bottom"/>
            <w:shd w:val="clear" w:color="auto" w:fill="CCEEFF"/>
          </w:tcPr>
          <w:p>
            <w:pPr>
              <w:spacing w:after="0"/>
              <w:rPr>
                <w:sz w:val="18"/>
                <w:szCs w:val="18"/>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w:t>
            </w:r>
          </w:p>
        </w:tc>
        <w:tc>
          <w:tcPr>
            <w:tcW w:w="140" w:type="dxa"/>
            <w:vAlign w:val="bottom"/>
            <w:shd w:val="clear" w:color="auto" w:fill="CCEEFF"/>
          </w:tcPr>
          <w:p>
            <w:pPr>
              <w:spacing w:after="0"/>
              <w:rPr>
                <w:sz w:val="18"/>
                <w:szCs w:val="18"/>
                <w:color w:val="auto"/>
              </w:rPr>
            </w:pPr>
          </w:p>
        </w:tc>
        <w:tc>
          <w:tcPr>
            <w:tcW w:w="840" w:type="dxa"/>
            <w:vAlign w:val="bottom"/>
            <w:gridSpan w:val="3"/>
            <w:shd w:val="clear" w:color="auto" w:fill="CCEEFF"/>
          </w:tcPr>
          <w:p>
            <w:pPr>
              <w:jc w:val="right"/>
              <w:ind w:right="20"/>
              <w:spacing w:after="0"/>
              <w:rPr>
                <w:sz w:val="20"/>
                <w:szCs w:val="20"/>
                <w:color w:val="auto"/>
              </w:rPr>
            </w:pPr>
            <w:r>
              <w:rPr>
                <w:rFonts w:ascii="Arial" w:cs="Arial" w:eastAsia="Arial" w:hAnsi="Arial"/>
                <w:sz w:val="16"/>
                <w:szCs w:val="16"/>
                <w:color w:val="auto"/>
              </w:rPr>
              <w:t>11%</w:t>
            </w:r>
          </w:p>
        </w:tc>
      </w:tr>
      <w:tr>
        <w:trPr>
          <w:trHeight w:val="210"/>
        </w:trPr>
        <w:tc>
          <w:tcPr>
            <w:tcW w:w="1660" w:type="dxa"/>
            <w:vAlign w:val="bottom"/>
          </w:tcPr>
          <w:p>
            <w:pPr>
              <w:ind w:left="340"/>
              <w:spacing w:after="0"/>
              <w:rPr>
                <w:sz w:val="20"/>
                <w:szCs w:val="20"/>
                <w:color w:val="auto"/>
              </w:rPr>
            </w:pPr>
            <w:r>
              <w:rPr>
                <w:rFonts w:ascii="Arial" w:cs="Arial" w:eastAsia="Arial" w:hAnsi="Arial"/>
                <w:sz w:val="16"/>
                <w:szCs w:val="16"/>
                <w:color w:val="auto"/>
              </w:rPr>
              <w:t>Total</w:t>
            </w:r>
          </w:p>
        </w:tc>
        <w:tc>
          <w:tcPr>
            <w:tcW w:w="1000" w:type="dxa"/>
            <w:vAlign w:val="bottom"/>
          </w:tcPr>
          <w:p>
            <w:pPr>
              <w:spacing w:after="0"/>
              <w:rPr>
                <w:sz w:val="18"/>
                <w:szCs w:val="18"/>
                <w:color w:val="auto"/>
              </w:rPr>
            </w:pPr>
          </w:p>
        </w:tc>
        <w:tc>
          <w:tcPr>
            <w:tcW w:w="540" w:type="dxa"/>
            <w:vAlign w:val="bottom"/>
            <w:tcBorders>
              <w:top w:val="single" w:sz="8" w:color="auto"/>
            </w:tcBorders>
          </w:tcPr>
          <w:p>
            <w:pPr>
              <w:jc w:val="right"/>
              <w:ind w:right="382"/>
              <w:spacing w:after="0"/>
              <w:rPr>
                <w:sz w:val="20"/>
                <w:szCs w:val="20"/>
                <w:color w:val="auto"/>
              </w:rPr>
            </w:pPr>
            <w:r>
              <w:rPr>
                <w:rFonts w:ascii="Arial" w:cs="Arial" w:eastAsia="Arial" w:hAnsi="Arial"/>
                <w:sz w:val="15"/>
                <w:szCs w:val="15"/>
                <w:b w:val="1"/>
                <w:bCs w:val="1"/>
                <w:color w:val="auto"/>
                <w:w w:val="71"/>
              </w:rPr>
              <w:t>$</w:t>
            </w:r>
          </w:p>
        </w:tc>
        <w:tc>
          <w:tcPr>
            <w:tcW w:w="1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w w:val="78"/>
              </w:rPr>
              <w:t>56</w:t>
            </w:r>
          </w:p>
        </w:tc>
        <w:tc>
          <w:tcPr>
            <w:tcW w:w="140" w:type="dxa"/>
            <w:vAlign w:val="bottom"/>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w w:val="89"/>
              </w:rPr>
              <w:t>100</w:t>
            </w:r>
          </w:p>
        </w:tc>
        <w:tc>
          <w:tcPr>
            <w:tcW w:w="220" w:type="dxa"/>
            <w:vAlign w:val="bottom"/>
          </w:tcPr>
          <w:p>
            <w:pPr>
              <w:jc w:val="right"/>
              <w:spacing w:after="0"/>
              <w:rPr>
                <w:sz w:val="20"/>
                <w:szCs w:val="20"/>
                <w:color w:val="auto"/>
              </w:rPr>
            </w:pPr>
            <w:r>
              <w:rPr>
                <w:rFonts w:ascii="Arial" w:cs="Arial" w:eastAsia="Arial" w:hAnsi="Arial"/>
                <w:sz w:val="16"/>
                <w:szCs w:val="16"/>
                <w:b w:val="1"/>
                <w:bCs w:val="1"/>
                <w:color w:val="auto"/>
                <w:w w:val="98"/>
              </w:rPr>
              <w:t>%</w:t>
            </w: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w:t>
            </w:r>
          </w:p>
        </w:tc>
        <w:tc>
          <w:tcPr>
            <w:tcW w:w="140" w:type="dxa"/>
            <w:vAlign w:val="bottom"/>
          </w:tcPr>
          <w:p>
            <w:pPr>
              <w:spacing w:after="0"/>
              <w:rPr>
                <w:sz w:val="18"/>
                <w:szCs w:val="18"/>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100</w:t>
            </w:r>
          </w:p>
        </w:tc>
        <w:tc>
          <w:tcPr>
            <w:tcW w:w="240" w:type="dxa"/>
            <w:vAlign w:val="bottom"/>
          </w:tcPr>
          <w:p>
            <w:pPr>
              <w:jc w:val="right"/>
              <w:spacing w:after="0"/>
              <w:rPr>
                <w:sz w:val="20"/>
                <w:szCs w:val="20"/>
                <w:color w:val="auto"/>
              </w:rPr>
            </w:pPr>
            <w:r>
              <w:rPr>
                <w:rFonts w:ascii="Arial" w:cs="Arial" w:eastAsia="Arial" w:hAnsi="Arial"/>
                <w:sz w:val="16"/>
                <w:szCs w:val="16"/>
                <w:b w:val="1"/>
                <w:bCs w:val="1"/>
                <w:color w:val="auto"/>
              </w:rPr>
              <w:t>%</w:t>
            </w:r>
          </w:p>
        </w:tc>
        <w:tc>
          <w:tcPr>
            <w:tcW w:w="160" w:type="dxa"/>
            <w:vAlign w:val="bottom"/>
            <w:tcBorders>
              <w:top w:val="single" w:sz="8" w:color="auto"/>
            </w:tcBorders>
          </w:tcPr>
          <w:p>
            <w:pPr>
              <w:jc w:val="right"/>
              <w:ind w:right="4"/>
              <w:spacing w:after="0"/>
              <w:rPr>
                <w:sz w:val="20"/>
                <w:szCs w:val="20"/>
                <w:color w:val="auto"/>
              </w:rPr>
            </w:pPr>
            <w:r>
              <w:rPr>
                <w:rFonts w:ascii="Arial" w:cs="Arial" w:eastAsia="Arial" w:hAnsi="Arial"/>
                <w:sz w:val="15"/>
                <w:szCs w:val="15"/>
                <w:b w:val="1"/>
                <w:bCs w:val="1"/>
                <w:color w:val="auto"/>
                <w:w w:val="71"/>
              </w:rPr>
              <w:t>$</w:t>
            </w:r>
          </w:p>
        </w:tc>
        <w:tc>
          <w:tcPr>
            <w:tcW w:w="54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42</w:t>
            </w:r>
          </w:p>
        </w:tc>
        <w:tc>
          <w:tcPr>
            <w:tcW w:w="140" w:type="dxa"/>
            <w:vAlign w:val="bottom"/>
          </w:tcPr>
          <w:p>
            <w:pPr>
              <w:spacing w:after="0"/>
              <w:rPr>
                <w:sz w:val="18"/>
                <w:szCs w:val="18"/>
                <w:color w:val="auto"/>
              </w:rPr>
            </w:pP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100</w:t>
            </w:r>
          </w:p>
        </w:tc>
        <w:tc>
          <w:tcPr>
            <w:tcW w:w="160" w:type="dxa"/>
            <w:vAlign w:val="bottom"/>
            <w:gridSpan w:val="2"/>
          </w:tcPr>
          <w:p>
            <w:pPr>
              <w:jc w:val="right"/>
              <w:spacing w:after="0"/>
              <w:rPr>
                <w:sz w:val="20"/>
                <w:szCs w:val="20"/>
                <w:color w:val="auto"/>
              </w:rPr>
            </w:pPr>
            <w:r>
              <w:rPr>
                <w:rFonts w:ascii="Arial" w:cs="Arial" w:eastAsia="Arial" w:hAnsi="Arial"/>
                <w:sz w:val="16"/>
                <w:szCs w:val="16"/>
                <w:b w:val="1"/>
                <w:bCs w:val="1"/>
                <w:color w:val="auto"/>
                <w:w w:val="98"/>
              </w:rPr>
              <w:t>%</w:t>
            </w:r>
          </w:p>
        </w:tc>
      </w:tr>
      <w:tr>
        <w:trPr>
          <w:trHeight w:val="20"/>
        </w:trPr>
        <w:tc>
          <w:tcPr>
            <w:tcW w:w="16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During the year ended December 31, 2020, the Bank had write-offs against the allowance for loan losses totaling $56 million, representing 1.16% of the average Loan Portfolio in 2020, compared to $2 million, representing 0.04% of the average Loan Portfolio in 2019, and compared to $42 million, representing 0.75% of the average Loan Portfolio in 2018. The year-over-year write-off increase in 2020 was associated with (i) the sale of $11.6 million of an outstanding credit-impaired loan classified as Stage 3, which resulted in a $52.1 million write-off against its individually assigned allowance for credit losses, and (ii) the sale of a $17.5 million watchlist loan classified as Stage 2, which resulted in a $4.4 million write-off against its individually assigned allowance for credit losses.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three-year period ended December 31, 2020, the Bank disbursed $40,080 million in credits and had write-off loans for $101 million, representing 0.25% of credits disbursed.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221E1F"/>
        </w:rPr>
        <w:t>The following table summarizes information regarding outstanding credit-impaired balances as of the dates indicated:</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740" w:type="dxa"/>
            <w:vAlign w:val="bottom"/>
          </w:tcPr>
          <w:p>
            <w:pPr>
              <w:spacing w:after="0"/>
              <w:rPr>
                <w:sz w:val="20"/>
                <w:szCs w:val="20"/>
                <w:color w:val="auto"/>
              </w:rPr>
            </w:pPr>
          </w:p>
        </w:tc>
        <w:tc>
          <w:tcPr>
            <w:tcW w:w="32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74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74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20" w:type="dxa"/>
            <w:vAlign w:val="bottom"/>
            <w:gridSpan w:val="2"/>
          </w:tcPr>
          <w:p>
            <w:pPr>
              <w:spacing w:after="0"/>
              <w:rPr>
                <w:sz w:val="20"/>
                <w:szCs w:val="20"/>
                <w:color w:val="auto"/>
              </w:rPr>
            </w:pPr>
            <w:r>
              <w:rPr>
                <w:rFonts w:ascii="Arial" w:cs="Arial" w:eastAsia="Arial" w:hAnsi="Arial"/>
                <w:sz w:val="18"/>
                <w:szCs w:val="18"/>
                <w:b w:val="1"/>
                <w:bCs w:val="1"/>
                <w:color w:val="auto"/>
                <w:w w:val="86"/>
              </w:rPr>
              <w:t>(in $ thousands)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Brazil:</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5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4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61,845</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61,844</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Argentina:</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2,857</w:t>
            </w: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color w:val="auto"/>
              </w:rPr>
              <w:t>Panama:</w:t>
            </w:r>
          </w:p>
        </w:tc>
        <w:tc>
          <w:tcPr>
            <w:tcW w:w="32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740" w:type="dxa"/>
            <w:vAlign w:val="bottom"/>
            <w:shd w:val="clear" w:color="auto" w:fill="CCEEFF"/>
          </w:tcPr>
          <w:p>
            <w:pPr>
              <w:ind w:left="340"/>
              <w:spacing w:after="0"/>
              <w:rPr>
                <w:sz w:val="20"/>
                <w:szCs w:val="20"/>
                <w:color w:val="auto"/>
              </w:rPr>
            </w:pPr>
            <w:r>
              <w:rPr>
                <w:rFonts w:ascii="Arial" w:cs="Arial" w:eastAsia="Arial" w:hAnsi="Arial"/>
                <w:sz w:val="18"/>
                <w:szCs w:val="18"/>
                <w:color w:val="auto"/>
              </w:rPr>
              <w:t>Private corporations</w:t>
            </w:r>
          </w:p>
        </w:tc>
        <w:tc>
          <w:tcPr>
            <w:tcW w:w="32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10,593</w:t>
            </w:r>
          </w:p>
        </w:tc>
        <w:tc>
          <w:tcPr>
            <w:tcW w:w="1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3740" w:type="dxa"/>
            <w:vAlign w:val="bottom"/>
          </w:tcPr>
          <w:p>
            <w:pPr>
              <w:spacing w:after="0"/>
              <w:rPr>
                <w:sz w:val="20"/>
                <w:szCs w:val="20"/>
                <w:color w:val="auto"/>
              </w:rPr>
            </w:pPr>
            <w:r>
              <w:rPr>
                <w:rFonts w:ascii="Arial" w:cs="Arial" w:eastAsia="Arial" w:hAnsi="Arial"/>
                <w:sz w:val="18"/>
                <w:szCs w:val="18"/>
                <w:color w:val="auto"/>
              </w:rPr>
              <w:t>Total credit-impaired loans</w:t>
            </w:r>
          </w:p>
        </w:tc>
        <w:tc>
          <w:tcPr>
            <w:tcW w:w="3240" w:type="dxa"/>
            <w:vAlign w:val="bottom"/>
          </w:tcPr>
          <w:p>
            <w:pPr>
              <w:spacing w:after="0"/>
              <w:rPr>
                <w:sz w:val="19"/>
                <w:szCs w:val="19"/>
                <w:color w:val="auto"/>
              </w:rPr>
            </w:pPr>
          </w:p>
        </w:tc>
        <w:tc>
          <w:tcPr>
            <w:tcW w:w="280" w:type="dxa"/>
            <w:vAlign w:val="bottom"/>
            <w:tcBorders>
              <w:top w:val="single" w:sz="8" w:color="auto"/>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60" w:type="dxa"/>
            <w:vAlign w:val="bottom"/>
            <w:tcBorders>
              <w:top w:val="single" w:sz="8" w:color="auto"/>
              <w:bottom w:val="single" w:sz="8" w:color="auto"/>
            </w:tcBorders>
          </w:tcPr>
          <w:p>
            <w:pPr>
              <w:spacing w:after="0"/>
              <w:rPr>
                <w:sz w:val="20"/>
                <w:szCs w:val="20"/>
                <w:color w:val="auto"/>
              </w:rPr>
            </w:pPr>
            <w:r>
              <w:rPr>
                <w:rFonts w:ascii="Arial" w:cs="Arial" w:eastAsia="Arial" w:hAnsi="Arial"/>
                <w:sz w:val="18"/>
                <w:szCs w:val="18"/>
                <w:b w:val="1"/>
                <w:bCs w:val="1"/>
                <w:color w:val="auto"/>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64,701</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740" w:type="dxa"/>
            <w:vAlign w:val="bottom"/>
          </w:tcPr>
          <w:p>
            <w:pPr>
              <w:spacing w:after="0" w:line="20" w:lineRule="exact"/>
              <w:rPr>
                <w:sz w:val="1"/>
                <w:szCs w:val="1"/>
                <w:color w:val="auto"/>
              </w:rPr>
            </w:pPr>
          </w:p>
        </w:tc>
        <w:tc>
          <w:tcPr>
            <w:tcW w:w="3240" w:type="dxa"/>
            <w:vAlign w:val="bottom"/>
            <w:vMerge w:val="restart"/>
          </w:tcPr>
          <w:p>
            <w:pPr>
              <w:jc w:val="right"/>
              <w:ind w:right="1170"/>
              <w:spacing w:after="0"/>
              <w:rPr>
                <w:sz w:val="20"/>
                <w:szCs w:val="20"/>
                <w:color w:val="auto"/>
              </w:rPr>
            </w:pPr>
            <w:r>
              <w:rPr>
                <w:rFonts w:ascii="Arial" w:cs="Arial" w:eastAsia="Arial" w:hAnsi="Arial"/>
                <w:sz w:val="18"/>
                <w:szCs w:val="18"/>
                <w:color w:val="auto"/>
              </w:rPr>
              <w:t>64</w:t>
            </w: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74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vMerge w:val="continue"/>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67" w:name="page68"/>
    <w:bookmarkEnd w:id="67"/>
    <w:p>
      <w:pPr>
        <w:jc w:val="both"/>
        <w:spacing w:after="0" w:line="273" w:lineRule="auto"/>
        <w:rPr>
          <w:sz w:val="20"/>
          <w:szCs w:val="20"/>
          <w:color w:val="auto"/>
        </w:rPr>
      </w:pPr>
      <w:r>
        <w:rPr>
          <w:rFonts w:ascii="Arial" w:cs="Arial" w:eastAsia="Arial" w:hAnsi="Arial"/>
          <w:sz w:val="17"/>
          <w:szCs w:val="17"/>
          <w:color w:val="221E1F"/>
        </w:rPr>
        <w:t xml:space="preserve">As of December 31, 2020, the Bank had credit-impaired loans of $11 million (or 0.22% of the Loan Portfolio), compared to $62 million (or 1.05% of the Loan Portfolio) as of December 31, 2019 and $65 million (or 1.12% of the Loan Portfolio) as of December 31, 2018. </w:t>
      </w:r>
      <w:r>
        <w:rPr>
          <w:rFonts w:ascii="Arial" w:cs="Arial" w:eastAsia="Arial" w:hAnsi="Arial"/>
          <w:sz w:val="17"/>
          <w:szCs w:val="17"/>
          <w:color w:val="000000"/>
        </w:rPr>
        <w:t>Credit-impaired loans decreased in</w:t>
      </w:r>
      <w:r>
        <w:rPr>
          <w:rFonts w:ascii="Arial" w:cs="Arial" w:eastAsia="Arial" w:hAnsi="Arial"/>
          <w:sz w:val="17"/>
          <w:szCs w:val="17"/>
          <w:color w:val="221E1F"/>
        </w:rPr>
        <w:t xml:space="preserve"> </w:t>
      </w:r>
      <w:r>
        <w:rPr>
          <w:rFonts w:ascii="Arial" w:cs="Arial" w:eastAsia="Arial" w:hAnsi="Arial"/>
          <w:sz w:val="17"/>
          <w:szCs w:val="17"/>
          <w:color w:val="000000"/>
        </w:rPr>
        <w:t>2020 mainly due to the sale of $11.6 million of an outstanding credit-impaired loan classified as Stage 3 (under accounting standard IFRS 9), which resulted in a $52.1 million write-off against its individually assigned allowance for credit losses. As of December 31, 2020, $11 million in credit-impaired loans were to a single borrower in the retail trade sector, accounting for 100% of the Bank’s total impaired loans classified as Stage 3 (under accounting standard IFRS 9), with individually assigned allowance for credit losses of $4.6 million, representing a coverage of 43%.</w:t>
      </w:r>
    </w:p>
    <w:p>
      <w:pPr>
        <w:spacing w:after="0" w:line="17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221E1F"/>
        </w:rPr>
        <w:t>As of the end of each reported period, the Bank did not have, other than those specified above, loans with principal or interest payments contractually past due by 90 days or more.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Potential problem loans</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In order to carefully monitor the credit risk associated with clients, the Bank has established quarterly reports to identify potential problem loans, which are then included on a watch list. In general, these are loans due by clients that could face difficulties meeting their repayment obligations, but who otherwise have had a good payment history. These potential difficulties could be related to factors such as a decline in economic activity, financial weakness or any other event that could affect the client’s business. Potential problem loans are primarily those rated as “6 or 7” pursuant to our risk rating. As of December 31, 2020, the exposure of two clients for a total of $9.3 million, or 0.19% of the Loan Portfolio, were classified as potential problem loans under these guidelines, compared to six clients for a total of $91.3 million, or 1.6% of total loans as of December 31, 2019.</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Allowance for losses on financial instruments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following table sets forth information regarding the Bank’s allowance for losses with respect to the total Credit Portfolio outstanding as of December 31 of each year:</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0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Borders>
              <w:bottom w:val="single" w:sz="8" w:color="auto"/>
            </w:tcBorders>
          </w:tcPr>
          <w:p>
            <w:pPr>
              <w:spacing w:after="0"/>
              <w:rPr>
                <w:sz w:val="18"/>
                <w:szCs w:val="18"/>
                <w:color w:val="auto"/>
              </w:rPr>
            </w:pPr>
          </w:p>
        </w:tc>
        <w:tc>
          <w:tcPr>
            <w:tcW w:w="34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460" w:type="dxa"/>
            <w:vAlign w:val="bottom"/>
            <w:tcBorders>
              <w:bottom w:val="single" w:sz="8" w:color="auto"/>
            </w:tcBorders>
            <w:gridSpan w:val="5"/>
          </w:tcPr>
          <w:p>
            <w:pPr>
              <w:jc w:val="center"/>
              <w:spacing w:after="0"/>
              <w:rPr>
                <w:sz w:val="20"/>
                <w:szCs w:val="20"/>
                <w:color w:val="auto"/>
              </w:rPr>
            </w:pPr>
            <w:r>
              <w:rPr>
                <w:rFonts w:ascii="Arial" w:cs="Arial" w:eastAsia="Arial" w:hAnsi="Arial"/>
                <w:sz w:val="16"/>
                <w:szCs w:val="16"/>
                <w:b w:val="1"/>
                <w:bCs w:val="1"/>
                <w:color w:val="auto"/>
                <w:w w:val="90"/>
              </w:rPr>
              <w:t>As of December 31,</w:t>
            </w:r>
          </w:p>
        </w:tc>
        <w:tc>
          <w:tcPr>
            <w:tcW w:w="4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6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2020</w:t>
            </w:r>
          </w:p>
        </w:tc>
        <w:tc>
          <w:tcPr>
            <w:tcW w:w="340" w:type="dxa"/>
            <w:vAlign w:val="bottom"/>
            <w:tcBorders>
              <w:bottom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2019</w:t>
            </w: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center"/>
              <w:ind w:right="119"/>
              <w:spacing w:after="0"/>
              <w:rPr>
                <w:sz w:val="20"/>
                <w:szCs w:val="20"/>
                <w:color w:val="auto"/>
              </w:rPr>
            </w:pPr>
            <w:r>
              <w:rPr>
                <w:rFonts w:ascii="Arial" w:cs="Arial" w:eastAsia="Arial" w:hAnsi="Arial"/>
                <w:sz w:val="16"/>
                <w:szCs w:val="16"/>
                <w:b w:val="1"/>
                <w:bCs w:val="1"/>
                <w:color w:val="auto"/>
                <w:w w:val="95"/>
              </w:rPr>
              <w:t>2018</w:t>
            </w: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2017</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2016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0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60" w:type="dxa"/>
            <w:vAlign w:val="bottom"/>
            <w:gridSpan w:val="10"/>
          </w:tcPr>
          <w:p>
            <w:pPr>
              <w:jc w:val="center"/>
              <w:ind w:right="380"/>
              <w:spacing w:after="0"/>
              <w:rPr>
                <w:sz w:val="20"/>
                <w:szCs w:val="20"/>
                <w:color w:val="auto"/>
              </w:rPr>
            </w:pPr>
            <w:r>
              <w:rPr>
                <w:rFonts w:ascii="Arial" w:cs="Arial" w:eastAsia="Arial" w:hAnsi="Arial"/>
                <w:sz w:val="16"/>
                <w:szCs w:val="16"/>
                <w:color w:val="auto"/>
                <w:w w:val="92"/>
              </w:rPr>
              <w:t>(in $ millions, except percentages)</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5080" w:type="dxa"/>
            <w:vAlign w:val="bottom"/>
            <w:shd w:val="clear" w:color="auto" w:fill="CCEEFF"/>
          </w:tcPr>
          <w:p>
            <w:pPr>
              <w:spacing w:after="0"/>
              <w:rPr>
                <w:sz w:val="20"/>
                <w:szCs w:val="20"/>
                <w:color w:val="auto"/>
              </w:rPr>
            </w:pPr>
            <w:r>
              <w:rPr>
                <w:rFonts w:ascii="Arial" w:cs="Arial" w:eastAsia="Arial" w:hAnsi="Arial"/>
                <w:sz w:val="16"/>
                <w:szCs w:val="16"/>
                <w:b w:val="1"/>
                <w:bCs w:val="1"/>
                <w:i w:val="1"/>
                <w:iCs w:val="1"/>
                <w:color w:val="auto"/>
              </w:rPr>
              <w:t>Components of the allowance for losses</w:t>
            </w:r>
          </w:p>
        </w:tc>
        <w:tc>
          <w:tcPr>
            <w:tcW w:w="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5080" w:type="dxa"/>
            <w:vAlign w:val="bottom"/>
          </w:tcPr>
          <w:p>
            <w:pPr>
              <w:spacing w:after="0"/>
              <w:rPr>
                <w:sz w:val="20"/>
                <w:szCs w:val="20"/>
                <w:color w:val="auto"/>
              </w:rPr>
            </w:pPr>
            <w:r>
              <w:rPr>
                <w:rFonts w:ascii="Arial" w:cs="Arial" w:eastAsia="Arial" w:hAnsi="Arial"/>
                <w:sz w:val="16"/>
                <w:szCs w:val="16"/>
                <w:b w:val="1"/>
                <w:bCs w:val="1"/>
                <w:color w:val="auto"/>
              </w:rPr>
              <w:t>Allowance for loan losses:</w:t>
            </w:r>
          </w:p>
        </w:tc>
        <w:tc>
          <w:tcPr>
            <w:tcW w:w="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year</w:t>
            </w:r>
          </w:p>
        </w:tc>
        <w:tc>
          <w:tcPr>
            <w:tcW w:w="700" w:type="dxa"/>
            <w:vAlign w:val="bottom"/>
            <w:gridSpan w:val="2"/>
            <w:shd w:val="clear" w:color="auto" w:fill="CCEEFF"/>
          </w:tcPr>
          <w:p>
            <w:pPr>
              <w:jc w:val="right"/>
              <w:ind w:right="503"/>
              <w:spacing w:after="0"/>
              <w:rPr>
                <w:sz w:val="20"/>
                <w:szCs w:val="20"/>
                <w:color w:val="auto"/>
              </w:rPr>
            </w:pPr>
            <w:r>
              <w:rPr>
                <w:rFonts w:ascii="Arial" w:cs="Arial" w:eastAsia="Arial" w:hAnsi="Arial"/>
                <w:sz w:val="16"/>
                <w:szCs w:val="16"/>
                <w:color w:val="auto"/>
              </w:rPr>
              <w:t>$</w:t>
            </w:r>
          </w:p>
        </w:tc>
        <w:tc>
          <w:tcPr>
            <w:tcW w:w="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99.3</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100.8</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81.3</w:t>
            </w:r>
          </w:p>
        </w:tc>
        <w:tc>
          <w:tcPr>
            <w:tcW w:w="220" w:type="dxa"/>
            <w:vAlign w:val="bottom"/>
            <w:shd w:val="clear" w:color="auto" w:fill="CCEEFF"/>
          </w:tcPr>
          <w:p>
            <w:pPr>
              <w:spacing w:after="0"/>
              <w:rPr>
                <w:sz w:val="17"/>
                <w:szCs w:val="17"/>
                <w:color w:val="auto"/>
              </w:rPr>
            </w:pPr>
          </w:p>
        </w:tc>
        <w:tc>
          <w:tcPr>
            <w:tcW w:w="240" w:type="dxa"/>
            <w:vAlign w:val="bottom"/>
            <w:gridSpan w:val="2"/>
            <w:shd w:val="clear" w:color="auto" w:fill="CCEEFF"/>
          </w:tcPr>
          <w:p>
            <w:pPr>
              <w:jc w:val="right"/>
              <w:ind w:right="4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106.0</w:t>
            </w:r>
          </w:p>
        </w:tc>
        <w:tc>
          <w:tcPr>
            <w:tcW w:w="200" w:type="dxa"/>
            <w:vAlign w:val="bottom"/>
            <w:shd w:val="clear" w:color="auto" w:fill="CCEEFF"/>
          </w:tcPr>
          <w:p>
            <w:pPr>
              <w:spacing w:after="0"/>
              <w:rPr>
                <w:sz w:val="17"/>
                <w:szCs w:val="17"/>
                <w:color w:val="auto"/>
              </w:rPr>
            </w:pPr>
          </w:p>
        </w:tc>
        <w:tc>
          <w:tcPr>
            <w:tcW w:w="28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90.0</w:t>
            </w:r>
          </w:p>
        </w:tc>
        <w:tc>
          <w:tcPr>
            <w:tcW w:w="0" w:type="dxa"/>
            <w:vAlign w:val="bottom"/>
          </w:tcPr>
          <w:p>
            <w:pPr>
              <w:spacing w:after="0"/>
              <w:rPr>
                <w:sz w:val="1"/>
                <w:szCs w:val="1"/>
                <w:color w:val="auto"/>
              </w:rPr>
            </w:pPr>
          </w:p>
        </w:tc>
      </w:tr>
      <w:tr>
        <w:trPr>
          <w:trHeight w:val="203"/>
        </w:trPr>
        <w:tc>
          <w:tcPr>
            <w:tcW w:w="5080" w:type="dxa"/>
            <w:vAlign w:val="bottom"/>
          </w:tcPr>
          <w:p>
            <w:pPr>
              <w:spacing w:after="0"/>
              <w:rPr>
                <w:sz w:val="20"/>
                <w:szCs w:val="20"/>
                <w:color w:val="auto"/>
              </w:rPr>
            </w:pPr>
            <w:r>
              <w:rPr>
                <w:rFonts w:ascii="Arial" w:cs="Arial" w:eastAsia="Arial" w:hAnsi="Arial"/>
                <w:sz w:val="16"/>
                <w:szCs w:val="16"/>
                <w:color w:val="auto"/>
              </w:rPr>
              <w:t>(Reversals) provisions</w:t>
            </w:r>
          </w:p>
        </w:tc>
        <w:tc>
          <w:tcPr>
            <w:tcW w:w="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6"/>
                <w:szCs w:val="16"/>
                <w:color w:val="auto"/>
              </w:rPr>
              <w:t>(1.7)</w:t>
            </w: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0.9</w:t>
            </w: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61.2</w:t>
            </w: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8.9</w:t>
            </w: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6"/>
                <w:szCs w:val="16"/>
                <w:color w:val="auto"/>
              </w:rPr>
              <w:t>34.7</w:t>
            </w:r>
          </w:p>
        </w:tc>
        <w:tc>
          <w:tcPr>
            <w:tcW w:w="0" w:type="dxa"/>
            <w:vAlign w:val="bottom"/>
          </w:tcPr>
          <w:p>
            <w:pPr>
              <w:spacing w:after="0"/>
              <w:rPr>
                <w:sz w:val="1"/>
                <w:szCs w:val="1"/>
                <w:color w:val="auto"/>
              </w:rPr>
            </w:pPr>
          </w:p>
        </w:tc>
      </w:tr>
      <w:tr>
        <w:trPr>
          <w:trHeight w:val="203"/>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Recoveries</w:t>
            </w:r>
          </w:p>
        </w:tc>
        <w:tc>
          <w:tcPr>
            <w:tcW w:w="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2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13"/>
        </w:trPr>
        <w:tc>
          <w:tcPr>
            <w:tcW w:w="5080" w:type="dxa"/>
            <w:vAlign w:val="bottom"/>
          </w:tcPr>
          <w:p>
            <w:pPr>
              <w:spacing w:after="0"/>
              <w:rPr>
                <w:sz w:val="20"/>
                <w:szCs w:val="20"/>
                <w:color w:val="auto"/>
              </w:rPr>
            </w:pPr>
            <w:r>
              <w:rPr>
                <w:rFonts w:ascii="Arial" w:cs="Arial" w:eastAsia="Arial" w:hAnsi="Arial"/>
                <w:sz w:val="16"/>
                <w:szCs w:val="16"/>
                <w:color w:val="auto"/>
              </w:rPr>
              <w:t>Loans write-off</w:t>
            </w: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6"/>
                <w:szCs w:val="16"/>
                <w:color w:val="auto"/>
                <w:w w:val="90"/>
              </w:rPr>
              <w:t>(56.5)</w:t>
            </w: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6"/>
                <w:szCs w:val="16"/>
                <w:color w:val="auto"/>
              </w:rPr>
              <w:t>(2.4)</w:t>
            </w: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(41.7)</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(33.6)</w:t>
            </w: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6"/>
                <w:szCs w:val="16"/>
                <w:color w:val="auto"/>
              </w:rPr>
              <w:t>(18.8)</w:t>
            </w:r>
          </w:p>
        </w:tc>
        <w:tc>
          <w:tcPr>
            <w:tcW w:w="0" w:type="dxa"/>
            <w:vAlign w:val="bottom"/>
          </w:tcPr>
          <w:p>
            <w:pPr>
              <w:spacing w:after="0"/>
              <w:rPr>
                <w:sz w:val="1"/>
                <w:szCs w:val="1"/>
                <w:color w:val="auto"/>
              </w:rPr>
            </w:pPr>
          </w:p>
        </w:tc>
      </w:tr>
      <w:tr>
        <w:trPr>
          <w:trHeight w:val="19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Balance at the end of the year</w:t>
            </w:r>
          </w:p>
        </w:tc>
        <w:tc>
          <w:tcPr>
            <w:tcW w:w="40" w:type="dxa"/>
            <w:vAlign w:val="bottom"/>
            <w:tcBorders>
              <w:top w:val="single" w:sz="8" w:color="CCEEFF"/>
            </w:tcBorders>
            <w:shd w:val="clear" w:color="auto" w:fill="CCEEFF"/>
          </w:tcPr>
          <w:p>
            <w:pPr>
              <w:spacing w:after="0"/>
              <w:rPr>
                <w:sz w:val="17"/>
                <w:szCs w:val="17"/>
                <w:color w:val="auto"/>
              </w:rPr>
            </w:pPr>
          </w:p>
        </w:tc>
        <w:tc>
          <w:tcPr>
            <w:tcW w:w="660" w:type="dxa"/>
            <w:vAlign w:val="bottom"/>
            <w:tcBorders>
              <w:top w:val="single" w:sz="8" w:color="auto"/>
            </w:tcBorders>
            <w:shd w:val="clear" w:color="auto" w:fill="CCEEFF"/>
          </w:tcPr>
          <w:p>
            <w:pPr>
              <w:jc w:val="right"/>
              <w:ind w:right="503"/>
              <w:spacing w:after="0"/>
              <w:rPr>
                <w:sz w:val="20"/>
                <w:szCs w:val="20"/>
                <w:color w:val="auto"/>
              </w:rPr>
            </w:pPr>
            <w:r>
              <w:rPr>
                <w:rFonts w:ascii="Arial" w:cs="Arial" w:eastAsia="Arial" w:hAnsi="Arial"/>
                <w:sz w:val="15"/>
                <w:szCs w:val="15"/>
                <w:color w:val="auto"/>
                <w:w w:val="71"/>
              </w:rPr>
              <w:t>$</w:t>
            </w:r>
          </w:p>
        </w:tc>
        <w:tc>
          <w:tcPr>
            <w:tcW w:w="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41.2</w:t>
            </w:r>
          </w:p>
        </w:tc>
        <w:tc>
          <w:tcPr>
            <w:tcW w:w="20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99.3</w:t>
            </w:r>
          </w:p>
        </w:tc>
        <w:tc>
          <w:tcPr>
            <w:tcW w:w="20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100.8</w:t>
            </w:r>
          </w:p>
        </w:tc>
        <w:tc>
          <w:tcPr>
            <w:tcW w:w="2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81.3</w:t>
            </w: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106.0</w:t>
            </w: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89"/>
        </w:trPr>
        <w:tc>
          <w:tcPr>
            <w:tcW w:w="5080" w:type="dxa"/>
            <w:vAlign w:val="bottom"/>
          </w:tcPr>
          <w:p>
            <w:pPr>
              <w:spacing w:after="0"/>
              <w:rPr>
                <w:sz w:val="20"/>
                <w:szCs w:val="20"/>
                <w:color w:val="auto"/>
              </w:rPr>
            </w:pPr>
            <w:r>
              <w:rPr>
                <w:rFonts w:ascii="Arial" w:cs="Arial" w:eastAsia="Arial" w:hAnsi="Arial"/>
                <w:sz w:val="16"/>
                <w:szCs w:val="16"/>
                <w:b w:val="1"/>
                <w:bCs w:val="1"/>
                <w:color w:val="auto"/>
                <w:w w:val="98"/>
              </w:rPr>
              <w:t>Allowance for loan commitments and  financial  guarantee  contract</w:t>
            </w:r>
          </w:p>
        </w:tc>
        <w:tc>
          <w:tcPr>
            <w:tcW w:w="4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5080" w:type="dxa"/>
            <w:vAlign w:val="bottom"/>
          </w:tcPr>
          <w:p>
            <w:pPr>
              <w:spacing w:after="0"/>
              <w:rPr>
                <w:sz w:val="20"/>
                <w:szCs w:val="20"/>
                <w:color w:val="auto"/>
              </w:rPr>
            </w:pPr>
            <w:r>
              <w:rPr>
                <w:rFonts w:ascii="Arial" w:cs="Arial" w:eastAsia="Arial" w:hAnsi="Arial"/>
                <w:sz w:val="16"/>
                <w:szCs w:val="16"/>
                <w:b w:val="1"/>
                <w:bCs w:val="1"/>
                <w:color w:val="auto"/>
              </w:rPr>
              <w:t>losses:</w:t>
            </w: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5"/>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year</w:t>
            </w:r>
          </w:p>
        </w:tc>
        <w:tc>
          <w:tcPr>
            <w:tcW w:w="700" w:type="dxa"/>
            <w:vAlign w:val="bottom"/>
            <w:gridSpan w:val="2"/>
            <w:shd w:val="clear" w:color="auto" w:fill="CCEEFF"/>
          </w:tcPr>
          <w:p>
            <w:pPr>
              <w:jc w:val="right"/>
              <w:ind w:right="503"/>
              <w:spacing w:after="0"/>
              <w:rPr>
                <w:sz w:val="20"/>
                <w:szCs w:val="20"/>
                <w:color w:val="auto"/>
              </w:rPr>
            </w:pPr>
            <w:r>
              <w:rPr>
                <w:rFonts w:ascii="Arial" w:cs="Arial" w:eastAsia="Arial" w:hAnsi="Arial"/>
                <w:sz w:val="16"/>
                <w:szCs w:val="16"/>
                <w:color w:val="auto"/>
              </w:rPr>
              <w:t>$</w:t>
            </w:r>
          </w:p>
        </w:tc>
        <w:tc>
          <w:tcPr>
            <w:tcW w:w="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6.8</w:t>
            </w:r>
          </w:p>
        </w:tc>
        <w:tc>
          <w:tcPr>
            <w:tcW w:w="220" w:type="dxa"/>
            <w:vAlign w:val="bottom"/>
            <w:shd w:val="clear" w:color="auto" w:fill="CCEEFF"/>
          </w:tcPr>
          <w:p>
            <w:pPr>
              <w:spacing w:after="0"/>
              <w:rPr>
                <w:sz w:val="17"/>
                <w:szCs w:val="17"/>
                <w:color w:val="auto"/>
              </w:rPr>
            </w:pPr>
          </w:p>
        </w:tc>
        <w:tc>
          <w:tcPr>
            <w:tcW w:w="240" w:type="dxa"/>
            <w:vAlign w:val="bottom"/>
            <w:gridSpan w:val="2"/>
            <w:shd w:val="clear" w:color="auto" w:fill="CCEEFF"/>
          </w:tcPr>
          <w:p>
            <w:pPr>
              <w:jc w:val="right"/>
              <w:ind w:right="4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200" w:type="dxa"/>
            <w:vAlign w:val="bottom"/>
            <w:shd w:val="clear" w:color="auto" w:fill="CCEEFF"/>
          </w:tcPr>
          <w:p>
            <w:pPr>
              <w:spacing w:after="0"/>
              <w:rPr>
                <w:sz w:val="17"/>
                <w:szCs w:val="17"/>
                <w:color w:val="auto"/>
              </w:rPr>
            </w:pPr>
          </w:p>
        </w:tc>
        <w:tc>
          <w:tcPr>
            <w:tcW w:w="28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9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5.4</w:t>
            </w:r>
          </w:p>
        </w:tc>
        <w:tc>
          <w:tcPr>
            <w:tcW w:w="0" w:type="dxa"/>
            <w:vAlign w:val="bottom"/>
          </w:tcPr>
          <w:p>
            <w:pPr>
              <w:spacing w:after="0"/>
              <w:rPr>
                <w:sz w:val="1"/>
                <w:szCs w:val="1"/>
                <w:color w:val="auto"/>
              </w:rPr>
            </w:pPr>
          </w:p>
        </w:tc>
      </w:tr>
      <w:tr>
        <w:trPr>
          <w:trHeight w:val="213"/>
        </w:trPr>
        <w:tc>
          <w:tcPr>
            <w:tcW w:w="5080" w:type="dxa"/>
            <w:vAlign w:val="bottom"/>
          </w:tcPr>
          <w:p>
            <w:pPr>
              <w:spacing w:after="0"/>
              <w:rPr>
                <w:sz w:val="20"/>
                <w:szCs w:val="20"/>
                <w:color w:val="auto"/>
              </w:rPr>
            </w:pPr>
            <w:r>
              <w:rPr>
                <w:rFonts w:ascii="Arial" w:cs="Arial" w:eastAsia="Arial" w:hAnsi="Arial"/>
                <w:sz w:val="16"/>
                <w:szCs w:val="16"/>
                <w:color w:val="auto"/>
              </w:rPr>
              <w:t>Provisions (reversals)</w:t>
            </w: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6"/>
                <w:szCs w:val="16"/>
                <w:color w:val="auto"/>
              </w:rPr>
              <w:t>(0.2)</w:t>
            </w: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6"/>
                <w:szCs w:val="16"/>
                <w:color w:val="auto"/>
              </w:rPr>
              <w:t>(0.2)</w:t>
            </w:r>
          </w:p>
        </w:tc>
        <w:tc>
          <w:tcPr>
            <w:tcW w:w="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(3.5)</w:t>
            </w:r>
          </w:p>
        </w:tc>
        <w:tc>
          <w:tcPr>
            <w:tcW w:w="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1.0</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gridSpan w:val="2"/>
          </w:tcPr>
          <w:p>
            <w:pPr>
              <w:jc w:val="right"/>
              <w:ind w:right="140"/>
              <w:spacing w:after="0"/>
              <w:rPr>
                <w:sz w:val="20"/>
                <w:szCs w:val="20"/>
                <w:color w:val="auto"/>
              </w:rPr>
            </w:pPr>
            <w:r>
              <w:rPr>
                <w:rFonts w:ascii="Arial" w:cs="Arial" w:eastAsia="Arial" w:hAnsi="Arial"/>
                <w:sz w:val="16"/>
                <w:szCs w:val="16"/>
                <w:color w:val="auto"/>
              </w:rPr>
              <w:t>0.4</w:t>
            </w:r>
          </w:p>
        </w:tc>
        <w:tc>
          <w:tcPr>
            <w:tcW w:w="0" w:type="dxa"/>
            <w:vAlign w:val="bottom"/>
          </w:tcPr>
          <w:p>
            <w:pPr>
              <w:spacing w:after="0"/>
              <w:rPr>
                <w:sz w:val="1"/>
                <w:szCs w:val="1"/>
                <w:color w:val="auto"/>
              </w:rPr>
            </w:pPr>
          </w:p>
        </w:tc>
      </w:tr>
      <w:tr>
        <w:trPr>
          <w:trHeight w:val="19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Balance at end of the year</w:t>
            </w:r>
          </w:p>
        </w:tc>
        <w:tc>
          <w:tcPr>
            <w:tcW w:w="40" w:type="dxa"/>
            <w:vAlign w:val="bottom"/>
            <w:tcBorders>
              <w:top w:val="single" w:sz="8" w:color="CCEEFF"/>
            </w:tcBorders>
            <w:shd w:val="clear" w:color="auto" w:fill="CCEEFF"/>
          </w:tcPr>
          <w:p>
            <w:pPr>
              <w:spacing w:after="0"/>
              <w:rPr>
                <w:sz w:val="17"/>
                <w:szCs w:val="17"/>
                <w:color w:val="auto"/>
              </w:rPr>
            </w:pPr>
          </w:p>
        </w:tc>
        <w:tc>
          <w:tcPr>
            <w:tcW w:w="660" w:type="dxa"/>
            <w:vAlign w:val="bottom"/>
            <w:tcBorders>
              <w:top w:val="single" w:sz="8" w:color="auto"/>
            </w:tcBorders>
            <w:shd w:val="clear" w:color="auto" w:fill="CCEEFF"/>
          </w:tcPr>
          <w:p>
            <w:pPr>
              <w:jc w:val="right"/>
              <w:ind w:right="503"/>
              <w:spacing w:after="0"/>
              <w:rPr>
                <w:sz w:val="20"/>
                <w:szCs w:val="20"/>
                <w:color w:val="auto"/>
              </w:rPr>
            </w:pPr>
            <w:r>
              <w:rPr>
                <w:rFonts w:ascii="Arial" w:cs="Arial" w:eastAsia="Arial" w:hAnsi="Arial"/>
                <w:sz w:val="15"/>
                <w:szCs w:val="15"/>
                <w:color w:val="auto"/>
                <w:w w:val="71"/>
              </w:rPr>
              <w:t>$</w:t>
            </w:r>
          </w:p>
        </w:tc>
        <w:tc>
          <w:tcPr>
            <w:tcW w:w="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2.9</w:t>
            </w:r>
          </w:p>
        </w:tc>
        <w:tc>
          <w:tcPr>
            <w:tcW w:w="20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3.1</w:t>
            </w:r>
          </w:p>
        </w:tc>
        <w:tc>
          <w:tcPr>
            <w:tcW w:w="20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3.3</w:t>
            </w:r>
          </w:p>
        </w:tc>
        <w:tc>
          <w:tcPr>
            <w:tcW w:w="2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6.8</w:t>
            </w:r>
          </w:p>
        </w:tc>
        <w:tc>
          <w:tcPr>
            <w:tcW w:w="20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5080" w:type="dxa"/>
            <w:vAlign w:val="bottom"/>
          </w:tcPr>
          <w:p>
            <w:pPr>
              <w:spacing w:after="0"/>
              <w:rPr>
                <w:sz w:val="20"/>
                <w:szCs w:val="20"/>
                <w:color w:val="auto"/>
              </w:rPr>
            </w:pPr>
            <w:r>
              <w:rPr>
                <w:rFonts w:ascii="Arial" w:cs="Arial" w:eastAsia="Arial" w:hAnsi="Arial"/>
                <w:sz w:val="16"/>
                <w:szCs w:val="16"/>
                <w:b w:val="1"/>
                <w:bCs w:val="1"/>
                <w:color w:val="auto"/>
              </w:rPr>
              <w:t>Allowance for Investment Portfolio losses:</w:t>
            </w:r>
          </w:p>
        </w:tc>
        <w:tc>
          <w:tcPr>
            <w:tcW w:w="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Balance at beginning of the year</w:t>
            </w:r>
          </w:p>
        </w:tc>
        <w:tc>
          <w:tcPr>
            <w:tcW w:w="700" w:type="dxa"/>
            <w:vAlign w:val="bottom"/>
            <w:gridSpan w:val="2"/>
            <w:shd w:val="clear" w:color="auto" w:fill="CCEEFF"/>
          </w:tcPr>
          <w:p>
            <w:pPr>
              <w:jc w:val="right"/>
              <w:ind w:right="503"/>
              <w:spacing w:after="0"/>
              <w:rPr>
                <w:sz w:val="20"/>
                <w:szCs w:val="20"/>
                <w:color w:val="auto"/>
              </w:rPr>
            </w:pPr>
            <w:r>
              <w:rPr>
                <w:rFonts w:ascii="Arial" w:cs="Arial" w:eastAsia="Arial" w:hAnsi="Arial"/>
                <w:sz w:val="16"/>
                <w:szCs w:val="16"/>
                <w:color w:val="auto"/>
              </w:rPr>
              <w:t>$</w:t>
            </w:r>
          </w:p>
        </w:tc>
        <w:tc>
          <w:tcPr>
            <w:tcW w:w="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0.3</w:t>
            </w:r>
          </w:p>
        </w:tc>
        <w:tc>
          <w:tcPr>
            <w:tcW w:w="200" w:type="dxa"/>
            <w:vAlign w:val="bottom"/>
            <w:shd w:val="clear" w:color="auto" w:fill="CCEEFF"/>
          </w:tcPr>
          <w:p>
            <w:pPr>
              <w:spacing w:after="0"/>
              <w:rPr>
                <w:sz w:val="17"/>
                <w:szCs w:val="17"/>
                <w:color w:val="auto"/>
              </w:rPr>
            </w:pPr>
          </w:p>
        </w:tc>
        <w:tc>
          <w:tcPr>
            <w:tcW w:w="260" w:type="dxa"/>
            <w:vAlign w:val="bottom"/>
            <w:gridSpan w:val="2"/>
            <w:shd w:val="clear" w:color="auto" w:fill="CCEEFF"/>
          </w:tcPr>
          <w:p>
            <w:pPr>
              <w:jc w:val="right"/>
              <w:ind w:right="6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0.4</w:t>
            </w:r>
          </w:p>
        </w:tc>
        <w:tc>
          <w:tcPr>
            <w:tcW w:w="220" w:type="dxa"/>
            <w:vAlign w:val="bottom"/>
            <w:shd w:val="clear" w:color="auto" w:fill="CCEEFF"/>
          </w:tcPr>
          <w:p>
            <w:pPr>
              <w:spacing w:after="0"/>
              <w:rPr>
                <w:sz w:val="17"/>
                <w:szCs w:val="17"/>
                <w:color w:val="auto"/>
              </w:rPr>
            </w:pPr>
          </w:p>
        </w:tc>
        <w:tc>
          <w:tcPr>
            <w:tcW w:w="240" w:type="dxa"/>
            <w:vAlign w:val="bottom"/>
            <w:gridSpan w:val="2"/>
            <w:shd w:val="clear" w:color="auto" w:fill="CCEEFF"/>
          </w:tcPr>
          <w:p>
            <w:pPr>
              <w:jc w:val="right"/>
              <w:ind w:right="4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0.9</w:t>
            </w:r>
          </w:p>
        </w:tc>
        <w:tc>
          <w:tcPr>
            <w:tcW w:w="200" w:type="dxa"/>
            <w:vAlign w:val="bottom"/>
            <w:shd w:val="clear" w:color="auto" w:fill="CCEEFF"/>
          </w:tcPr>
          <w:p>
            <w:pPr>
              <w:spacing w:after="0"/>
              <w:rPr>
                <w:sz w:val="17"/>
                <w:szCs w:val="17"/>
                <w:color w:val="auto"/>
              </w:rPr>
            </w:pPr>
          </w:p>
        </w:tc>
        <w:tc>
          <w:tcPr>
            <w:tcW w:w="280" w:type="dxa"/>
            <w:vAlign w:val="bottom"/>
            <w:gridSpan w:val="2"/>
            <w:shd w:val="clear" w:color="auto" w:fill="CCEEFF"/>
          </w:tcPr>
          <w:p>
            <w:pPr>
              <w:jc w:val="right"/>
              <w:ind w:right="24"/>
              <w:spacing w:after="0"/>
              <w:rPr>
                <w:sz w:val="20"/>
                <w:szCs w:val="20"/>
                <w:color w:val="auto"/>
              </w:rPr>
            </w:pPr>
            <w:r>
              <w:rPr>
                <w:rFonts w:ascii="Arial" w:cs="Arial" w:eastAsia="Arial" w:hAnsi="Arial"/>
                <w:sz w:val="16"/>
                <w:szCs w:val="16"/>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7.7</w:t>
            </w: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5080" w:type="dxa"/>
            <w:vAlign w:val="bottom"/>
          </w:tcPr>
          <w:p>
            <w:pPr>
              <w:spacing w:after="0"/>
              <w:rPr>
                <w:sz w:val="20"/>
                <w:szCs w:val="20"/>
                <w:color w:val="auto"/>
              </w:rPr>
            </w:pPr>
            <w:r>
              <w:rPr>
                <w:rFonts w:ascii="Arial" w:cs="Arial" w:eastAsia="Arial" w:hAnsi="Arial"/>
                <w:sz w:val="16"/>
                <w:szCs w:val="16"/>
                <w:color w:val="auto"/>
              </w:rPr>
              <w:t>Provisions (reversals)</w:t>
            </w:r>
          </w:p>
        </w:tc>
        <w:tc>
          <w:tcPr>
            <w:tcW w:w="40" w:type="dxa"/>
            <w:vAlign w:val="bottom"/>
          </w:tcPr>
          <w:p>
            <w:pPr>
              <w:spacing w:after="0"/>
              <w:rPr>
                <w:sz w:val="17"/>
                <w:szCs w:val="17"/>
                <w:color w:val="auto"/>
              </w:rPr>
            </w:pPr>
          </w:p>
        </w:tc>
        <w:tc>
          <w:tcPr>
            <w:tcW w:w="660" w:type="dxa"/>
            <w:vAlign w:val="bottom"/>
          </w:tcPr>
          <w:p>
            <w:pPr>
              <w:spacing w:after="0"/>
              <w:rPr>
                <w:sz w:val="17"/>
                <w:szCs w:val="17"/>
                <w:color w:val="auto"/>
              </w:rPr>
            </w:pPr>
          </w:p>
        </w:tc>
        <w:tc>
          <w:tcPr>
            <w:tcW w:w="340" w:type="dxa"/>
            <w:vAlign w:val="bottom"/>
          </w:tcPr>
          <w:p>
            <w:pPr>
              <w:jc w:val="right"/>
              <w:spacing w:after="0"/>
              <w:rPr>
                <w:sz w:val="20"/>
                <w:szCs w:val="20"/>
                <w:color w:val="auto"/>
              </w:rPr>
            </w:pPr>
            <w:r>
              <w:rPr>
                <w:rFonts w:ascii="Arial" w:cs="Arial" w:eastAsia="Arial" w:hAnsi="Arial"/>
                <w:sz w:val="16"/>
                <w:szCs w:val="16"/>
                <w:color w:val="auto"/>
              </w:rPr>
              <w:t>0.4</w:t>
            </w: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6"/>
                <w:szCs w:val="16"/>
                <w:color w:val="auto"/>
              </w:rPr>
              <w:t>(0.2)</w:t>
            </w:r>
          </w:p>
        </w:tc>
        <w:tc>
          <w:tcPr>
            <w:tcW w:w="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6"/>
                <w:szCs w:val="16"/>
                <w:color w:val="auto"/>
              </w:rPr>
              <w:t>(0.1)</w:t>
            </w:r>
          </w:p>
        </w:tc>
        <w:tc>
          <w:tcPr>
            <w:tcW w:w="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6"/>
                <w:szCs w:val="16"/>
                <w:color w:val="auto"/>
              </w:rPr>
              <w:t>(0.5)</w:t>
            </w: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6"/>
                <w:szCs w:val="16"/>
                <w:color w:val="auto"/>
              </w:rPr>
              <w:t>(0.1)</w:t>
            </w: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Write-off</w:t>
            </w:r>
          </w:p>
        </w:tc>
        <w:tc>
          <w:tcPr>
            <w:tcW w:w="4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(6.7)</w:t>
            </w:r>
          </w:p>
        </w:tc>
        <w:tc>
          <w:tcPr>
            <w:tcW w:w="0" w:type="dxa"/>
            <w:vAlign w:val="bottom"/>
          </w:tcPr>
          <w:p>
            <w:pPr>
              <w:spacing w:after="0"/>
              <w:rPr>
                <w:sz w:val="1"/>
                <w:szCs w:val="1"/>
                <w:color w:val="auto"/>
              </w:rPr>
            </w:pPr>
          </w:p>
        </w:tc>
      </w:tr>
      <w:tr>
        <w:trPr>
          <w:trHeight w:val="196"/>
        </w:trPr>
        <w:tc>
          <w:tcPr>
            <w:tcW w:w="508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Balance at end of the year</w:t>
            </w:r>
          </w:p>
        </w:tc>
        <w:tc>
          <w:tcPr>
            <w:tcW w:w="40" w:type="dxa"/>
            <w:vAlign w:val="bottom"/>
            <w:tcBorders>
              <w:bottom w:val="single" w:sz="8" w:color="CCEEFF"/>
            </w:tcBorders>
          </w:tcPr>
          <w:p>
            <w:pPr>
              <w:spacing w:after="0"/>
              <w:rPr>
                <w:sz w:val="17"/>
                <w:szCs w:val="17"/>
                <w:color w:val="auto"/>
              </w:rPr>
            </w:pPr>
          </w:p>
        </w:tc>
        <w:tc>
          <w:tcPr>
            <w:tcW w:w="660" w:type="dxa"/>
            <w:vAlign w:val="bottom"/>
            <w:tcBorders>
              <w:top w:val="single" w:sz="8" w:color="auto"/>
              <w:bottom w:val="single" w:sz="8" w:color="auto"/>
            </w:tcBorders>
          </w:tcPr>
          <w:p>
            <w:pPr>
              <w:jc w:val="right"/>
              <w:ind w:right="503"/>
              <w:spacing w:after="0"/>
              <w:rPr>
                <w:sz w:val="20"/>
                <w:szCs w:val="20"/>
                <w:color w:val="auto"/>
              </w:rPr>
            </w:pPr>
            <w:r>
              <w:rPr>
                <w:rFonts w:ascii="Arial" w:cs="Arial" w:eastAsia="Arial" w:hAnsi="Arial"/>
                <w:sz w:val="15"/>
                <w:szCs w:val="15"/>
                <w:color w:val="auto"/>
                <w:w w:val="71"/>
              </w:rPr>
              <w:t>$</w:t>
            </w: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0.5</w:t>
            </w:r>
          </w:p>
        </w:tc>
        <w:tc>
          <w:tcPr>
            <w:tcW w:w="20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0.1</w:t>
            </w:r>
          </w:p>
        </w:tc>
        <w:tc>
          <w:tcPr>
            <w:tcW w:w="20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0.3</w:t>
            </w:r>
          </w:p>
        </w:tc>
        <w:tc>
          <w:tcPr>
            <w:tcW w:w="22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200" w:type="dxa"/>
            <w:vAlign w:val="bottom"/>
            <w:tcBorders>
              <w:top w:val="single" w:sz="8" w:color="auto"/>
              <w:bottom w:val="single" w:sz="8" w:color="auto"/>
            </w:tcBorders>
          </w:tcPr>
          <w:p>
            <w:pPr>
              <w:jc w:val="right"/>
              <w:ind w:right="4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0.4</w:t>
            </w:r>
          </w:p>
        </w:tc>
        <w:tc>
          <w:tcPr>
            <w:tcW w:w="200" w:type="dxa"/>
            <w:vAlign w:val="bottom"/>
            <w:tcBorders>
              <w:bottom w:val="single" w:sz="8" w:color="CCEEFF"/>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220" w:type="dxa"/>
            <w:vAlign w:val="bottom"/>
            <w:tcBorders>
              <w:top w:val="single" w:sz="8" w:color="auto"/>
              <w:bottom w:val="single" w:sz="8" w:color="auto"/>
            </w:tcBorders>
          </w:tcPr>
          <w:p>
            <w:pPr>
              <w:jc w:val="right"/>
              <w:ind w:right="64"/>
              <w:spacing w:after="0"/>
              <w:rPr>
                <w:sz w:val="20"/>
                <w:szCs w:val="20"/>
                <w:color w:val="auto"/>
              </w:rPr>
            </w:pPr>
            <w:r>
              <w:rPr>
                <w:rFonts w:ascii="Arial" w:cs="Arial" w:eastAsia="Arial" w:hAnsi="Arial"/>
                <w:sz w:val="15"/>
                <w:szCs w:val="15"/>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color w:val="auto"/>
              </w:rPr>
              <w:t>0.9</w:t>
            </w:r>
          </w:p>
        </w:tc>
        <w:tc>
          <w:tcPr>
            <w:tcW w:w="14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207"/>
        </w:trPr>
        <w:tc>
          <w:tcPr>
            <w:tcW w:w="50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credit allowance for losses</w:t>
            </w:r>
          </w:p>
        </w:tc>
        <w:tc>
          <w:tcPr>
            <w:tcW w:w="40" w:type="dxa"/>
            <w:vAlign w:val="bottom"/>
            <w:tcBorders>
              <w:bottom w:val="single" w:sz="8" w:color="CCEEFF"/>
            </w:tcBorders>
            <w:shd w:val="clear" w:color="auto" w:fill="CCEEFF"/>
          </w:tcPr>
          <w:p>
            <w:pPr>
              <w:spacing w:after="0"/>
              <w:rPr>
                <w:sz w:val="17"/>
                <w:szCs w:val="17"/>
                <w:color w:val="auto"/>
              </w:rPr>
            </w:pPr>
          </w:p>
        </w:tc>
        <w:tc>
          <w:tcPr>
            <w:tcW w:w="660" w:type="dxa"/>
            <w:vAlign w:val="bottom"/>
            <w:tcBorders>
              <w:bottom w:val="single" w:sz="8" w:color="auto"/>
            </w:tcBorders>
            <w:shd w:val="clear" w:color="auto" w:fill="CCEEFF"/>
          </w:tcPr>
          <w:p>
            <w:pPr>
              <w:jc w:val="right"/>
              <w:ind w:right="503"/>
              <w:spacing w:after="0"/>
              <w:rPr>
                <w:sz w:val="20"/>
                <w:szCs w:val="20"/>
                <w:color w:val="auto"/>
              </w:rPr>
            </w:pPr>
            <w:r>
              <w:rPr>
                <w:rFonts w:ascii="Arial" w:cs="Arial" w:eastAsia="Arial" w:hAnsi="Arial"/>
                <w:sz w:val="15"/>
                <w:szCs w:val="15"/>
                <w:b w:val="1"/>
                <w:bCs w:val="1"/>
                <w:color w:val="auto"/>
                <w:w w:val="71"/>
              </w:rPr>
              <w:t>$</w:t>
            </w: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44.6</w:t>
            </w:r>
          </w:p>
        </w:tc>
        <w:tc>
          <w:tcPr>
            <w:tcW w:w="20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102.5</w:t>
            </w:r>
          </w:p>
        </w:tc>
        <w:tc>
          <w:tcPr>
            <w:tcW w:w="20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104.4</w:t>
            </w:r>
          </w:p>
        </w:tc>
        <w:tc>
          <w:tcPr>
            <w:tcW w:w="220" w:type="dxa"/>
            <w:vAlign w:val="bottom"/>
            <w:tcBorders>
              <w:bottom w:val="single" w:sz="8" w:color="CCEEFF"/>
            </w:tcBorders>
            <w:shd w:val="clear" w:color="auto" w:fill="CCEEFF"/>
          </w:tcPr>
          <w:p>
            <w:pPr>
              <w:spacing w:after="0"/>
              <w:rPr>
                <w:sz w:val="17"/>
                <w:szCs w:val="17"/>
                <w:color w:val="auto"/>
              </w:rPr>
            </w:pPr>
          </w:p>
        </w:tc>
        <w:tc>
          <w:tcPr>
            <w:tcW w:w="4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88.6</w:t>
            </w:r>
          </w:p>
        </w:tc>
        <w:tc>
          <w:tcPr>
            <w:tcW w:w="200" w:type="dxa"/>
            <w:vAlign w:val="bottom"/>
            <w:tcBorders>
              <w:bottom w:val="single" w:sz="8" w:color="CCEEFF"/>
            </w:tcBorders>
            <w:shd w:val="clear" w:color="auto" w:fill="CCEEFF"/>
          </w:tcPr>
          <w:p>
            <w:pPr>
              <w:spacing w:after="0"/>
              <w:rPr>
                <w:sz w:val="17"/>
                <w:szCs w:val="17"/>
                <w:color w:val="auto"/>
              </w:rPr>
            </w:pPr>
          </w:p>
        </w:tc>
        <w:tc>
          <w:tcPr>
            <w:tcW w:w="6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auto"/>
            </w:tcBorders>
            <w:shd w:val="clear" w:color="auto" w:fill="CCEEFF"/>
          </w:tcPr>
          <w:p>
            <w:pPr>
              <w:jc w:val="right"/>
              <w:ind w:right="64"/>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112.7</w:t>
            </w:r>
          </w:p>
        </w:tc>
        <w:tc>
          <w:tcPr>
            <w:tcW w:w="14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80" w:type="dxa"/>
            <w:vAlign w:val="bottom"/>
            <w:vMerge w:val="restart"/>
          </w:tcPr>
          <w:p>
            <w:pPr>
              <w:spacing w:after="0"/>
              <w:rPr>
                <w:sz w:val="20"/>
                <w:szCs w:val="20"/>
                <w:color w:val="auto"/>
              </w:rPr>
            </w:pPr>
            <w:r>
              <w:rPr>
                <w:rFonts w:ascii="Arial" w:cs="Arial" w:eastAsia="Arial" w:hAnsi="Arial"/>
                <w:sz w:val="16"/>
                <w:szCs w:val="16"/>
                <w:color w:val="auto"/>
              </w:rPr>
              <w:t>Total credit allowance for losses to total Credit Portfolio</w:t>
            </w:r>
          </w:p>
        </w:tc>
        <w:tc>
          <w:tcPr>
            <w:tcW w:w="40" w:type="dxa"/>
            <w:vAlign w:val="bottom"/>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6"/>
        </w:trPr>
        <w:tc>
          <w:tcPr>
            <w:tcW w:w="5080" w:type="dxa"/>
            <w:vAlign w:val="bottom"/>
            <w:vMerge w:val="continue"/>
          </w:tcPr>
          <w:p>
            <w:pPr>
              <w:spacing w:after="0"/>
              <w:rPr>
                <w:sz w:val="16"/>
                <w:szCs w:val="16"/>
                <w:color w:val="auto"/>
              </w:rPr>
            </w:pPr>
          </w:p>
        </w:tc>
        <w:tc>
          <w:tcPr>
            <w:tcW w:w="40" w:type="dxa"/>
            <w:vAlign w:val="bottom"/>
          </w:tcPr>
          <w:p>
            <w:pPr>
              <w:spacing w:after="0"/>
              <w:rPr>
                <w:sz w:val="16"/>
                <w:szCs w:val="16"/>
                <w:color w:val="auto"/>
              </w:rPr>
            </w:pPr>
          </w:p>
        </w:tc>
        <w:tc>
          <w:tcPr>
            <w:tcW w:w="660" w:type="dxa"/>
            <w:vAlign w:val="bottom"/>
          </w:tcPr>
          <w:p>
            <w:pPr>
              <w:spacing w:after="0"/>
              <w:rPr>
                <w:sz w:val="16"/>
                <w:szCs w:val="16"/>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6"/>
                <w:szCs w:val="16"/>
                <w:color w:val="auto"/>
              </w:rPr>
              <w:t>0.75%</w:t>
            </w:r>
          </w:p>
        </w:tc>
        <w:tc>
          <w:tcPr>
            <w:tcW w:w="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gridSpan w:val="2"/>
          </w:tcPr>
          <w:p>
            <w:pPr>
              <w:jc w:val="right"/>
              <w:spacing w:after="0"/>
              <w:rPr>
                <w:sz w:val="20"/>
                <w:szCs w:val="20"/>
                <w:color w:val="auto"/>
              </w:rPr>
            </w:pPr>
            <w:r>
              <w:rPr>
                <w:rFonts w:ascii="Arial" w:cs="Arial" w:eastAsia="Arial" w:hAnsi="Arial"/>
                <w:sz w:val="16"/>
                <w:szCs w:val="16"/>
                <w:color w:val="auto"/>
              </w:rPr>
              <w:t>1.56%</w:t>
            </w:r>
          </w:p>
        </w:tc>
        <w:tc>
          <w:tcPr>
            <w:tcW w:w="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6"/>
                <w:szCs w:val="16"/>
                <w:color w:val="auto"/>
              </w:rPr>
              <w:t>1.63%</w:t>
            </w:r>
          </w:p>
        </w:tc>
        <w:tc>
          <w:tcPr>
            <w:tcW w:w="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6"/>
                <w:szCs w:val="16"/>
                <w:color w:val="auto"/>
              </w:rPr>
              <w:t>1.45%</w:t>
            </w: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gridSpan w:val="2"/>
          </w:tcPr>
          <w:p>
            <w:pPr>
              <w:jc w:val="right"/>
              <w:spacing w:after="0"/>
              <w:rPr>
                <w:sz w:val="20"/>
                <w:szCs w:val="20"/>
                <w:color w:val="auto"/>
              </w:rPr>
            </w:pPr>
            <w:r>
              <w:rPr>
                <w:rFonts w:ascii="Arial" w:cs="Arial" w:eastAsia="Arial" w:hAnsi="Arial"/>
                <w:sz w:val="16"/>
                <w:szCs w:val="16"/>
                <w:color w:val="auto"/>
              </w:rPr>
              <w:t>1.71%</w:t>
            </w:r>
          </w:p>
        </w:tc>
        <w:tc>
          <w:tcPr>
            <w:tcW w:w="0" w:type="dxa"/>
            <w:vAlign w:val="bottom"/>
          </w:tcPr>
          <w:p>
            <w:pPr>
              <w:spacing w:after="0"/>
              <w:rPr>
                <w:sz w:val="1"/>
                <w:szCs w:val="1"/>
                <w:color w:val="auto"/>
              </w:rPr>
            </w:pPr>
          </w:p>
        </w:tc>
      </w:tr>
      <w:tr>
        <w:trPr>
          <w:trHeight w:val="203"/>
        </w:trPr>
        <w:tc>
          <w:tcPr>
            <w:tcW w:w="5080" w:type="dxa"/>
            <w:vAlign w:val="bottom"/>
            <w:shd w:val="clear" w:color="auto" w:fill="CCEEFF"/>
          </w:tcPr>
          <w:p>
            <w:pPr>
              <w:spacing w:after="0"/>
              <w:rPr>
                <w:sz w:val="20"/>
                <w:szCs w:val="20"/>
                <w:color w:val="auto"/>
              </w:rPr>
            </w:pPr>
            <w:r>
              <w:rPr>
                <w:rFonts w:ascii="Arial" w:cs="Arial" w:eastAsia="Arial" w:hAnsi="Arial"/>
                <w:sz w:val="16"/>
                <w:szCs w:val="16"/>
                <w:color w:val="auto"/>
              </w:rPr>
              <w:t>Charge-offs to average Loan Portfolio</w:t>
            </w:r>
          </w:p>
        </w:tc>
        <w:tc>
          <w:tcPr>
            <w:tcW w:w="40" w:type="dxa"/>
            <w:vAlign w:val="bottom"/>
            <w:shd w:val="clear" w:color="auto" w:fill="CCEEFF"/>
          </w:tcPr>
          <w:p>
            <w:pPr>
              <w:spacing w:after="0"/>
              <w:rPr>
                <w:sz w:val="17"/>
                <w:szCs w:val="17"/>
                <w:color w:val="auto"/>
              </w:rPr>
            </w:pPr>
          </w:p>
        </w:tc>
        <w:tc>
          <w:tcPr>
            <w:tcW w:w="660" w:type="dxa"/>
            <w:vAlign w:val="bottom"/>
            <w:shd w:val="clear" w:color="auto" w:fill="CCEEFF"/>
          </w:tcPr>
          <w:p>
            <w:pPr>
              <w:spacing w:after="0"/>
              <w:rPr>
                <w:sz w:val="17"/>
                <w:szCs w:val="17"/>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1.16%</w:t>
            </w: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0.04%</w:t>
            </w:r>
          </w:p>
        </w:tc>
        <w:tc>
          <w:tcPr>
            <w:tcW w:w="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0.75%</w:t>
            </w:r>
          </w:p>
        </w:tc>
        <w:tc>
          <w:tcPr>
            <w:tcW w:w="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0.61%</w:t>
            </w: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0.29%</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8" w:name="page69"/>
    <w:bookmarkEnd w:id="68"/>
    <w:p>
      <w:pPr>
        <w:jc w:val="both"/>
        <w:spacing w:after="0" w:line="301" w:lineRule="auto"/>
        <w:rPr>
          <w:sz w:val="20"/>
          <w:szCs w:val="20"/>
          <w:color w:val="auto"/>
        </w:rPr>
      </w:pPr>
      <w:r>
        <w:rPr>
          <w:rFonts w:ascii="Arial" w:cs="Arial" w:eastAsia="Arial" w:hAnsi="Arial"/>
          <w:sz w:val="16"/>
          <w:szCs w:val="16"/>
          <w:color w:val="auto"/>
        </w:rPr>
        <w:t>The total credit allowance for losses amounted to $44.6 million as of December 31, 2020, representing 0.75% of the total Credit Portfolio, compared to $102.5 million and 1.56%, respectively, as of December 31, 2019, and $104.4 million and 1.63%, respectively, as of December 31, 2018. The $57.9 million year-over-year decrease in 2020 was mainly associated with the sale of a former credit-impaired loan in Stage 3 and watchlist loan in Stage 2, totaling $56 million in write-offs against previously constituted reserves, coupled with the Bank’s improved mix of its Credit Portfolio exposure.</w:t>
      </w:r>
    </w:p>
    <w:p>
      <w:pPr>
        <w:spacing w:after="0" w:line="157"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 sets forth information regarding the Bank’s allowance for losses allocated by country of exposure as of the dates indicated:</w:t>
      </w:r>
    </w:p>
    <w:p>
      <w:pPr>
        <w:spacing w:after="0" w:line="174"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5"/>
          </w:tcPr>
          <w:p>
            <w:pPr>
              <w:ind w:left="100"/>
              <w:spacing w:after="0"/>
              <w:rPr>
                <w:sz w:val="20"/>
                <w:szCs w:val="20"/>
                <w:color w:val="auto"/>
              </w:rPr>
            </w:pPr>
            <w:r>
              <w:rPr>
                <w:rFonts w:ascii="Arial" w:cs="Arial" w:eastAsia="Arial" w:hAnsi="Arial"/>
                <w:sz w:val="14"/>
                <w:szCs w:val="14"/>
                <w:b w:val="1"/>
                <w:bCs w:val="1"/>
                <w:color w:val="auto"/>
              </w:rPr>
              <w:t>As of December 31,</w:t>
            </w: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r>
      <w:tr>
        <w:trPr>
          <w:trHeight w:val="156"/>
        </w:trPr>
        <w:tc>
          <w:tcPr>
            <w:tcW w:w="2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2020</w:t>
            </w:r>
          </w:p>
        </w:tc>
        <w:tc>
          <w:tcPr>
            <w:tcW w:w="52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2019</w:t>
            </w:r>
          </w:p>
        </w:tc>
        <w:tc>
          <w:tcPr>
            <w:tcW w:w="5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2018</w:t>
            </w:r>
          </w:p>
        </w:tc>
        <w:tc>
          <w:tcPr>
            <w:tcW w:w="50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2017</w:t>
            </w:r>
          </w:p>
        </w:tc>
        <w:tc>
          <w:tcPr>
            <w:tcW w:w="5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2016</w:t>
            </w:r>
          </w:p>
        </w:tc>
        <w:tc>
          <w:tcPr>
            <w:tcW w:w="5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r>
      <w:tr>
        <w:trPr>
          <w:trHeight w:val="155"/>
        </w:trPr>
        <w:tc>
          <w:tcPr>
            <w:tcW w:w="2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9"/>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9"/>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ind w:left="100"/>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jc w:val="right"/>
              <w:ind w:right="189"/>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9"/>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9"/>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r>
      <w:tr>
        <w:trPr>
          <w:trHeight w:val="291"/>
        </w:trPr>
        <w:tc>
          <w:tcPr>
            <w:tcW w:w="2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320" w:type="dxa"/>
            <w:vAlign w:val="bottom"/>
            <w:gridSpan w:val="3"/>
          </w:tcPr>
          <w:p>
            <w:pPr>
              <w:jc w:val="right"/>
              <w:spacing w:after="0"/>
              <w:rPr>
                <w:sz w:val="20"/>
                <w:szCs w:val="20"/>
                <w:color w:val="auto"/>
              </w:rPr>
            </w:pPr>
            <w:r>
              <w:rPr>
                <w:rFonts w:ascii="Arial" w:cs="Arial" w:eastAsia="Arial" w:hAnsi="Arial"/>
                <w:sz w:val="14"/>
                <w:szCs w:val="14"/>
                <w:color w:val="auto"/>
              </w:rPr>
              <w:t>(in $</w:t>
            </w:r>
          </w:p>
        </w:tc>
        <w:tc>
          <w:tcPr>
            <w:tcW w:w="1720" w:type="dxa"/>
            <w:vAlign w:val="bottom"/>
            <w:gridSpan w:val="5"/>
          </w:tcPr>
          <w:p>
            <w:pPr>
              <w:jc w:val="right"/>
              <w:spacing w:after="0"/>
              <w:rPr>
                <w:sz w:val="20"/>
                <w:szCs w:val="20"/>
                <w:color w:val="auto"/>
              </w:rPr>
            </w:pPr>
            <w:r>
              <w:rPr>
                <w:rFonts w:ascii="Arial" w:cs="Arial" w:eastAsia="Arial" w:hAnsi="Arial"/>
                <w:sz w:val="14"/>
                <w:szCs w:val="14"/>
                <w:color w:val="auto"/>
                <w:w w:val="91"/>
              </w:rPr>
              <w:t>millions, except percentages)</w:t>
            </w: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148"/>
        </w:trPr>
        <w:tc>
          <w:tcPr>
            <w:tcW w:w="2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Allowance for loan losses</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Argentina</w:t>
            </w:r>
          </w:p>
        </w:tc>
        <w:tc>
          <w:tcPr>
            <w:tcW w:w="20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15.6</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37.9</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13.1</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13.2</w:t>
            </w:r>
          </w:p>
        </w:tc>
        <w:tc>
          <w:tcPr>
            <w:tcW w:w="1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12.1</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12.0</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6.1</w:t>
            </w: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7.3</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6.9</w:t>
            </w:r>
          </w:p>
        </w:tc>
      </w:tr>
      <w:tr>
        <w:trPr>
          <w:trHeight w:val="149"/>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8.7</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58.8</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59.2</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57.0</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56.5</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42.4</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52.1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49.1</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46.4</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0.6</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0.4</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0.4</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0.2</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0.6</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0.7</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1.1</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8.7</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2.3</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2.3</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3.7</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3.5</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4.3</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6.7</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6.3</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Costa Rica</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7.3</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4.4</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4.4</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6.4</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6.4</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1.6</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0.5</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0.6</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0.6</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4.6</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4.3</w:t>
            </w:r>
          </w:p>
        </w:tc>
      </w:tr>
      <w:tr>
        <w:trPr>
          <w:trHeight w:val="149"/>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Ecuador</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2.9</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5.3</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5.3</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5.4</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5.4</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3.3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2.3</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2.2</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El Salvador</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3.4</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1.9</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2.6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1.6</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2.5</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2.3</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1.5</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3.6</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1.6</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1.6</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1.6</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3.3</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1.1</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4.7</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4.7</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7.6</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1.6</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0.8</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1.9</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1.2</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0.7</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0.7</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0.5</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0.1</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5.8</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0.8</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0.8</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0.7</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6.7</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6.3</w:t>
            </w:r>
          </w:p>
        </w:tc>
      </w:tr>
      <w:tr>
        <w:trPr>
          <w:trHeight w:val="149"/>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Nicaragua</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0.9</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0.8</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5.2</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12.6</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2.7</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9.8</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9.3</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Paraguay</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0.5</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1.2</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0.6</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0.6</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0.9</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0.9</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4.8</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5.9</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6.4</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6.0</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Uruguay</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2.1</w:t>
            </w:r>
          </w:p>
        </w:tc>
      </w:tr>
      <w:tr>
        <w:trPr>
          <w:trHeight w:val="203"/>
        </w:trPr>
        <w:tc>
          <w:tcPr>
            <w:tcW w:w="2240" w:type="dxa"/>
            <w:vAlign w:val="bottom"/>
          </w:tcPr>
          <w:p>
            <w:pPr>
              <w:ind w:left="180"/>
              <w:spacing w:after="0" w:line="202" w:lineRule="exact"/>
              <w:rPr>
                <w:sz w:val="20"/>
                <w:szCs w:val="20"/>
                <w:color w:val="auto"/>
              </w:rPr>
            </w:pPr>
            <w:r>
              <w:rPr>
                <w:rFonts w:ascii="Arial" w:cs="Arial" w:eastAsia="Arial" w:hAnsi="Arial"/>
                <w:sz w:val="14"/>
                <w:szCs w:val="14"/>
                <w:color w:val="auto"/>
              </w:rPr>
              <w:t xml:space="preserve">Other </w:t>
            </w:r>
            <w:r>
              <w:rPr>
                <w:rFonts w:ascii="Arial" w:cs="Arial" w:eastAsia="Arial" w:hAnsi="Arial"/>
                <w:sz w:val="23"/>
                <w:szCs w:val="23"/>
                <w:color w:val="auto"/>
                <w:vertAlign w:val="superscript"/>
              </w:rPr>
              <w:t>(1)</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0.9</w:t>
            </w:r>
          </w:p>
        </w:tc>
        <w:tc>
          <w:tcPr>
            <w:tcW w:w="140" w:type="dxa"/>
            <w:vAlign w:val="bottom"/>
          </w:tcPr>
          <w:p>
            <w:pPr>
              <w:spacing w:after="0"/>
              <w:rPr>
                <w:sz w:val="17"/>
                <w:szCs w:val="17"/>
                <w:color w:val="auto"/>
              </w:rPr>
            </w:pPr>
          </w:p>
        </w:tc>
        <w:tc>
          <w:tcPr>
            <w:tcW w:w="780" w:type="dxa"/>
            <w:vAlign w:val="bottom"/>
            <w:gridSpan w:val="2"/>
          </w:tcPr>
          <w:p>
            <w:pPr>
              <w:jc w:val="right"/>
              <w:ind w:right="188"/>
              <w:spacing w:after="0"/>
              <w:rPr>
                <w:sz w:val="20"/>
                <w:szCs w:val="20"/>
                <w:color w:val="auto"/>
              </w:rPr>
            </w:pPr>
            <w:r>
              <w:rPr>
                <w:rFonts w:ascii="Arial" w:cs="Arial" w:eastAsia="Arial" w:hAnsi="Arial"/>
                <w:sz w:val="14"/>
                <w:szCs w:val="14"/>
                <w:color w:val="auto"/>
              </w:rPr>
              <w:t>2.3</w:t>
            </w:r>
          </w:p>
        </w:tc>
        <w:tc>
          <w:tcPr>
            <w:tcW w:w="120" w:type="dxa"/>
            <w:vAlign w:val="bottom"/>
          </w:tcPr>
          <w:p>
            <w:pPr>
              <w:spacing w:after="0"/>
              <w:rPr>
                <w:sz w:val="17"/>
                <w:szCs w:val="17"/>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0.9</w:t>
            </w:r>
          </w:p>
        </w:tc>
        <w:tc>
          <w:tcPr>
            <w:tcW w:w="16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1.0</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4"/>
                <w:szCs w:val="14"/>
                <w:color w:val="auto"/>
              </w:rPr>
              <w:t>1.0</w:t>
            </w:r>
          </w:p>
        </w:tc>
        <w:tc>
          <w:tcPr>
            <w:tcW w:w="160" w:type="dxa"/>
            <w:vAlign w:val="bottom"/>
          </w:tcPr>
          <w:p>
            <w:pPr>
              <w:spacing w:after="0"/>
              <w:rPr>
                <w:sz w:val="17"/>
                <w:szCs w:val="17"/>
                <w:color w:val="auto"/>
              </w:rPr>
            </w:pPr>
          </w:p>
        </w:tc>
        <w:tc>
          <w:tcPr>
            <w:tcW w:w="760" w:type="dxa"/>
            <w:vAlign w:val="bottom"/>
            <w:gridSpan w:val="2"/>
          </w:tcPr>
          <w:p>
            <w:pPr>
              <w:jc w:val="right"/>
              <w:ind w:right="188"/>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1.2</w:t>
            </w:r>
          </w:p>
        </w:tc>
        <w:tc>
          <w:tcPr>
            <w:tcW w:w="14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1.4</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1.7</w:t>
            </w:r>
          </w:p>
        </w:tc>
        <w:tc>
          <w:tcPr>
            <w:tcW w:w="14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1.6</w:t>
            </w:r>
          </w:p>
        </w:tc>
      </w:tr>
      <w:tr>
        <w:trPr>
          <w:trHeight w:val="156"/>
        </w:trPr>
        <w:tc>
          <w:tcPr>
            <w:tcW w:w="22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Allowance for loan losses</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41.2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48"/>
              <w:spacing w:after="0" w:line="155" w:lineRule="exact"/>
              <w:rPr>
                <w:sz w:val="20"/>
                <w:szCs w:val="20"/>
                <w:color w:val="auto"/>
              </w:rPr>
            </w:pPr>
            <w:r>
              <w:rPr>
                <w:rFonts w:ascii="Arial" w:cs="Arial" w:eastAsia="Arial" w:hAnsi="Arial"/>
                <w:sz w:val="14"/>
                <w:szCs w:val="14"/>
                <w:b w:val="1"/>
                <w:bCs w:val="1"/>
                <w:color w:val="auto"/>
                <w:w w:val="96"/>
              </w:rPr>
              <w:t>%</w:t>
            </w: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99.3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rPr>
                <w:sz w:val="13"/>
                <w:szCs w:val="13"/>
                <w:color w:val="auto"/>
              </w:rPr>
            </w:pPr>
          </w:p>
        </w:tc>
        <w:tc>
          <w:tcPr>
            <w:tcW w:w="5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28"/>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81.3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106.0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r>
      <w:tr>
        <w:trPr>
          <w:trHeight w:val="20"/>
        </w:trPr>
        <w:tc>
          <w:tcPr>
            <w:tcW w:w="2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129"/>
        </w:trPr>
        <w:tc>
          <w:tcPr>
            <w:tcW w:w="2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00" w:type="dxa"/>
            <w:vAlign w:val="bottom"/>
          </w:tcPr>
          <w:p>
            <w:pPr>
              <w:spacing w:after="0"/>
              <w:rPr>
                <w:sz w:val="11"/>
                <w:szCs w:val="11"/>
                <w:color w:val="auto"/>
              </w:rPr>
            </w:pPr>
          </w:p>
        </w:tc>
      </w:tr>
      <w:tr>
        <w:trPr>
          <w:trHeight w:val="126"/>
        </w:trPr>
        <w:tc>
          <w:tcPr>
            <w:tcW w:w="2240" w:type="dxa"/>
            <w:vAlign w:val="bottom"/>
            <w:shd w:val="clear" w:color="auto" w:fill="CCEEFF"/>
          </w:tcPr>
          <w:p>
            <w:pPr>
              <w:spacing w:after="0" w:line="126" w:lineRule="exact"/>
              <w:rPr>
                <w:sz w:val="20"/>
                <w:szCs w:val="20"/>
                <w:color w:val="auto"/>
              </w:rPr>
            </w:pPr>
            <w:r>
              <w:rPr>
                <w:rFonts w:ascii="Arial" w:cs="Arial" w:eastAsia="Arial" w:hAnsi="Arial"/>
                <w:sz w:val="14"/>
                <w:szCs w:val="14"/>
                <w:b w:val="1"/>
                <w:bCs w:val="1"/>
                <w:color w:val="auto"/>
              </w:rPr>
              <w:t>Allowance for loan commitments</w:t>
            </w:r>
          </w:p>
        </w:tc>
        <w:tc>
          <w:tcPr>
            <w:tcW w:w="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r>
      <w:tr>
        <w:trPr>
          <w:trHeight w:val="148"/>
        </w:trPr>
        <w:tc>
          <w:tcPr>
            <w:tcW w:w="22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and financial guarantee contract</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r>
      <w:tr>
        <w:trPr>
          <w:trHeight w:val="171"/>
        </w:trPr>
        <w:tc>
          <w:tcPr>
            <w:tcW w:w="22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losses</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r>
      <w:tr>
        <w:trPr>
          <w:trHeight w:val="149"/>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Argentina</w:t>
            </w:r>
          </w:p>
        </w:tc>
        <w:tc>
          <w:tcPr>
            <w:tcW w:w="20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1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2.9</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1.1</w:t>
            </w: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0.2</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6.9</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0.1</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3.0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5.5</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80.8</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82.2</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Ecuador</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37.9</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1.7</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54.6</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2.2</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68.1</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15.4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0.8</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13.2</w:t>
            </w:r>
          </w:p>
        </w:tc>
      </w:tr>
      <w:tr>
        <w:trPr>
          <w:trHeight w:val="203"/>
        </w:trPr>
        <w:tc>
          <w:tcPr>
            <w:tcW w:w="2240" w:type="dxa"/>
            <w:vAlign w:val="bottom"/>
            <w:shd w:val="clear" w:color="auto" w:fill="CCEEFF"/>
          </w:tcPr>
          <w:p>
            <w:pPr>
              <w:ind w:left="180"/>
              <w:spacing w:after="0" w:line="202" w:lineRule="exact"/>
              <w:rPr>
                <w:sz w:val="20"/>
                <w:szCs w:val="20"/>
                <w:color w:val="auto"/>
              </w:rPr>
            </w:pPr>
            <w:r>
              <w:rPr>
                <w:rFonts w:ascii="Arial" w:cs="Arial" w:eastAsia="Arial" w:hAnsi="Arial"/>
                <w:sz w:val="14"/>
                <w:szCs w:val="14"/>
                <w:color w:val="auto"/>
              </w:rPr>
              <w:t xml:space="preserve">Other </w:t>
            </w:r>
            <w:r>
              <w:rPr>
                <w:rFonts w:ascii="Arial" w:cs="Arial" w:eastAsia="Arial" w:hAnsi="Arial"/>
                <w:sz w:val="23"/>
                <w:szCs w:val="23"/>
                <w:color w:val="auto"/>
                <w:vertAlign w:val="superscript"/>
              </w:rPr>
              <w:t>(1)</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1.6</w:t>
            </w:r>
          </w:p>
        </w:tc>
        <w:tc>
          <w:tcPr>
            <w:tcW w:w="14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55.2</w:t>
            </w:r>
          </w:p>
        </w:tc>
        <w:tc>
          <w:tcPr>
            <w:tcW w:w="120" w:type="dxa"/>
            <w:vAlign w:val="bottom"/>
            <w:shd w:val="clear" w:color="auto" w:fill="CCEEFF"/>
          </w:tcPr>
          <w:p>
            <w:pPr>
              <w:spacing w:after="0"/>
              <w:rPr>
                <w:sz w:val="17"/>
                <w:szCs w:val="17"/>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w:t>
            </w:r>
          </w:p>
        </w:tc>
        <w:tc>
          <w:tcPr>
            <w:tcW w:w="16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42.4</w:t>
            </w: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0.9</w:t>
            </w:r>
          </w:p>
        </w:tc>
        <w:tc>
          <w:tcPr>
            <w:tcW w:w="16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26.3</w:t>
            </w:r>
          </w:p>
        </w:tc>
        <w:tc>
          <w:tcPr>
            <w:tcW w:w="12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0.1</w:t>
            </w:r>
          </w:p>
        </w:tc>
        <w:tc>
          <w:tcPr>
            <w:tcW w:w="14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2.7</w:t>
            </w: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0.3</w:t>
            </w:r>
          </w:p>
        </w:tc>
        <w:tc>
          <w:tcPr>
            <w:tcW w:w="14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4.6</w:t>
            </w:r>
          </w:p>
        </w:tc>
      </w:tr>
      <w:tr>
        <w:trPr>
          <w:trHeight w:val="106"/>
        </w:trPr>
        <w:tc>
          <w:tcPr>
            <w:tcW w:w="2240" w:type="dxa"/>
            <w:vAlign w:val="bottom"/>
          </w:tcPr>
          <w:p>
            <w:pPr>
              <w:spacing w:after="0" w:line="106" w:lineRule="exact"/>
              <w:rPr>
                <w:sz w:val="20"/>
                <w:szCs w:val="20"/>
                <w:color w:val="auto"/>
              </w:rPr>
            </w:pPr>
            <w:r>
              <w:rPr>
                <w:rFonts w:ascii="Arial" w:cs="Arial" w:eastAsia="Arial" w:hAnsi="Arial"/>
                <w:sz w:val="12"/>
                <w:szCs w:val="12"/>
                <w:b w:val="1"/>
                <w:bCs w:val="1"/>
                <w:color w:val="auto"/>
              </w:rPr>
              <w:t>Total allowance for loan</w:t>
            </w:r>
          </w:p>
        </w:tc>
        <w:tc>
          <w:tcPr>
            <w:tcW w:w="8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40" w:type="dxa"/>
            <w:vAlign w:val="bottom"/>
          </w:tcPr>
          <w:p>
            <w:pPr>
              <w:spacing w:after="0"/>
              <w:rPr>
                <w:sz w:val="9"/>
                <w:szCs w:val="9"/>
                <w:color w:val="auto"/>
              </w:rPr>
            </w:pPr>
          </w:p>
        </w:tc>
        <w:tc>
          <w:tcPr>
            <w:tcW w:w="80" w:type="dxa"/>
            <w:vAlign w:val="bottom"/>
            <w:tcBorders>
              <w:top w:val="single" w:sz="8" w:color="auto"/>
            </w:tcBorders>
          </w:tcPr>
          <w:p>
            <w:pPr>
              <w:spacing w:after="0"/>
              <w:rPr>
                <w:sz w:val="9"/>
                <w:szCs w:val="9"/>
                <w:color w:val="auto"/>
              </w:rPr>
            </w:pPr>
          </w:p>
        </w:tc>
        <w:tc>
          <w:tcPr>
            <w:tcW w:w="58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500" w:type="dxa"/>
            <w:vAlign w:val="bottom"/>
            <w:tcBorders>
              <w:top w:val="single" w:sz="8" w:color="auto"/>
            </w:tcBorders>
          </w:tcPr>
          <w:p>
            <w:pPr>
              <w:spacing w:after="0"/>
              <w:rPr>
                <w:sz w:val="9"/>
                <w:szCs w:val="9"/>
                <w:color w:val="auto"/>
              </w:rPr>
            </w:pPr>
          </w:p>
        </w:tc>
        <w:tc>
          <w:tcPr>
            <w:tcW w:w="26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540" w:type="dxa"/>
            <w:vAlign w:val="bottom"/>
            <w:tcBorders>
              <w:top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520" w:type="dxa"/>
            <w:vAlign w:val="bottom"/>
            <w:tcBorders>
              <w:top w:val="single" w:sz="8" w:color="auto"/>
            </w:tcBorders>
          </w:tcPr>
          <w:p>
            <w:pPr>
              <w:spacing w:after="0"/>
              <w:rPr>
                <w:sz w:val="9"/>
                <w:szCs w:val="9"/>
                <w:color w:val="auto"/>
              </w:rPr>
            </w:pPr>
          </w:p>
        </w:tc>
        <w:tc>
          <w:tcPr>
            <w:tcW w:w="200" w:type="dxa"/>
            <w:vAlign w:val="bottom"/>
          </w:tcPr>
          <w:p>
            <w:pPr>
              <w:spacing w:after="0"/>
              <w:rPr>
                <w:sz w:val="9"/>
                <w:szCs w:val="9"/>
                <w:color w:val="auto"/>
              </w:rPr>
            </w:pPr>
          </w:p>
        </w:tc>
      </w:tr>
      <w:tr>
        <w:trPr>
          <w:trHeight w:val="149"/>
        </w:trPr>
        <w:tc>
          <w:tcPr>
            <w:tcW w:w="2240" w:type="dxa"/>
            <w:vAlign w:val="bottom"/>
          </w:tcPr>
          <w:p>
            <w:pPr>
              <w:spacing w:after="0" w:line="149" w:lineRule="exact"/>
              <w:rPr>
                <w:sz w:val="20"/>
                <w:szCs w:val="20"/>
                <w:color w:val="auto"/>
              </w:rPr>
            </w:pPr>
            <w:r>
              <w:rPr>
                <w:rFonts w:ascii="Arial" w:cs="Arial" w:eastAsia="Arial" w:hAnsi="Arial"/>
                <w:sz w:val="14"/>
                <w:szCs w:val="14"/>
                <w:b w:val="1"/>
                <w:bCs w:val="1"/>
                <w:color w:val="auto"/>
              </w:rPr>
              <w:t>commitments and financial</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00" w:type="dxa"/>
            <w:vAlign w:val="bottom"/>
          </w:tcPr>
          <w:p>
            <w:pPr>
              <w:spacing w:after="0"/>
              <w:rPr>
                <w:sz w:val="12"/>
                <w:szCs w:val="12"/>
                <w:color w:val="auto"/>
              </w:rPr>
            </w:pPr>
          </w:p>
        </w:tc>
      </w:tr>
      <w:tr>
        <w:trPr>
          <w:trHeight w:val="238"/>
        </w:trPr>
        <w:tc>
          <w:tcPr>
            <w:tcW w:w="2240" w:type="dxa"/>
            <w:vAlign w:val="bottom"/>
          </w:tcPr>
          <w:p>
            <w:pPr>
              <w:spacing w:after="0"/>
              <w:rPr>
                <w:sz w:val="20"/>
                <w:szCs w:val="20"/>
                <w:color w:val="auto"/>
              </w:rPr>
            </w:pPr>
            <w:r>
              <w:rPr>
                <w:rFonts w:ascii="Arial" w:cs="Arial" w:eastAsia="Arial" w:hAnsi="Arial"/>
                <w:sz w:val="14"/>
                <w:szCs w:val="14"/>
                <w:b w:val="1"/>
                <w:bCs w:val="1"/>
                <w:color w:val="auto"/>
              </w:rPr>
              <w:t>guarantee contract losses</w:t>
            </w:r>
          </w:p>
        </w:tc>
        <w:tc>
          <w:tcPr>
            <w:tcW w:w="200" w:type="dxa"/>
            <w:vAlign w:val="bottom"/>
            <w:gridSpan w:val="2"/>
          </w:tcPr>
          <w:p>
            <w:pPr>
              <w:jc w:val="right"/>
              <w:ind w:right="9"/>
              <w:spacing w:after="0"/>
              <w:rPr>
                <w:sz w:val="20"/>
                <w:szCs w:val="20"/>
                <w:color w:val="auto"/>
              </w:rPr>
            </w:pPr>
            <w:r>
              <w:rPr>
                <w:rFonts w:ascii="Arial" w:cs="Arial" w:eastAsia="Arial" w:hAnsi="Arial"/>
                <w:sz w:val="14"/>
                <w:szCs w:val="14"/>
                <w:b w:val="1"/>
                <w:bCs w:val="1"/>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2.9</w:t>
            </w:r>
          </w:p>
        </w:tc>
        <w:tc>
          <w:tcPr>
            <w:tcW w:w="140" w:type="dxa"/>
            <w:vAlign w:val="bottom"/>
          </w:tcPr>
          <w:p>
            <w:pPr>
              <w:spacing w:after="0"/>
              <w:rPr>
                <w:sz w:val="20"/>
                <w:szCs w:val="20"/>
                <w:color w:val="auto"/>
              </w:rPr>
            </w:pPr>
          </w:p>
        </w:tc>
        <w:tc>
          <w:tcPr>
            <w:tcW w:w="780" w:type="dxa"/>
            <w:vAlign w:val="bottom"/>
            <w:gridSpan w:val="2"/>
          </w:tcPr>
          <w:p>
            <w:pPr>
              <w:jc w:val="right"/>
              <w:ind w:right="48"/>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3.0</w:t>
            </w:r>
          </w:p>
        </w:tc>
        <w:tc>
          <w:tcPr>
            <w:tcW w:w="160" w:type="dxa"/>
            <w:vAlign w:val="bottom"/>
          </w:tcPr>
          <w:p>
            <w:pPr>
              <w:spacing w:after="0"/>
              <w:rPr>
                <w:sz w:val="20"/>
                <w:szCs w:val="20"/>
                <w:color w:val="auto"/>
              </w:rPr>
            </w:pPr>
          </w:p>
        </w:tc>
        <w:tc>
          <w:tcPr>
            <w:tcW w:w="720" w:type="dxa"/>
            <w:vAlign w:val="bottom"/>
            <w:gridSpan w:val="2"/>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gridSpan w:val="2"/>
          </w:tcPr>
          <w:p>
            <w:pPr>
              <w:jc w:val="right"/>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3.3</w:t>
            </w:r>
          </w:p>
        </w:tc>
        <w:tc>
          <w:tcPr>
            <w:tcW w:w="160" w:type="dxa"/>
            <w:vAlign w:val="bottom"/>
          </w:tcPr>
          <w:p>
            <w:pPr>
              <w:spacing w:after="0"/>
              <w:rPr>
                <w:sz w:val="20"/>
                <w:szCs w:val="20"/>
                <w:color w:val="auto"/>
              </w:rPr>
            </w:pPr>
          </w:p>
        </w:tc>
        <w:tc>
          <w:tcPr>
            <w:tcW w:w="760" w:type="dxa"/>
            <w:vAlign w:val="bottom"/>
            <w:gridSpan w:val="2"/>
          </w:tcPr>
          <w:p>
            <w:pPr>
              <w:jc w:val="right"/>
              <w:ind w:right="28"/>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tcPr>
          <w:p>
            <w:pPr>
              <w:jc w:val="right"/>
              <w:spacing w:after="0"/>
              <w:rPr>
                <w:sz w:val="20"/>
                <w:szCs w:val="20"/>
                <w:color w:val="auto"/>
              </w:rPr>
            </w:pPr>
            <w:r>
              <w:rPr>
                <w:rFonts w:ascii="Arial" w:cs="Arial" w:eastAsia="Arial" w:hAnsi="Arial"/>
                <w:sz w:val="14"/>
                <w:szCs w:val="14"/>
                <w:b w:val="1"/>
                <w:bCs w:val="1"/>
                <w:color w:val="auto"/>
                <w:w w:val="76"/>
              </w:rPr>
              <w:t>$</w:t>
            </w:r>
          </w:p>
        </w:tc>
        <w:tc>
          <w:tcPr>
            <w:tcW w:w="76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6.8</w:t>
            </w:r>
          </w:p>
        </w:tc>
        <w:tc>
          <w:tcPr>
            <w:tcW w:w="140" w:type="dxa"/>
            <w:vAlign w:val="bottom"/>
          </w:tcPr>
          <w:p>
            <w:pPr>
              <w:spacing w:after="0"/>
              <w:rPr>
                <w:sz w:val="20"/>
                <w:szCs w:val="20"/>
                <w:color w:val="auto"/>
              </w:rPr>
            </w:pPr>
          </w:p>
        </w:tc>
        <w:tc>
          <w:tcPr>
            <w:tcW w:w="720" w:type="dxa"/>
            <w:vAlign w:val="bottom"/>
            <w:gridSpan w:val="2"/>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80" w:type="dxa"/>
            <w:vAlign w:val="bottom"/>
            <w:gridSpan w:val="2"/>
          </w:tcPr>
          <w:p>
            <w:pPr>
              <w:jc w:val="right"/>
              <w:spacing w:after="0"/>
              <w:rPr>
                <w:sz w:val="20"/>
                <w:szCs w:val="20"/>
                <w:color w:val="auto"/>
              </w:rPr>
            </w:pPr>
            <w:r>
              <w:rPr>
                <w:rFonts w:ascii="Arial" w:cs="Arial" w:eastAsia="Arial" w:hAnsi="Arial"/>
                <w:sz w:val="14"/>
                <w:szCs w:val="14"/>
                <w:b w:val="1"/>
                <w:bCs w:val="1"/>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5.8</w:t>
            </w:r>
          </w:p>
        </w:tc>
        <w:tc>
          <w:tcPr>
            <w:tcW w:w="140" w:type="dxa"/>
            <w:vAlign w:val="bottom"/>
          </w:tcPr>
          <w:p>
            <w:pPr>
              <w:spacing w:after="0"/>
              <w:rPr>
                <w:sz w:val="20"/>
                <w:szCs w:val="20"/>
                <w:color w:val="auto"/>
              </w:rPr>
            </w:pPr>
          </w:p>
        </w:tc>
        <w:tc>
          <w:tcPr>
            <w:tcW w:w="720" w:type="dxa"/>
            <w:vAlign w:val="bottom"/>
            <w:gridSpan w:val="2"/>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r>
      <w:tr>
        <w:trPr>
          <w:trHeight w:val="129"/>
        </w:trPr>
        <w:tc>
          <w:tcPr>
            <w:tcW w:w="22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spacing w:after="0"/>
              <w:rPr>
                <w:sz w:val="11"/>
                <w:szCs w:val="11"/>
                <w:color w:val="auto"/>
              </w:rPr>
            </w:pPr>
          </w:p>
        </w:tc>
        <w:tc>
          <w:tcPr>
            <w:tcW w:w="2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r>
      <w:tr>
        <w:trPr>
          <w:trHeight w:val="126"/>
        </w:trPr>
        <w:tc>
          <w:tcPr>
            <w:tcW w:w="2240" w:type="dxa"/>
            <w:vAlign w:val="bottom"/>
          </w:tcPr>
          <w:p>
            <w:pPr>
              <w:spacing w:after="0" w:line="126" w:lineRule="exact"/>
              <w:rPr>
                <w:sz w:val="20"/>
                <w:szCs w:val="20"/>
                <w:color w:val="auto"/>
              </w:rPr>
            </w:pPr>
            <w:r>
              <w:rPr>
                <w:rFonts w:ascii="Arial" w:cs="Arial" w:eastAsia="Arial" w:hAnsi="Arial"/>
                <w:sz w:val="14"/>
                <w:szCs w:val="14"/>
                <w:b w:val="1"/>
                <w:bCs w:val="1"/>
                <w:color w:val="auto"/>
                <w:w w:val="96"/>
              </w:rPr>
              <w:t>Allowance for Investment Portfolio</w:t>
            </w: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200" w:type="dxa"/>
            <w:vAlign w:val="bottom"/>
          </w:tcPr>
          <w:p>
            <w:pPr>
              <w:spacing w:after="0"/>
              <w:rPr>
                <w:sz w:val="10"/>
                <w:szCs w:val="10"/>
                <w:color w:val="auto"/>
              </w:rPr>
            </w:pPr>
          </w:p>
        </w:tc>
      </w:tr>
      <w:tr>
        <w:trPr>
          <w:trHeight w:val="171"/>
        </w:trPr>
        <w:tc>
          <w:tcPr>
            <w:tcW w:w="2240" w:type="dxa"/>
            <w:vAlign w:val="bottom"/>
          </w:tcPr>
          <w:p>
            <w:pPr>
              <w:spacing w:after="0"/>
              <w:rPr>
                <w:sz w:val="20"/>
                <w:szCs w:val="20"/>
                <w:color w:val="auto"/>
              </w:rPr>
            </w:pPr>
            <w:r>
              <w:rPr>
                <w:rFonts w:ascii="Arial" w:cs="Arial" w:eastAsia="Arial" w:hAnsi="Arial"/>
                <w:sz w:val="14"/>
                <w:szCs w:val="14"/>
                <w:b w:val="1"/>
                <w:bCs w:val="1"/>
                <w:color w:val="auto"/>
              </w:rPr>
              <w:t>losses</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200" w:type="dxa"/>
            <w:vAlign w:val="bottom"/>
          </w:tcPr>
          <w:p>
            <w:pPr>
              <w:spacing w:after="0"/>
              <w:rPr>
                <w:sz w:val="14"/>
                <w:szCs w:val="14"/>
                <w:color w:val="auto"/>
              </w:rPr>
            </w:pPr>
          </w:p>
        </w:tc>
      </w:tr>
      <w:tr>
        <w:trPr>
          <w:trHeight w:val="148"/>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20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60.0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1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0.2</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66.7</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0.3</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75.0</w:t>
            </w:r>
          </w:p>
        </w:tc>
        <w:tc>
          <w:tcPr>
            <w:tcW w:w="1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0.8</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100.0</w:t>
            </w:r>
          </w:p>
        </w:tc>
      </w:tr>
      <w:tr>
        <w:trPr>
          <w:trHeight w:val="148"/>
        </w:trPr>
        <w:tc>
          <w:tcPr>
            <w:tcW w:w="2240" w:type="dxa"/>
            <w:vAlign w:val="bottom"/>
          </w:tcPr>
          <w:p>
            <w:pPr>
              <w:ind w:left="180"/>
              <w:spacing w:after="0" w:line="149" w:lineRule="exact"/>
              <w:rPr>
                <w:sz w:val="20"/>
                <w:szCs w:val="20"/>
                <w:color w:val="auto"/>
              </w:rPr>
            </w:pPr>
            <w:r>
              <w:rPr>
                <w:rFonts w:ascii="Arial" w:cs="Arial" w:eastAsia="Arial" w:hAnsi="Arial"/>
                <w:sz w:val="14"/>
                <w:szCs w:val="14"/>
                <w:color w:val="auto"/>
              </w:rPr>
              <w:t>Mexico</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20.0</w:t>
            </w: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r>
      <w:tr>
        <w:trPr>
          <w:trHeight w:val="149"/>
        </w:trPr>
        <w:tc>
          <w:tcPr>
            <w:tcW w:w="22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0.1</w:t>
            </w: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100.0</w:t>
            </w: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33.3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0.1</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25.0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r>
      <w:tr>
        <w:trPr>
          <w:trHeight w:val="203"/>
        </w:trPr>
        <w:tc>
          <w:tcPr>
            <w:tcW w:w="2240" w:type="dxa"/>
            <w:vAlign w:val="bottom"/>
          </w:tcPr>
          <w:p>
            <w:pPr>
              <w:ind w:left="180"/>
              <w:spacing w:after="0" w:line="202" w:lineRule="exact"/>
              <w:rPr>
                <w:sz w:val="20"/>
                <w:szCs w:val="20"/>
                <w:color w:val="auto"/>
              </w:rPr>
            </w:pPr>
            <w:r>
              <w:rPr>
                <w:rFonts w:ascii="Arial" w:cs="Arial" w:eastAsia="Arial" w:hAnsi="Arial"/>
                <w:sz w:val="14"/>
                <w:szCs w:val="14"/>
                <w:color w:val="auto"/>
              </w:rPr>
              <w:t xml:space="preserve">Other </w:t>
            </w:r>
            <w:r>
              <w:rPr>
                <w:rFonts w:ascii="Arial" w:cs="Arial" w:eastAsia="Arial" w:hAnsi="Arial"/>
                <w:sz w:val="23"/>
                <w:szCs w:val="23"/>
                <w:color w:val="auto"/>
                <w:vertAlign w:val="superscript"/>
              </w:rPr>
              <w:t>(1)</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0.1</w:t>
            </w:r>
          </w:p>
        </w:tc>
        <w:tc>
          <w:tcPr>
            <w:tcW w:w="140" w:type="dxa"/>
            <w:vAlign w:val="bottom"/>
          </w:tcPr>
          <w:p>
            <w:pPr>
              <w:spacing w:after="0"/>
              <w:rPr>
                <w:sz w:val="17"/>
                <w:szCs w:val="17"/>
                <w:color w:val="auto"/>
              </w:rPr>
            </w:pPr>
          </w:p>
        </w:tc>
        <w:tc>
          <w:tcPr>
            <w:tcW w:w="780" w:type="dxa"/>
            <w:vAlign w:val="bottom"/>
            <w:gridSpan w:val="2"/>
          </w:tcPr>
          <w:p>
            <w:pPr>
              <w:jc w:val="right"/>
              <w:ind w:right="188"/>
              <w:spacing w:after="0"/>
              <w:rPr>
                <w:sz w:val="20"/>
                <w:szCs w:val="20"/>
                <w:color w:val="auto"/>
              </w:rPr>
            </w:pPr>
            <w:r>
              <w:rPr>
                <w:rFonts w:ascii="Arial" w:cs="Arial" w:eastAsia="Arial" w:hAnsi="Arial"/>
                <w:sz w:val="14"/>
                <w:szCs w:val="14"/>
                <w:color w:val="auto"/>
              </w:rPr>
              <w:t>20.0</w:t>
            </w:r>
          </w:p>
        </w:tc>
        <w:tc>
          <w:tcPr>
            <w:tcW w:w="120" w:type="dxa"/>
            <w:vAlign w:val="bottom"/>
          </w:tcPr>
          <w:p>
            <w:pPr>
              <w:spacing w:after="0"/>
              <w:rPr>
                <w:sz w:val="17"/>
                <w:szCs w:val="17"/>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0.0</w:t>
            </w:r>
          </w:p>
        </w:tc>
        <w:tc>
          <w:tcPr>
            <w:tcW w:w="16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0.0</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4"/>
                <w:szCs w:val="14"/>
                <w:color w:val="auto"/>
              </w:rPr>
              <w:t>0.0</w:t>
            </w:r>
          </w:p>
        </w:tc>
        <w:tc>
          <w:tcPr>
            <w:tcW w:w="160" w:type="dxa"/>
            <w:vAlign w:val="bottom"/>
          </w:tcPr>
          <w:p>
            <w:pPr>
              <w:spacing w:after="0"/>
              <w:rPr>
                <w:sz w:val="17"/>
                <w:szCs w:val="17"/>
                <w:color w:val="auto"/>
              </w:rPr>
            </w:pPr>
          </w:p>
        </w:tc>
        <w:tc>
          <w:tcPr>
            <w:tcW w:w="760" w:type="dxa"/>
            <w:vAlign w:val="bottom"/>
            <w:gridSpan w:val="2"/>
          </w:tcPr>
          <w:p>
            <w:pPr>
              <w:jc w:val="right"/>
              <w:ind w:right="188"/>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0.0</w:t>
            </w:r>
          </w:p>
        </w:tc>
        <w:tc>
          <w:tcPr>
            <w:tcW w:w="14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0.0</w:t>
            </w: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0.0</w:t>
            </w:r>
          </w:p>
        </w:tc>
        <w:tc>
          <w:tcPr>
            <w:tcW w:w="140" w:type="dxa"/>
            <w:vAlign w:val="bottom"/>
          </w:tcPr>
          <w:p>
            <w:pPr>
              <w:spacing w:after="0"/>
              <w:rPr>
                <w:sz w:val="17"/>
                <w:szCs w:val="17"/>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0.0</w:t>
            </w:r>
          </w:p>
        </w:tc>
      </w:tr>
      <w:tr>
        <w:trPr>
          <w:trHeight w:val="106"/>
        </w:trPr>
        <w:tc>
          <w:tcPr>
            <w:tcW w:w="2240" w:type="dxa"/>
            <w:vAlign w:val="bottom"/>
            <w:tcBorders>
              <w:top w:val="single" w:sz="8" w:color="CCEEFF"/>
            </w:tcBorders>
            <w:shd w:val="clear" w:color="auto" w:fill="CCEEFF"/>
          </w:tcPr>
          <w:p>
            <w:pPr>
              <w:ind w:left="180"/>
              <w:spacing w:after="0" w:line="106" w:lineRule="exact"/>
              <w:rPr>
                <w:sz w:val="20"/>
                <w:szCs w:val="20"/>
                <w:color w:val="auto"/>
              </w:rPr>
            </w:pPr>
            <w:r>
              <w:rPr>
                <w:rFonts w:ascii="Arial" w:cs="Arial" w:eastAsia="Arial" w:hAnsi="Arial"/>
                <w:sz w:val="12"/>
                <w:szCs w:val="12"/>
                <w:b w:val="1"/>
                <w:bCs w:val="1"/>
                <w:color w:val="auto"/>
              </w:rPr>
              <w:t>Total allowance for Investment</w:t>
            </w:r>
          </w:p>
        </w:tc>
        <w:tc>
          <w:tcPr>
            <w:tcW w:w="8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auto"/>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spacing w:after="0"/>
              <w:rPr>
                <w:sz w:val="9"/>
                <w:szCs w:val="9"/>
                <w:color w:val="auto"/>
              </w:rPr>
            </w:pPr>
          </w:p>
        </w:tc>
        <w:tc>
          <w:tcPr>
            <w:tcW w:w="26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auto"/>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58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60" w:type="dxa"/>
            <w:vAlign w:val="bottom"/>
            <w:tcBorders>
              <w:top w:val="single" w:sz="8" w:color="auto"/>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spacing w:after="0"/>
              <w:rPr>
                <w:sz w:val="9"/>
                <w:szCs w:val="9"/>
                <w:color w:val="auto"/>
              </w:rPr>
            </w:pPr>
          </w:p>
        </w:tc>
        <w:tc>
          <w:tcPr>
            <w:tcW w:w="26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auto"/>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120" w:type="dxa"/>
            <w:vAlign w:val="bottom"/>
            <w:tcBorders>
              <w:top w:val="single" w:sz="8" w:color="auto"/>
            </w:tcBorders>
            <w:shd w:val="clear" w:color="auto" w:fill="CCEEFF"/>
          </w:tcPr>
          <w:p>
            <w:pPr>
              <w:spacing w:after="0"/>
              <w:rPr>
                <w:sz w:val="9"/>
                <w:szCs w:val="9"/>
                <w:color w:val="auto"/>
              </w:rPr>
            </w:pPr>
          </w:p>
        </w:tc>
        <w:tc>
          <w:tcPr>
            <w:tcW w:w="540" w:type="dxa"/>
            <w:vAlign w:val="bottom"/>
            <w:tcBorders>
              <w:top w:val="single" w:sz="8" w:color="auto"/>
            </w:tcBorders>
            <w:shd w:val="clear" w:color="auto" w:fill="CCEEFF"/>
          </w:tcPr>
          <w:p>
            <w:pPr>
              <w:spacing w:after="0"/>
              <w:rPr>
                <w:sz w:val="9"/>
                <w:szCs w:val="9"/>
                <w:color w:val="auto"/>
              </w:rPr>
            </w:pPr>
          </w:p>
        </w:tc>
        <w:tc>
          <w:tcPr>
            <w:tcW w:w="220" w:type="dxa"/>
            <w:vAlign w:val="bottom"/>
            <w:tcBorders>
              <w:top w:val="single" w:sz="8" w:color="CCEEFF"/>
            </w:tcBorders>
            <w:shd w:val="clear" w:color="auto" w:fill="CCEEFF"/>
          </w:tcPr>
          <w:p>
            <w:pPr>
              <w:spacing w:after="0"/>
              <w:rPr>
                <w:sz w:val="9"/>
                <w:szCs w:val="9"/>
                <w:color w:val="auto"/>
              </w:rPr>
            </w:pPr>
          </w:p>
        </w:tc>
        <w:tc>
          <w:tcPr>
            <w:tcW w:w="140" w:type="dxa"/>
            <w:vAlign w:val="bottom"/>
            <w:tcBorders>
              <w:top w:val="single" w:sz="8" w:color="auto"/>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spacing w:after="0"/>
              <w:rPr>
                <w:sz w:val="9"/>
                <w:szCs w:val="9"/>
                <w:color w:val="auto"/>
              </w:rPr>
            </w:pPr>
          </w:p>
        </w:tc>
        <w:tc>
          <w:tcPr>
            <w:tcW w:w="200" w:type="dxa"/>
            <w:vAlign w:val="bottom"/>
            <w:tcBorders>
              <w:top w:val="single" w:sz="8" w:color="CCEEFF"/>
            </w:tcBorders>
            <w:shd w:val="clear" w:color="auto" w:fill="CCEEFF"/>
          </w:tcPr>
          <w:p>
            <w:pPr>
              <w:spacing w:after="0"/>
              <w:rPr>
                <w:sz w:val="9"/>
                <w:szCs w:val="9"/>
                <w:color w:val="auto"/>
              </w:rPr>
            </w:pPr>
          </w:p>
        </w:tc>
      </w:tr>
      <w:tr>
        <w:trPr>
          <w:trHeight w:val="198"/>
        </w:trPr>
        <w:tc>
          <w:tcPr>
            <w:tcW w:w="2240" w:type="dxa"/>
            <w:vAlign w:val="bottom"/>
            <w:shd w:val="clear" w:color="auto" w:fill="CCEEFF"/>
          </w:tcPr>
          <w:p>
            <w:pPr>
              <w:ind w:left="180"/>
              <w:spacing w:after="0"/>
              <w:rPr>
                <w:sz w:val="20"/>
                <w:szCs w:val="20"/>
                <w:color w:val="auto"/>
              </w:rPr>
            </w:pPr>
            <w:r>
              <w:rPr>
                <w:rFonts w:ascii="Arial" w:cs="Arial" w:eastAsia="Arial" w:hAnsi="Arial"/>
                <w:sz w:val="14"/>
                <w:szCs w:val="14"/>
                <w:b w:val="1"/>
                <w:bCs w:val="1"/>
                <w:color w:val="auto"/>
              </w:rPr>
              <w:t>Portfolio losses</w:t>
            </w:r>
          </w:p>
        </w:tc>
        <w:tc>
          <w:tcPr>
            <w:tcW w:w="20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b w:val="1"/>
                <w:bCs w:val="1"/>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0.5</w:t>
            </w:r>
          </w:p>
        </w:tc>
        <w:tc>
          <w:tcPr>
            <w:tcW w:w="140" w:type="dxa"/>
            <w:vAlign w:val="bottom"/>
            <w:shd w:val="clear" w:color="auto" w:fill="CCEEFF"/>
          </w:tcPr>
          <w:p>
            <w:pPr>
              <w:spacing w:after="0"/>
              <w:rPr>
                <w:sz w:val="17"/>
                <w:szCs w:val="17"/>
                <w:color w:val="auto"/>
              </w:rPr>
            </w:pPr>
          </w:p>
        </w:tc>
        <w:tc>
          <w:tcPr>
            <w:tcW w:w="780" w:type="dxa"/>
            <w:vAlign w:val="bottom"/>
            <w:gridSpan w:val="2"/>
            <w:shd w:val="clear" w:color="auto" w:fill="CCEEFF"/>
          </w:tcPr>
          <w:p>
            <w:pPr>
              <w:jc w:val="right"/>
              <w:ind w:right="48"/>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0.1</w:t>
            </w:r>
          </w:p>
        </w:tc>
        <w:tc>
          <w:tcPr>
            <w:tcW w:w="16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0.3</w:t>
            </w:r>
          </w:p>
        </w:tc>
        <w:tc>
          <w:tcPr>
            <w:tcW w:w="160" w:type="dxa"/>
            <w:vAlign w:val="bottom"/>
            <w:shd w:val="clear" w:color="auto" w:fill="CCEEFF"/>
          </w:tcPr>
          <w:p>
            <w:pPr>
              <w:spacing w:after="0"/>
              <w:rPr>
                <w:sz w:val="17"/>
                <w:szCs w:val="17"/>
                <w:color w:val="auto"/>
              </w:rPr>
            </w:pPr>
          </w:p>
        </w:tc>
        <w:tc>
          <w:tcPr>
            <w:tcW w:w="760" w:type="dxa"/>
            <w:vAlign w:val="bottom"/>
            <w:gridSpan w:val="2"/>
            <w:shd w:val="clear" w:color="auto" w:fill="CCEEFF"/>
          </w:tcPr>
          <w:p>
            <w:pPr>
              <w:jc w:val="right"/>
              <w:ind w:right="28"/>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w w:val="76"/>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0.4</w:t>
            </w:r>
          </w:p>
        </w:tc>
        <w:tc>
          <w:tcPr>
            <w:tcW w:w="14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0.9</w:t>
            </w:r>
          </w:p>
        </w:tc>
        <w:tc>
          <w:tcPr>
            <w:tcW w:w="14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spacing w:after="0" w:line="199" w:lineRule="exact"/>
              <w:rPr>
                <w:sz w:val="20"/>
                <w:szCs w:val="20"/>
                <w:color w:val="auto"/>
              </w:rPr>
            </w:pPr>
            <w:r>
              <w:rPr>
                <w:rFonts w:ascii="Arial" w:cs="Arial" w:eastAsia="Arial" w:hAnsi="Arial"/>
                <w:sz w:val="12"/>
                <w:szCs w:val="12"/>
                <w:b w:val="1"/>
                <w:bCs w:val="1"/>
                <w:color w:val="auto"/>
              </w:rPr>
              <w:t>100.0</w:t>
            </w:r>
            <w:r>
              <w:rPr>
                <w:rFonts w:ascii="Arial" w:cs="Arial" w:eastAsia="Arial" w:hAnsi="Arial"/>
                <w:sz w:val="22"/>
                <w:szCs w:val="22"/>
                <w:b w:val="1"/>
                <w:bCs w:val="1"/>
                <w:color w:val="auto"/>
                <w:vertAlign w:val="superscript"/>
              </w:rPr>
              <w:t>%</w:t>
            </w:r>
          </w:p>
        </w:tc>
      </w:tr>
      <w:tr>
        <w:trPr>
          <w:trHeight w:val="20"/>
        </w:trPr>
        <w:tc>
          <w:tcPr>
            <w:tcW w:w="2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r>
    </w:tbl>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69" w:name="page70"/>
    <w:bookmarkEnd w:id="69"/>
    <w:tbl>
      <w:tblPr>
        <w:tblLayout w:type="fixed"/>
        <w:tblInd w:w="0" w:type="dxa"/>
        <w:tblCellMar>
          <w:top w:w="0" w:type="dxa"/>
          <w:left w:w="0" w:type="dxa"/>
          <w:bottom w:w="0" w:type="dxa"/>
          <w:right w:w="0" w:type="dxa"/>
        </w:tblCellMar>
      </w:tblPr>
      <w:tr>
        <w:trPr>
          <w:trHeight w:val="171"/>
        </w:trPr>
        <w:tc>
          <w:tcPr>
            <w:tcW w:w="2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5"/>
          </w:tcPr>
          <w:p>
            <w:pPr>
              <w:ind w:left="100"/>
              <w:spacing w:after="0"/>
              <w:rPr>
                <w:sz w:val="20"/>
                <w:szCs w:val="20"/>
                <w:color w:val="auto"/>
              </w:rPr>
            </w:pPr>
            <w:r>
              <w:rPr>
                <w:rFonts w:ascii="Arial" w:cs="Arial" w:eastAsia="Arial" w:hAnsi="Arial"/>
                <w:sz w:val="14"/>
                <w:szCs w:val="14"/>
                <w:b w:val="1"/>
                <w:bCs w:val="1"/>
                <w:color w:val="auto"/>
              </w:rPr>
              <w:t>As of December 31,</w:t>
            </w: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r>
      <w:tr>
        <w:trPr>
          <w:trHeight w:val="156"/>
        </w:trPr>
        <w:tc>
          <w:tcPr>
            <w:tcW w:w="2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2020</w:t>
            </w:r>
          </w:p>
        </w:tc>
        <w:tc>
          <w:tcPr>
            <w:tcW w:w="50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2019</w:t>
            </w:r>
          </w:p>
        </w:tc>
        <w:tc>
          <w:tcPr>
            <w:tcW w:w="50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2018</w:t>
            </w:r>
          </w:p>
        </w:tc>
        <w:tc>
          <w:tcPr>
            <w:tcW w:w="52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2017</w:t>
            </w:r>
          </w:p>
        </w:tc>
        <w:tc>
          <w:tcPr>
            <w:tcW w:w="5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2016</w:t>
            </w:r>
          </w:p>
        </w:tc>
        <w:tc>
          <w:tcPr>
            <w:tcW w:w="52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r>
      <w:tr>
        <w:trPr>
          <w:trHeight w:val="156"/>
        </w:trPr>
        <w:tc>
          <w:tcPr>
            <w:tcW w:w="2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jc w:val="right"/>
              <w:ind w:right="168"/>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ind w:left="100"/>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140" w:type="dxa"/>
            <w:vAlign w:val="bottom"/>
          </w:tcPr>
          <w:p>
            <w:pPr>
              <w:spacing w:after="0"/>
              <w:rPr>
                <w:sz w:val="13"/>
                <w:szCs w:val="13"/>
                <w:color w:val="auto"/>
              </w:rPr>
            </w:pPr>
          </w:p>
        </w:tc>
      </w:tr>
      <w:tr>
        <w:trPr>
          <w:trHeight w:val="155"/>
        </w:trPr>
        <w:tc>
          <w:tcPr>
            <w:tcW w:w="2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340" w:type="dxa"/>
            <w:vAlign w:val="bottom"/>
            <w:gridSpan w:val="3"/>
          </w:tcPr>
          <w:p>
            <w:pPr>
              <w:jc w:val="right"/>
              <w:spacing w:after="0" w:line="155" w:lineRule="exact"/>
              <w:rPr>
                <w:sz w:val="20"/>
                <w:szCs w:val="20"/>
                <w:color w:val="auto"/>
              </w:rPr>
            </w:pPr>
            <w:r>
              <w:rPr>
                <w:rFonts w:ascii="Arial" w:cs="Arial" w:eastAsia="Arial" w:hAnsi="Arial"/>
                <w:sz w:val="14"/>
                <w:szCs w:val="14"/>
                <w:color w:val="auto"/>
              </w:rPr>
              <w:t>(in $</w:t>
            </w:r>
          </w:p>
        </w:tc>
        <w:tc>
          <w:tcPr>
            <w:tcW w:w="1720" w:type="dxa"/>
            <w:vAlign w:val="bottom"/>
            <w:gridSpan w:val="5"/>
          </w:tcPr>
          <w:p>
            <w:pPr>
              <w:jc w:val="right"/>
              <w:spacing w:after="0" w:line="155" w:lineRule="exact"/>
              <w:rPr>
                <w:sz w:val="20"/>
                <w:szCs w:val="20"/>
                <w:color w:val="auto"/>
              </w:rPr>
            </w:pPr>
            <w:r>
              <w:rPr>
                <w:rFonts w:ascii="Arial" w:cs="Arial" w:eastAsia="Arial" w:hAnsi="Arial"/>
                <w:sz w:val="14"/>
                <w:szCs w:val="14"/>
                <w:color w:val="auto"/>
                <w:w w:val="91"/>
              </w:rPr>
              <w:t>millions, except percentages)</w:t>
            </w: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40" w:type="dxa"/>
            <w:vAlign w:val="bottom"/>
          </w:tcPr>
          <w:p>
            <w:pPr>
              <w:spacing w:after="0"/>
              <w:rPr>
                <w:sz w:val="13"/>
                <w:szCs w:val="13"/>
                <w:color w:val="auto"/>
              </w:rPr>
            </w:pPr>
          </w:p>
        </w:tc>
      </w:tr>
      <w:tr>
        <w:trPr>
          <w:trHeight w:val="148"/>
        </w:trPr>
        <w:tc>
          <w:tcPr>
            <w:tcW w:w="216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w w:val="98"/>
              </w:rPr>
              <w:t>Total allowance for credit losses</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r>
      <w:tr>
        <w:trPr>
          <w:trHeight w:val="149"/>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Argentina</w:t>
            </w:r>
          </w:p>
        </w:tc>
        <w:tc>
          <w:tcPr>
            <w:tcW w:w="34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15.5</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34.9</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13.1</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12.8</w:t>
            </w:r>
          </w:p>
        </w:tc>
        <w:tc>
          <w:tcPr>
            <w:tcW w:w="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12.2</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11.7</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5.7</w:t>
            </w:r>
          </w:p>
        </w:tc>
        <w:tc>
          <w:tcPr>
            <w:tcW w:w="180" w:type="dxa"/>
            <w:vAlign w:val="bottom"/>
            <w:gridSpan w:val="2"/>
          </w:tcPr>
          <w:p>
            <w:pPr>
              <w:jc w:val="right"/>
              <w:ind w:right="9"/>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7.3</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6.5</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4.2</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9.4</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59.1</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57.7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57.5</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55.1</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42.7</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48.1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49.9</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44.3</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Chile</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0.6</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0.4</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0.2</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0.2</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0.6</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0.7</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1.1</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1.0</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3.8</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8.4</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2.4</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9.1</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10.3</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11.4</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10.2</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Costa Rica</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3.8</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8.5</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6.7</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6.5</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1.9</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1.7</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1.5</w:t>
            </w:r>
          </w:p>
        </w:tc>
      </w:tr>
      <w:tr>
        <w:trPr>
          <w:trHeight w:val="149"/>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0.5</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0.6</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0.5</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4.7</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4.2</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Ecuador</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2.4</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5.3</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7.0</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6.8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7.7</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7.4</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3.1</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2.8</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El Salvador</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3.3</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2.1</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2.6</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2.2</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Guatemala</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1.7</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3.9</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1.6</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3.3</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3.8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1.0</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0.4</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0.8</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4.6</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3.2</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6.2</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1.5</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Jamaica</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0.8</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0.7</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0.7</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0.5</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0.1</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0.1</w:t>
            </w:r>
          </w:p>
        </w:tc>
      </w:tr>
      <w:tr>
        <w:trPr>
          <w:trHeight w:val="149"/>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0.8</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0.8</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0.7</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1.3</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6.8</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6.0</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Nicaragua</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2.4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0.9</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0.8</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5.3</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11.9</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3.7</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3.5</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4.2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9.9</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8.8</w:t>
            </w:r>
          </w:p>
        </w:tc>
      </w:tr>
      <w:tr>
        <w:trPr>
          <w:trHeight w:val="148"/>
        </w:trPr>
        <w:tc>
          <w:tcPr>
            <w:tcW w:w="2160" w:type="dxa"/>
            <w:vAlign w:val="bottom"/>
          </w:tcPr>
          <w:p>
            <w:pPr>
              <w:ind w:left="180"/>
              <w:spacing w:after="0" w:line="149" w:lineRule="exact"/>
              <w:rPr>
                <w:sz w:val="20"/>
                <w:szCs w:val="20"/>
                <w:color w:val="auto"/>
              </w:rPr>
            </w:pPr>
            <w:r>
              <w:rPr>
                <w:rFonts w:ascii="Arial" w:cs="Arial" w:eastAsia="Arial" w:hAnsi="Arial"/>
                <w:sz w:val="14"/>
                <w:szCs w:val="14"/>
                <w:color w:val="auto"/>
              </w:rPr>
              <w:t>Paraguay</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0.5</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1.2</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0.7</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0.7</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0.9</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0.8</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4.8</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6.4</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5.6</w:t>
            </w:r>
          </w:p>
        </w:tc>
      </w:tr>
      <w:tr>
        <w:trPr>
          <w:trHeight w:val="148"/>
        </w:trPr>
        <w:tc>
          <w:tcPr>
            <w:tcW w:w="216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Uruguay</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2.2</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2.0</w:t>
            </w:r>
          </w:p>
        </w:tc>
      </w:tr>
      <w:tr>
        <w:trPr>
          <w:trHeight w:val="189"/>
        </w:trPr>
        <w:tc>
          <w:tcPr>
            <w:tcW w:w="216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1.1</w:t>
            </w:r>
          </w:p>
        </w:tc>
        <w:tc>
          <w:tcPr>
            <w:tcW w:w="160" w:type="dxa"/>
            <w:vAlign w:val="bottom"/>
          </w:tcPr>
          <w:p>
            <w:pPr>
              <w:spacing w:after="0"/>
              <w:rPr>
                <w:sz w:val="16"/>
                <w:szCs w:val="16"/>
                <w:color w:val="auto"/>
              </w:rPr>
            </w:pPr>
          </w:p>
        </w:tc>
        <w:tc>
          <w:tcPr>
            <w:tcW w:w="760" w:type="dxa"/>
            <w:vAlign w:val="bottom"/>
            <w:gridSpan w:val="2"/>
          </w:tcPr>
          <w:p>
            <w:pPr>
              <w:jc w:val="right"/>
              <w:ind w:right="188"/>
              <w:spacing w:after="0"/>
              <w:rPr>
                <w:sz w:val="20"/>
                <w:szCs w:val="20"/>
                <w:color w:val="auto"/>
              </w:rPr>
            </w:pPr>
            <w:r>
              <w:rPr>
                <w:rFonts w:ascii="Arial" w:cs="Arial" w:eastAsia="Arial" w:hAnsi="Arial"/>
                <w:sz w:val="14"/>
                <w:szCs w:val="14"/>
                <w:color w:val="auto"/>
              </w:rPr>
              <w:t>2.6</w:t>
            </w:r>
          </w:p>
        </w:tc>
        <w:tc>
          <w:tcPr>
            <w:tcW w:w="12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0.9</w:t>
            </w:r>
          </w:p>
        </w:tc>
        <w:tc>
          <w:tcPr>
            <w:tcW w:w="160" w:type="dxa"/>
            <w:vAlign w:val="bottom"/>
          </w:tcPr>
          <w:p>
            <w:pPr>
              <w:spacing w:after="0"/>
              <w:rPr>
                <w:sz w:val="16"/>
                <w:szCs w:val="16"/>
                <w:color w:val="auto"/>
              </w:rPr>
            </w:pPr>
          </w:p>
        </w:tc>
        <w:tc>
          <w:tcPr>
            <w:tcW w:w="700" w:type="dxa"/>
            <w:vAlign w:val="bottom"/>
            <w:gridSpan w:val="2"/>
          </w:tcPr>
          <w:p>
            <w:pPr>
              <w:jc w:val="right"/>
              <w:ind w:right="128"/>
              <w:spacing w:after="0"/>
              <w:rPr>
                <w:sz w:val="20"/>
                <w:szCs w:val="20"/>
                <w:color w:val="auto"/>
              </w:rPr>
            </w:pPr>
            <w:r>
              <w:rPr>
                <w:rFonts w:ascii="Arial" w:cs="Arial" w:eastAsia="Arial" w:hAnsi="Arial"/>
                <w:sz w:val="14"/>
                <w:szCs w:val="14"/>
                <w:color w:val="auto"/>
              </w:rPr>
              <w:t>0.9</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4"/>
                <w:szCs w:val="14"/>
                <w:color w:val="auto"/>
              </w:rPr>
              <w:t>1.1</w:t>
            </w:r>
          </w:p>
        </w:tc>
        <w:tc>
          <w:tcPr>
            <w:tcW w:w="140" w:type="dxa"/>
            <w:vAlign w:val="bottom"/>
          </w:tcPr>
          <w:p>
            <w:pPr>
              <w:spacing w:after="0"/>
              <w:rPr>
                <w:sz w:val="16"/>
                <w:szCs w:val="16"/>
                <w:color w:val="auto"/>
              </w:rPr>
            </w:pPr>
          </w:p>
        </w:tc>
        <w:tc>
          <w:tcPr>
            <w:tcW w:w="780" w:type="dxa"/>
            <w:vAlign w:val="bottom"/>
            <w:gridSpan w:val="2"/>
          </w:tcPr>
          <w:p>
            <w:pPr>
              <w:jc w:val="right"/>
              <w:ind w:right="188"/>
              <w:spacing w:after="0"/>
              <w:rPr>
                <w:sz w:val="20"/>
                <w:szCs w:val="20"/>
                <w:color w:val="auto"/>
              </w:rPr>
            </w:pPr>
            <w:r>
              <w:rPr>
                <w:rFonts w:ascii="Arial" w:cs="Arial" w:eastAsia="Arial" w:hAnsi="Arial"/>
                <w:sz w:val="14"/>
                <w:szCs w:val="14"/>
                <w:color w:val="auto"/>
              </w:rPr>
              <w:t>1.0</w:t>
            </w:r>
          </w:p>
        </w:tc>
        <w:tc>
          <w:tcPr>
            <w:tcW w:w="120" w:type="dxa"/>
            <w:vAlign w:val="bottom"/>
          </w:tcPr>
          <w:p>
            <w:pPr>
              <w:spacing w:after="0"/>
              <w:rPr>
                <w:sz w:val="16"/>
                <w:szCs w:val="16"/>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1.2</w:t>
            </w:r>
          </w:p>
        </w:tc>
        <w:tc>
          <w:tcPr>
            <w:tcW w:w="140" w:type="dxa"/>
            <w:vAlign w:val="bottom"/>
          </w:tcPr>
          <w:p>
            <w:pPr>
              <w:spacing w:after="0"/>
              <w:rPr>
                <w:sz w:val="16"/>
                <w:szCs w:val="16"/>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1.3</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1.8</w:t>
            </w:r>
          </w:p>
        </w:tc>
        <w:tc>
          <w:tcPr>
            <w:tcW w:w="160" w:type="dxa"/>
            <w:vAlign w:val="bottom"/>
          </w:tcPr>
          <w:p>
            <w:pPr>
              <w:spacing w:after="0"/>
              <w:rPr>
                <w:sz w:val="16"/>
                <w:szCs w:val="16"/>
                <w:color w:val="auto"/>
              </w:rPr>
            </w:pPr>
          </w:p>
        </w:tc>
        <w:tc>
          <w:tcPr>
            <w:tcW w:w="660" w:type="dxa"/>
            <w:vAlign w:val="bottom"/>
            <w:gridSpan w:val="2"/>
          </w:tcPr>
          <w:p>
            <w:pPr>
              <w:jc w:val="right"/>
              <w:ind w:right="68"/>
              <w:spacing w:after="0"/>
              <w:rPr>
                <w:sz w:val="20"/>
                <w:szCs w:val="20"/>
                <w:color w:val="auto"/>
              </w:rPr>
            </w:pPr>
            <w:r>
              <w:rPr>
                <w:rFonts w:ascii="Arial" w:cs="Arial" w:eastAsia="Arial" w:hAnsi="Arial"/>
                <w:sz w:val="14"/>
                <w:szCs w:val="14"/>
                <w:color w:val="auto"/>
              </w:rPr>
              <w:t>1.5</w:t>
            </w:r>
          </w:p>
        </w:tc>
      </w:tr>
      <w:tr>
        <w:trPr>
          <w:trHeight w:val="142"/>
        </w:trPr>
        <w:tc>
          <w:tcPr>
            <w:tcW w:w="2160" w:type="dxa"/>
            <w:vAlign w:val="bottom"/>
            <w:tcBorders>
              <w:top w:val="single" w:sz="8" w:color="CCEEFF"/>
              <w:bottom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w w:val="98"/>
              </w:rPr>
              <w:t>Total allowance for credit losses</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44.6</w:t>
            </w:r>
          </w:p>
        </w:tc>
        <w:tc>
          <w:tcPr>
            <w:tcW w:w="200" w:type="dxa"/>
            <w:vAlign w:val="bottom"/>
            <w:tcBorders>
              <w:top w:val="single" w:sz="8" w:color="CCEEFF"/>
              <w:bottom w:val="single" w:sz="8" w:color="CCEEFF"/>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spacing w:after="0"/>
              <w:rPr>
                <w:sz w:val="12"/>
                <w:szCs w:val="12"/>
                <w:color w:val="auto"/>
              </w:rPr>
            </w:pPr>
          </w:p>
        </w:tc>
        <w:tc>
          <w:tcPr>
            <w:tcW w:w="5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28"/>
              <w:spacing w:after="0" w:line="142"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102.5</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spacing w:after="0"/>
              <w:rPr>
                <w:sz w:val="12"/>
                <w:szCs w:val="12"/>
                <w:color w:val="auto"/>
              </w:rPr>
            </w:pPr>
          </w:p>
        </w:tc>
        <w:tc>
          <w:tcPr>
            <w:tcW w:w="5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96"/>
              </w:rPr>
              <w:t>%</w:t>
            </w:r>
          </w:p>
        </w:tc>
        <w:tc>
          <w:tcPr>
            <w:tcW w:w="60" w:type="dxa"/>
            <w:vAlign w:val="bottom"/>
            <w:tcBorders>
              <w:top w:val="single" w:sz="8" w:color="CCEEFF"/>
              <w:bottom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104.4</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48"/>
              <w:spacing w:after="0" w:line="142" w:lineRule="exact"/>
              <w:rPr>
                <w:sz w:val="20"/>
                <w:szCs w:val="20"/>
                <w:color w:val="auto"/>
              </w:rPr>
            </w:pPr>
            <w:r>
              <w:rPr>
                <w:rFonts w:ascii="Arial" w:cs="Arial" w:eastAsia="Arial" w:hAnsi="Arial"/>
                <w:sz w:val="14"/>
                <w:szCs w:val="14"/>
                <w:b w:val="1"/>
                <w:bCs w:val="1"/>
                <w:color w:val="auto"/>
                <w:w w:val="96"/>
              </w:rPr>
              <w:t>%</w:t>
            </w: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88.6</w:t>
            </w:r>
          </w:p>
        </w:tc>
        <w:tc>
          <w:tcPr>
            <w:tcW w:w="220" w:type="dxa"/>
            <w:vAlign w:val="bottom"/>
            <w:tcBorders>
              <w:top w:val="single" w:sz="8" w:color="CCEEFF"/>
              <w:bottom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96"/>
              </w:rPr>
              <w:t>%</w:t>
            </w:r>
          </w:p>
        </w:tc>
        <w:tc>
          <w:tcPr>
            <w:tcW w:w="60" w:type="dxa"/>
            <w:vAlign w:val="bottom"/>
            <w:tcBorders>
              <w:top w:val="single" w:sz="8" w:color="CCEEFF"/>
              <w:bottom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112.7</w:t>
            </w:r>
          </w:p>
        </w:tc>
        <w:tc>
          <w:tcPr>
            <w:tcW w:w="200" w:type="dxa"/>
            <w:vAlign w:val="bottom"/>
            <w:tcBorders>
              <w:top w:val="single" w:sz="8" w:color="CCEEFF"/>
              <w:bottom w:val="single" w:sz="8" w:color="CCEEFF"/>
            </w:tcBorders>
            <w:shd w:val="clear" w:color="auto" w:fill="CCEEFF"/>
          </w:tcPr>
          <w:p>
            <w:pPr>
              <w:spacing w:after="0"/>
              <w:rPr>
                <w:sz w:val="12"/>
                <w:szCs w:val="12"/>
                <w:color w:val="auto"/>
              </w:rPr>
            </w:pPr>
          </w:p>
        </w:tc>
        <w:tc>
          <w:tcPr>
            <w:tcW w:w="160" w:type="dxa"/>
            <w:vAlign w:val="bottom"/>
            <w:tcBorders>
              <w:top w:val="single" w:sz="8" w:color="auto"/>
              <w:bottom w:val="single" w:sz="8" w:color="auto"/>
            </w:tcBorders>
            <w:shd w:val="clear" w:color="auto" w:fill="CCEEFF"/>
          </w:tcPr>
          <w:p>
            <w:pPr>
              <w:spacing w:after="0"/>
              <w:rPr>
                <w:sz w:val="12"/>
                <w:szCs w:val="12"/>
                <w:color w:val="auto"/>
              </w:rPr>
            </w:pPr>
          </w:p>
        </w:tc>
        <w:tc>
          <w:tcPr>
            <w:tcW w:w="5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100.0</w:t>
            </w:r>
          </w:p>
        </w:tc>
        <w:tc>
          <w:tcPr>
            <w:tcW w:w="14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96"/>
              </w:rPr>
              <w:t>%</w:t>
            </w:r>
          </w:p>
        </w:tc>
      </w:tr>
      <w:tr>
        <w:trPr>
          <w:trHeight w:val="20"/>
        </w:trPr>
        <w:tc>
          <w:tcPr>
            <w:tcW w:w="2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29" w:lineRule="exact"/>
        <w:rPr>
          <w:sz w:val="20"/>
          <w:szCs w:val="20"/>
          <w:color w:val="auto"/>
        </w:rPr>
      </w:pPr>
    </w:p>
    <w:p>
      <w:pPr>
        <w:ind w:left="340" w:hanging="332"/>
        <w:spacing w:after="0" w:line="194" w:lineRule="auto"/>
        <w:tabs>
          <w:tab w:leader="none" w:pos="340" w:val="left"/>
        </w:tabs>
        <w:numPr>
          <w:ilvl w:val="0"/>
          <w:numId w:val="41"/>
        </w:numPr>
        <w:rPr>
          <w:rFonts w:ascii="Arial" w:cs="Arial" w:eastAsia="Arial" w:hAnsi="Arial"/>
          <w:sz w:val="30"/>
          <w:szCs w:val="30"/>
          <w:color w:val="auto"/>
          <w:vertAlign w:val="superscript"/>
        </w:rPr>
      </w:pPr>
      <w:r>
        <w:rPr>
          <w:rFonts w:ascii="Arial" w:cs="Arial" w:eastAsia="Arial" w:hAnsi="Arial"/>
          <w:sz w:val="18"/>
          <w:szCs w:val="18"/>
          <w:color w:val="auto"/>
        </w:rPr>
        <w:t>Other consists of allowances for credit losses allocated to countries in which total allowances for credit losses outstanding did not exceed $1 million for any of the periods.</w:t>
      </w:r>
    </w:p>
    <w:p>
      <w:pPr>
        <w:spacing w:after="0" w:line="202" w:lineRule="exact"/>
        <w:rPr>
          <w:sz w:val="20"/>
          <w:szCs w:val="20"/>
          <w:color w:val="auto"/>
        </w:rPr>
      </w:pPr>
    </w:p>
    <w:p>
      <w:pPr>
        <w:spacing w:after="0"/>
        <w:rPr>
          <w:sz w:val="20"/>
          <w:szCs w:val="20"/>
          <w:color w:val="auto"/>
        </w:rPr>
      </w:pPr>
      <w:r>
        <w:rPr>
          <w:rFonts w:ascii="Arial" w:cs="Arial" w:eastAsia="Arial" w:hAnsi="Arial"/>
          <w:sz w:val="16"/>
          <w:szCs w:val="16"/>
          <w:color w:val="auto"/>
        </w:rPr>
        <w:t>The following table sets forth information regarding the Bank’s allowance for loan losses, loan commitments and financial guarantee contract losses and</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Investment Portfolio losses, by type of borrower as of the dates indicated:</w:t>
      </w: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5"/>
          </w:tcPr>
          <w:p>
            <w:pPr>
              <w:ind w:left="100"/>
              <w:spacing w:after="0"/>
              <w:rPr>
                <w:sz w:val="20"/>
                <w:szCs w:val="20"/>
                <w:color w:val="auto"/>
              </w:rPr>
            </w:pPr>
            <w:r>
              <w:rPr>
                <w:rFonts w:ascii="Arial" w:cs="Arial" w:eastAsia="Arial" w:hAnsi="Arial"/>
                <w:sz w:val="14"/>
                <w:szCs w:val="14"/>
                <w:b w:val="1"/>
                <w:bCs w:val="1"/>
                <w:color w:val="auto"/>
              </w:rPr>
              <w:t>As of December 31,</w:t>
            </w: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r>
      <w:tr>
        <w:trPr>
          <w:trHeight w:val="156"/>
        </w:trPr>
        <w:tc>
          <w:tcPr>
            <w:tcW w:w="23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2020</w:t>
            </w:r>
          </w:p>
        </w:tc>
        <w:tc>
          <w:tcPr>
            <w:tcW w:w="50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2019</w:t>
            </w:r>
          </w:p>
        </w:tc>
        <w:tc>
          <w:tcPr>
            <w:tcW w:w="50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2018</w:t>
            </w:r>
          </w:p>
        </w:tc>
        <w:tc>
          <w:tcPr>
            <w:tcW w:w="52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2017</w:t>
            </w:r>
          </w:p>
        </w:tc>
        <w:tc>
          <w:tcPr>
            <w:tcW w:w="52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2016</w:t>
            </w:r>
          </w:p>
        </w:tc>
        <w:tc>
          <w:tcPr>
            <w:tcW w:w="52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r>
      <w:tr>
        <w:trPr>
          <w:trHeight w:val="155"/>
        </w:trPr>
        <w:tc>
          <w:tcPr>
            <w:tcW w:w="23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jc w:val="right"/>
              <w:ind w:right="168"/>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8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ind w:left="100"/>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jc w:val="right"/>
              <w:ind w:right="108"/>
              <w:spacing w:after="0" w:line="155" w:lineRule="exact"/>
              <w:rPr>
                <w:sz w:val="20"/>
                <w:szCs w:val="20"/>
                <w:color w:val="auto"/>
              </w:rPr>
            </w:pPr>
            <w:r>
              <w:rPr>
                <w:rFonts w:ascii="Arial" w:cs="Arial" w:eastAsia="Arial" w:hAnsi="Arial"/>
                <w:sz w:val="14"/>
                <w:szCs w:val="14"/>
                <w:b w:val="1"/>
                <w:bCs w:val="1"/>
                <w:color w:val="auto"/>
              </w:rPr>
              <w:t>Total</w:t>
            </w:r>
          </w:p>
        </w:tc>
        <w:tc>
          <w:tcPr>
            <w:tcW w:w="20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ind w:right="188"/>
              <w:spacing w:after="0" w:line="155" w:lineRule="exact"/>
              <w:rPr>
                <w:sz w:val="20"/>
                <w:szCs w:val="20"/>
                <w:color w:val="auto"/>
              </w:rPr>
            </w:pPr>
            <w:r>
              <w:rPr>
                <w:rFonts w:ascii="Arial" w:cs="Arial" w:eastAsia="Arial" w:hAnsi="Arial"/>
                <w:sz w:val="14"/>
                <w:szCs w:val="14"/>
                <w:b w:val="1"/>
                <w:bCs w:val="1"/>
                <w:color w:val="auto"/>
              </w:rPr>
              <w:t>%</w:t>
            </w:r>
          </w:p>
        </w:tc>
        <w:tc>
          <w:tcPr>
            <w:tcW w:w="140" w:type="dxa"/>
            <w:vAlign w:val="bottom"/>
          </w:tcPr>
          <w:p>
            <w:pPr>
              <w:spacing w:after="0"/>
              <w:rPr>
                <w:sz w:val="13"/>
                <w:szCs w:val="13"/>
                <w:color w:val="auto"/>
              </w:rPr>
            </w:pPr>
          </w:p>
        </w:tc>
      </w:tr>
      <w:tr>
        <w:trPr>
          <w:trHeight w:val="155"/>
        </w:trPr>
        <w:tc>
          <w:tcPr>
            <w:tcW w:w="23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340" w:type="dxa"/>
            <w:vAlign w:val="bottom"/>
            <w:gridSpan w:val="3"/>
          </w:tcPr>
          <w:p>
            <w:pPr>
              <w:jc w:val="right"/>
              <w:spacing w:after="0" w:line="155" w:lineRule="exact"/>
              <w:rPr>
                <w:sz w:val="20"/>
                <w:szCs w:val="20"/>
                <w:color w:val="auto"/>
              </w:rPr>
            </w:pPr>
            <w:r>
              <w:rPr>
                <w:rFonts w:ascii="Arial" w:cs="Arial" w:eastAsia="Arial" w:hAnsi="Arial"/>
                <w:sz w:val="14"/>
                <w:szCs w:val="14"/>
                <w:color w:val="auto"/>
              </w:rPr>
              <w:t>(in $</w:t>
            </w:r>
          </w:p>
        </w:tc>
        <w:tc>
          <w:tcPr>
            <w:tcW w:w="1720" w:type="dxa"/>
            <w:vAlign w:val="bottom"/>
            <w:gridSpan w:val="5"/>
          </w:tcPr>
          <w:p>
            <w:pPr>
              <w:jc w:val="right"/>
              <w:spacing w:after="0" w:line="155" w:lineRule="exact"/>
              <w:rPr>
                <w:sz w:val="20"/>
                <w:szCs w:val="20"/>
                <w:color w:val="auto"/>
              </w:rPr>
            </w:pPr>
            <w:r>
              <w:rPr>
                <w:rFonts w:ascii="Arial" w:cs="Arial" w:eastAsia="Arial" w:hAnsi="Arial"/>
                <w:sz w:val="14"/>
                <w:szCs w:val="14"/>
                <w:color w:val="auto"/>
                <w:w w:val="91"/>
              </w:rPr>
              <w:t>millions, except percentages)</w:t>
            </w: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40" w:type="dxa"/>
            <w:vAlign w:val="bottom"/>
          </w:tcPr>
          <w:p>
            <w:pPr>
              <w:spacing w:after="0"/>
              <w:rPr>
                <w:sz w:val="13"/>
                <w:szCs w:val="13"/>
                <w:color w:val="auto"/>
              </w:rPr>
            </w:pPr>
          </w:p>
        </w:tc>
      </w:tr>
      <w:tr>
        <w:trPr>
          <w:trHeight w:val="130"/>
        </w:trPr>
        <w:tc>
          <w:tcPr>
            <w:tcW w:w="23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Private sector commercial banks and</w:t>
            </w: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r>
      <w:tr>
        <w:trPr>
          <w:trHeight w:val="167"/>
        </w:trPr>
        <w:tc>
          <w:tcPr>
            <w:tcW w:w="23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Financial Institutions</w:t>
            </w:r>
          </w:p>
        </w:tc>
        <w:tc>
          <w:tcPr>
            <w:tcW w:w="1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10.5</w:t>
            </w:r>
          </w:p>
        </w:tc>
        <w:tc>
          <w:tcPr>
            <w:tcW w:w="16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23.6</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18.4</w:t>
            </w:r>
          </w:p>
        </w:tc>
        <w:tc>
          <w:tcPr>
            <w:tcW w:w="16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17.9</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19.1</w:t>
            </w:r>
          </w:p>
        </w:tc>
        <w:tc>
          <w:tcPr>
            <w:tcW w:w="1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18.3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17.4</w:t>
            </w:r>
          </w:p>
        </w:tc>
        <w:tc>
          <w:tcPr>
            <w:tcW w:w="14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19.6</w:t>
            </w:r>
          </w:p>
        </w:tc>
        <w:tc>
          <w:tcPr>
            <w:tcW w:w="180" w:type="dxa"/>
            <w:vAlign w:val="bottom"/>
            <w:gridSpan w:val="2"/>
            <w:shd w:val="clear" w:color="auto" w:fill="CCEEFF"/>
          </w:tcPr>
          <w:p>
            <w:pPr>
              <w:jc w:val="right"/>
              <w:ind w:right="9"/>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11.4</w:t>
            </w:r>
          </w:p>
        </w:tc>
        <w:tc>
          <w:tcPr>
            <w:tcW w:w="16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10.2</w:t>
            </w:r>
          </w:p>
        </w:tc>
      </w:tr>
      <w:tr>
        <w:trPr>
          <w:trHeight w:val="148"/>
        </w:trPr>
        <w:tc>
          <w:tcPr>
            <w:tcW w:w="2320" w:type="dxa"/>
            <w:vAlign w:val="bottom"/>
          </w:tcPr>
          <w:p>
            <w:pPr>
              <w:spacing w:after="0" w:line="149" w:lineRule="exact"/>
              <w:rPr>
                <w:sz w:val="20"/>
                <w:szCs w:val="20"/>
                <w:color w:val="auto"/>
              </w:rPr>
            </w:pPr>
            <w:r>
              <w:rPr>
                <w:rFonts w:ascii="Arial" w:cs="Arial" w:eastAsia="Arial" w:hAnsi="Arial"/>
                <w:sz w:val="14"/>
                <w:szCs w:val="14"/>
                <w:color w:val="auto"/>
              </w:rPr>
              <w:t>State-owned commercial banks</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3.0</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6.7</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3.5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8.8</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8.4</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3.8</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7.0</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6.2</w:t>
            </w:r>
          </w:p>
        </w:tc>
      </w:tr>
      <w:tr>
        <w:trPr>
          <w:trHeight w:val="148"/>
        </w:trPr>
        <w:tc>
          <w:tcPr>
            <w:tcW w:w="2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Central banks</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0.0</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0.0</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0.0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0.7</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0.6</w:t>
            </w:r>
          </w:p>
        </w:tc>
      </w:tr>
      <w:tr>
        <w:trPr>
          <w:trHeight w:val="149"/>
        </w:trPr>
        <w:tc>
          <w:tcPr>
            <w:tcW w:w="2320" w:type="dxa"/>
            <w:vAlign w:val="bottom"/>
          </w:tcPr>
          <w:p>
            <w:pPr>
              <w:spacing w:after="0" w:line="149" w:lineRule="exact"/>
              <w:rPr>
                <w:sz w:val="20"/>
                <w:szCs w:val="20"/>
                <w:color w:val="auto"/>
              </w:rPr>
            </w:pPr>
            <w:r>
              <w:rPr>
                <w:rFonts w:ascii="Arial" w:cs="Arial" w:eastAsia="Arial" w:hAnsi="Arial"/>
                <w:sz w:val="14"/>
                <w:szCs w:val="14"/>
                <w:color w:val="auto"/>
              </w:rPr>
              <w:t>State-owned organization</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6.5</w:t>
            </w:r>
          </w:p>
        </w:tc>
        <w:tc>
          <w:tcPr>
            <w:tcW w:w="160" w:type="dxa"/>
            <w:vAlign w:val="bottom"/>
          </w:tcPr>
          <w:p>
            <w:pPr>
              <w:spacing w:after="0"/>
              <w:rPr>
                <w:sz w:val="12"/>
                <w:szCs w:val="12"/>
                <w:color w:val="auto"/>
              </w:rPr>
            </w:pPr>
          </w:p>
        </w:tc>
        <w:tc>
          <w:tcPr>
            <w:tcW w:w="76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14.6</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w:t>
            </w:r>
          </w:p>
        </w:tc>
        <w:tc>
          <w:tcPr>
            <w:tcW w:w="160" w:type="dxa"/>
            <w:vAlign w:val="bottom"/>
          </w:tcPr>
          <w:p>
            <w:pPr>
              <w:spacing w:after="0"/>
              <w:rPr>
                <w:sz w:val="12"/>
                <w:szCs w:val="12"/>
                <w:color w:val="auto"/>
              </w:rPr>
            </w:pPr>
          </w:p>
        </w:tc>
        <w:tc>
          <w:tcPr>
            <w:tcW w:w="70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5.4</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6.8</w:t>
            </w:r>
          </w:p>
        </w:tc>
        <w:tc>
          <w:tcPr>
            <w:tcW w:w="140" w:type="dxa"/>
            <w:vAlign w:val="bottom"/>
          </w:tcPr>
          <w:p>
            <w:pPr>
              <w:spacing w:after="0"/>
              <w:rPr>
                <w:sz w:val="12"/>
                <w:szCs w:val="12"/>
                <w:color w:val="auto"/>
              </w:rPr>
            </w:pPr>
          </w:p>
        </w:tc>
        <w:tc>
          <w:tcPr>
            <w:tcW w:w="7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6.5</w:t>
            </w:r>
          </w:p>
        </w:tc>
        <w:tc>
          <w:tcPr>
            <w:tcW w:w="120" w:type="dxa"/>
            <w:vAlign w:val="bottom"/>
          </w:tcPr>
          <w:p>
            <w:pPr>
              <w:spacing w:after="0"/>
              <w:rPr>
                <w:sz w:val="12"/>
                <w:szCs w:val="12"/>
                <w:color w:val="auto"/>
              </w:rPr>
            </w:pPr>
          </w:p>
        </w:tc>
        <w:tc>
          <w:tcPr>
            <w:tcW w:w="7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4.3</w:t>
            </w:r>
          </w:p>
        </w:tc>
        <w:tc>
          <w:tcPr>
            <w:tcW w:w="140" w:type="dxa"/>
            <w:vAlign w:val="bottom"/>
          </w:tcPr>
          <w:p>
            <w:pPr>
              <w:spacing w:after="0"/>
              <w:rPr>
                <w:sz w:val="12"/>
                <w:szCs w:val="12"/>
                <w:color w:val="auto"/>
              </w:rPr>
            </w:pPr>
          </w:p>
        </w:tc>
        <w:tc>
          <w:tcPr>
            <w:tcW w:w="72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4.9</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4.4</w:t>
            </w:r>
          </w:p>
        </w:tc>
        <w:tc>
          <w:tcPr>
            <w:tcW w:w="160" w:type="dxa"/>
            <w:vAlign w:val="bottom"/>
          </w:tcPr>
          <w:p>
            <w:pPr>
              <w:spacing w:after="0"/>
              <w:rPr>
                <w:sz w:val="12"/>
                <w:szCs w:val="12"/>
                <w:color w:val="auto"/>
              </w:rPr>
            </w:pPr>
          </w:p>
        </w:tc>
        <w:tc>
          <w:tcPr>
            <w:tcW w:w="66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3.9</w:t>
            </w:r>
          </w:p>
        </w:tc>
      </w:tr>
      <w:tr>
        <w:trPr>
          <w:trHeight w:val="148"/>
        </w:trPr>
        <w:tc>
          <w:tcPr>
            <w:tcW w:w="23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Private corporations</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24.5</w:t>
            </w:r>
          </w:p>
        </w:tc>
        <w:tc>
          <w:tcPr>
            <w:tcW w:w="1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54.9</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75.0</w:t>
            </w:r>
          </w:p>
        </w:tc>
        <w:tc>
          <w:tcPr>
            <w:tcW w:w="1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73.2</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69.7</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66.8</w:t>
            </w:r>
          </w:p>
        </w:tc>
        <w:tc>
          <w:tcPr>
            <w:tcW w:w="12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63.0</w:t>
            </w:r>
          </w:p>
        </w:tc>
        <w:tc>
          <w:tcPr>
            <w:tcW w:w="14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71.1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89.2</w:t>
            </w:r>
          </w:p>
        </w:tc>
        <w:tc>
          <w:tcPr>
            <w:tcW w:w="1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79.1</w:t>
            </w:r>
          </w:p>
        </w:tc>
      </w:tr>
      <w:tr>
        <w:trPr>
          <w:trHeight w:val="162"/>
        </w:trPr>
        <w:tc>
          <w:tcPr>
            <w:tcW w:w="2320" w:type="dxa"/>
            <w:vAlign w:val="bottom"/>
          </w:tcPr>
          <w:p>
            <w:pPr>
              <w:spacing w:after="0"/>
              <w:rPr>
                <w:sz w:val="20"/>
                <w:szCs w:val="20"/>
                <w:color w:val="auto"/>
              </w:rPr>
            </w:pPr>
            <w:r>
              <w:rPr>
                <w:rFonts w:ascii="Arial" w:cs="Arial" w:eastAsia="Arial" w:hAnsi="Arial"/>
                <w:sz w:val="14"/>
                <w:szCs w:val="14"/>
                <w:color w:val="auto"/>
              </w:rPr>
              <w:t>Sovereign</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0.1</w:t>
            </w:r>
          </w:p>
        </w:tc>
        <w:tc>
          <w:tcPr>
            <w:tcW w:w="160" w:type="dxa"/>
            <w:vAlign w:val="bottom"/>
          </w:tcPr>
          <w:p>
            <w:pPr>
              <w:spacing w:after="0"/>
              <w:rPr>
                <w:sz w:val="14"/>
                <w:szCs w:val="14"/>
                <w:color w:val="auto"/>
              </w:rPr>
            </w:pPr>
          </w:p>
        </w:tc>
        <w:tc>
          <w:tcPr>
            <w:tcW w:w="760" w:type="dxa"/>
            <w:vAlign w:val="bottom"/>
            <w:gridSpan w:val="2"/>
          </w:tcPr>
          <w:p>
            <w:pPr>
              <w:jc w:val="right"/>
              <w:ind w:right="188"/>
              <w:spacing w:after="0"/>
              <w:rPr>
                <w:sz w:val="20"/>
                <w:szCs w:val="20"/>
                <w:color w:val="auto"/>
              </w:rPr>
            </w:pPr>
            <w:r>
              <w:rPr>
                <w:rFonts w:ascii="Arial" w:cs="Arial" w:eastAsia="Arial" w:hAnsi="Arial"/>
                <w:sz w:val="14"/>
                <w:szCs w:val="14"/>
                <w:color w:val="auto"/>
              </w:rPr>
              <w:t>0.2</w:t>
            </w:r>
          </w:p>
        </w:tc>
        <w:tc>
          <w:tcPr>
            <w:tcW w:w="12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0.0</w:t>
            </w:r>
          </w:p>
        </w:tc>
        <w:tc>
          <w:tcPr>
            <w:tcW w:w="160" w:type="dxa"/>
            <w:vAlign w:val="bottom"/>
          </w:tcPr>
          <w:p>
            <w:pPr>
              <w:spacing w:after="0"/>
              <w:rPr>
                <w:sz w:val="14"/>
                <w:szCs w:val="14"/>
                <w:color w:val="auto"/>
              </w:rPr>
            </w:pPr>
          </w:p>
        </w:tc>
        <w:tc>
          <w:tcPr>
            <w:tcW w:w="700" w:type="dxa"/>
            <w:vAlign w:val="bottom"/>
            <w:gridSpan w:val="2"/>
          </w:tcPr>
          <w:p>
            <w:pPr>
              <w:jc w:val="right"/>
              <w:ind w:right="128"/>
              <w:spacing w:after="0"/>
              <w:rPr>
                <w:sz w:val="20"/>
                <w:szCs w:val="20"/>
                <w:color w:val="auto"/>
              </w:rPr>
            </w:pPr>
            <w:r>
              <w:rPr>
                <w:rFonts w:ascii="Arial" w:cs="Arial" w:eastAsia="Arial" w:hAnsi="Arial"/>
                <w:sz w:val="14"/>
                <w:szCs w:val="14"/>
                <w:color w:val="auto"/>
              </w:rPr>
              <w:t>0.0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0" w:type="dxa"/>
            <w:vAlign w:val="bottom"/>
            <w:gridSpan w:val="2"/>
          </w:tcPr>
          <w:p>
            <w:pPr>
              <w:jc w:val="right"/>
              <w:ind w:right="220"/>
              <w:spacing w:after="0"/>
              <w:rPr>
                <w:sz w:val="20"/>
                <w:szCs w:val="20"/>
                <w:color w:val="auto"/>
              </w:rPr>
            </w:pPr>
            <w:r>
              <w:rPr>
                <w:rFonts w:ascii="Arial" w:cs="Arial" w:eastAsia="Arial" w:hAnsi="Arial"/>
                <w:sz w:val="14"/>
                <w:szCs w:val="14"/>
                <w:color w:val="auto"/>
              </w:rPr>
              <w:t>0.0</w:t>
            </w:r>
          </w:p>
        </w:tc>
        <w:tc>
          <w:tcPr>
            <w:tcW w:w="140" w:type="dxa"/>
            <w:vAlign w:val="bottom"/>
          </w:tcPr>
          <w:p>
            <w:pPr>
              <w:spacing w:after="0"/>
              <w:rPr>
                <w:sz w:val="14"/>
                <w:szCs w:val="14"/>
                <w:color w:val="auto"/>
              </w:rPr>
            </w:pPr>
          </w:p>
        </w:tc>
        <w:tc>
          <w:tcPr>
            <w:tcW w:w="780" w:type="dxa"/>
            <w:vAlign w:val="bottom"/>
            <w:gridSpan w:val="2"/>
          </w:tcPr>
          <w:p>
            <w:pPr>
              <w:jc w:val="right"/>
              <w:ind w:right="188"/>
              <w:spacing w:after="0"/>
              <w:rPr>
                <w:sz w:val="20"/>
                <w:szCs w:val="20"/>
                <w:color w:val="auto"/>
              </w:rPr>
            </w:pPr>
            <w:r>
              <w:rPr>
                <w:rFonts w:ascii="Arial" w:cs="Arial" w:eastAsia="Arial" w:hAnsi="Arial"/>
                <w:sz w:val="14"/>
                <w:szCs w:val="14"/>
                <w:color w:val="auto"/>
              </w:rPr>
              <w:t>0.0</w:t>
            </w:r>
          </w:p>
        </w:tc>
        <w:tc>
          <w:tcPr>
            <w:tcW w:w="12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4"/>
                <w:szCs w:val="14"/>
                <w:color w:val="auto"/>
              </w:rPr>
              <w:t>0.1</w:t>
            </w:r>
          </w:p>
        </w:tc>
        <w:tc>
          <w:tcPr>
            <w:tcW w:w="140" w:type="dxa"/>
            <w:vAlign w:val="bottom"/>
          </w:tcPr>
          <w:p>
            <w:pPr>
              <w:spacing w:after="0"/>
              <w:rPr>
                <w:sz w:val="14"/>
                <w:szCs w:val="14"/>
                <w:color w:val="auto"/>
              </w:rPr>
            </w:pPr>
          </w:p>
        </w:tc>
        <w:tc>
          <w:tcPr>
            <w:tcW w:w="720" w:type="dxa"/>
            <w:vAlign w:val="bottom"/>
            <w:gridSpan w:val="2"/>
          </w:tcPr>
          <w:p>
            <w:pPr>
              <w:jc w:val="right"/>
              <w:ind w:right="128"/>
              <w:spacing w:after="0"/>
              <w:rPr>
                <w:sz w:val="20"/>
                <w:szCs w:val="20"/>
                <w:color w:val="auto"/>
              </w:rPr>
            </w:pPr>
            <w:r>
              <w:rPr>
                <w:rFonts w:ascii="Arial" w:cs="Arial" w:eastAsia="Arial" w:hAnsi="Arial"/>
                <w:sz w:val="14"/>
                <w:szCs w:val="14"/>
                <w:color w:val="auto"/>
              </w:rPr>
              <w:t>0.1</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0.0</w:t>
            </w:r>
          </w:p>
        </w:tc>
        <w:tc>
          <w:tcPr>
            <w:tcW w:w="160" w:type="dxa"/>
            <w:vAlign w:val="bottom"/>
          </w:tcPr>
          <w:p>
            <w:pPr>
              <w:spacing w:after="0"/>
              <w:rPr>
                <w:sz w:val="14"/>
                <w:szCs w:val="14"/>
                <w:color w:val="auto"/>
              </w:rPr>
            </w:pPr>
          </w:p>
        </w:tc>
        <w:tc>
          <w:tcPr>
            <w:tcW w:w="660" w:type="dxa"/>
            <w:vAlign w:val="bottom"/>
            <w:gridSpan w:val="2"/>
          </w:tcPr>
          <w:p>
            <w:pPr>
              <w:jc w:val="right"/>
              <w:ind w:right="68"/>
              <w:spacing w:after="0"/>
              <w:rPr>
                <w:sz w:val="20"/>
                <w:szCs w:val="20"/>
                <w:color w:val="auto"/>
              </w:rPr>
            </w:pPr>
            <w:r>
              <w:rPr>
                <w:rFonts w:ascii="Arial" w:cs="Arial" w:eastAsia="Arial" w:hAnsi="Arial"/>
                <w:sz w:val="14"/>
                <w:szCs w:val="14"/>
                <w:color w:val="auto"/>
              </w:rPr>
              <w:t>0.0</w:t>
            </w:r>
          </w:p>
        </w:tc>
      </w:tr>
      <w:tr>
        <w:trPr>
          <w:trHeight w:val="155"/>
        </w:trPr>
        <w:tc>
          <w:tcPr>
            <w:tcW w:w="2320" w:type="dxa"/>
            <w:vAlign w:val="bottom"/>
            <w:tcBorders>
              <w:top w:val="single" w:sz="8" w:color="CCEEFF"/>
              <w:bottom w:val="single" w:sz="8" w:color="CCEEFF"/>
            </w:tcBorders>
            <w:shd w:val="clear" w:color="auto" w:fill="CCEEFF"/>
          </w:tcPr>
          <w:p>
            <w:pPr>
              <w:ind w:left="180"/>
              <w:spacing w:after="0" w:line="155" w:lineRule="exact"/>
              <w:rPr>
                <w:sz w:val="20"/>
                <w:szCs w:val="20"/>
                <w:color w:val="auto"/>
              </w:rPr>
            </w:pPr>
            <w:r>
              <w:rPr>
                <w:rFonts w:ascii="Arial" w:cs="Arial" w:eastAsia="Arial" w:hAnsi="Arial"/>
                <w:sz w:val="14"/>
                <w:szCs w:val="14"/>
                <w:b w:val="1"/>
                <w:bCs w:val="1"/>
                <w:color w:val="auto"/>
              </w:rPr>
              <w:t>Total</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44.6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rPr>
                <w:sz w:val="13"/>
                <w:szCs w:val="13"/>
                <w:color w:val="auto"/>
              </w:rPr>
            </w:pPr>
          </w:p>
        </w:tc>
        <w:tc>
          <w:tcPr>
            <w:tcW w:w="5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28"/>
              <w:spacing w:after="0" w:line="155"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102.5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rPr>
                <w:sz w:val="13"/>
                <w:szCs w:val="13"/>
                <w:color w:val="auto"/>
              </w:rPr>
            </w:pPr>
          </w:p>
        </w:tc>
        <w:tc>
          <w:tcPr>
            <w:tcW w:w="5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76"/>
              </w:rPr>
              <w:t>$</w:t>
            </w:r>
          </w:p>
        </w:tc>
        <w:tc>
          <w:tcPr>
            <w:tcW w:w="5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104.4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60" w:type="dxa"/>
            <w:vAlign w:val="bottom"/>
            <w:tcBorders>
              <w:top w:val="single" w:sz="8" w:color="CCEEFF"/>
              <w:bottom w:val="single" w:sz="8" w:color="CCEEFF"/>
            </w:tcBorders>
            <w:shd w:val="clear" w:color="auto" w:fill="CCEEFF"/>
          </w:tcPr>
          <w:p>
            <w:pPr>
              <w:jc w:val="right"/>
              <w:ind w:right="48"/>
              <w:spacing w:after="0" w:line="155" w:lineRule="exact"/>
              <w:rPr>
                <w:sz w:val="20"/>
                <w:szCs w:val="20"/>
                <w:color w:val="auto"/>
              </w:rPr>
            </w:pPr>
            <w:r>
              <w:rPr>
                <w:rFonts w:ascii="Arial" w:cs="Arial" w:eastAsia="Arial" w:hAnsi="Arial"/>
                <w:sz w:val="14"/>
                <w:szCs w:val="14"/>
                <w:b w:val="1"/>
                <w:bCs w:val="1"/>
                <w:color w:val="auto"/>
                <w:w w:val="96"/>
              </w:rPr>
              <w:t>%</w:t>
            </w: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88.6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20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112.7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rPr>
                <w:sz w:val="13"/>
                <w:szCs w:val="13"/>
                <w:color w:val="auto"/>
              </w:rPr>
            </w:pPr>
          </w:p>
        </w:tc>
        <w:tc>
          <w:tcPr>
            <w:tcW w:w="5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100.0</w:t>
            </w:r>
          </w:p>
        </w:tc>
        <w:tc>
          <w:tcPr>
            <w:tcW w:w="140" w:type="dxa"/>
            <w:vAlign w:val="bottom"/>
            <w:tcBorders>
              <w:top w:val="single" w:sz="8" w:color="CCEEFF"/>
              <w:bottom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w w:val="96"/>
              </w:rPr>
              <w:t>%</w:t>
            </w:r>
          </w:p>
        </w:tc>
      </w:tr>
      <w:tr>
        <w:trPr>
          <w:trHeight w:val="20"/>
        </w:trPr>
        <w:tc>
          <w:tcPr>
            <w:tcW w:w="23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40" w:right="3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Critical Accounting Policies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Bank prepares its Consolidated Financial Statements in conformity with IFRS as issued by the IASB.</w:t>
      </w:r>
    </w:p>
    <w:p>
      <w:pPr>
        <w:spacing w:after="0" w:line="225" w:lineRule="exact"/>
        <w:rPr>
          <w:sz w:val="20"/>
          <w:szCs w:val="20"/>
          <w:color w:val="auto"/>
        </w:rPr>
      </w:pPr>
    </w:p>
    <w:p>
      <w:pPr>
        <w:spacing w:after="0"/>
        <w:rPr>
          <w:sz w:val="20"/>
          <w:szCs w:val="20"/>
          <w:color w:val="auto"/>
        </w:rPr>
      </w:pPr>
      <w:r>
        <w:rPr>
          <w:rFonts w:ascii="Arial" w:cs="Arial" w:eastAsia="Arial" w:hAnsi="Arial"/>
          <w:sz w:val="16"/>
          <w:szCs w:val="16"/>
          <w:color w:val="auto"/>
        </w:rPr>
        <w:t>The consolidated financial statements have been prepared on a historical cost basis, except for the following items mostly measured on a fair value basis:</w:t>
      </w:r>
    </w:p>
    <w:p>
      <w:pPr>
        <w:spacing w:after="0" w:line="46" w:lineRule="exact"/>
        <w:rPr>
          <w:sz w:val="20"/>
          <w:szCs w:val="20"/>
          <w:color w:val="auto"/>
        </w:rPr>
      </w:pPr>
    </w:p>
    <w:p>
      <w:pPr>
        <w:jc w:val="both"/>
        <w:ind w:firstLine="8"/>
        <w:spacing w:after="0" w:line="253" w:lineRule="auto"/>
        <w:tabs>
          <w:tab w:leader="none" w:pos="217" w:val="left"/>
        </w:tabs>
        <w:numPr>
          <w:ilvl w:val="0"/>
          <w:numId w:val="42"/>
        </w:numPr>
        <w:rPr>
          <w:rFonts w:ascii="Arial" w:cs="Arial" w:eastAsia="Arial" w:hAnsi="Arial"/>
          <w:sz w:val="18"/>
          <w:szCs w:val="18"/>
          <w:color w:val="auto"/>
        </w:rPr>
      </w:pPr>
      <w:r>
        <w:rPr>
          <w:rFonts w:ascii="Arial" w:cs="Arial" w:eastAsia="Arial" w:hAnsi="Arial"/>
          <w:sz w:val="18"/>
          <w:szCs w:val="18"/>
          <w:color w:val="auto"/>
        </w:rPr>
        <w:t>securities and other financial instruments at FVOCI, (ii) other financial instruments at fair value through profit or loss, (iii) financial assets and financial liabilities designated as hedged items in qualifying fair value hedging relationships, and (iv) investment properties. The carrying values of recognized financial assets and financial liabilities that are designated as hedged items in qualifying fair value hedging relationships are measured at amortized cost adjusted for the hedge risk components associated to the hedging relationship.</w:t>
      </w:r>
    </w:p>
    <w:p>
      <w:pPr>
        <w:spacing w:after="0" w:line="19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preparation of the Consolidated Financial Statements requires management to make estimates and use assumptions that affect the reported amounts of assets and liabilities and disclosure of contingent liabilities at the reporting date of the Consolidated Financial Statements and the reported amounts of revenues and expenses during the year. Material estimates that are particularly susceptible to significant changes relate to the determination of the allowances for expected credit losses, impairment losses of financial instruments, and the fair value of financial instruments. Actual results could differ from those estimates. Management believes these estimates are adequate.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Allowance for losses on financial instruments</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allowances for losses on financial instruments are provided for losses derived from the credit extension process. The classification of the Bank’s Credit Portfolio for allowances for credit losses is determined by risk management guidelines and approved by the CPER of the Bank’s Board through statistical modeling, internal risk ratings and estimates. The Bank measures expected credit losses (ECLs) in a way that reflects the general pattern of deterioration or improvement in the credit quality of the financial instrument. The amount of ECLs recognized as a loss allowance or provision depends on the extent of credit deterioration since initial recognition. In order to determine the ECLs the Bank uses Individually and Collectively evaluated methodologies to determine if there is objective evidence of impairment for financial Instruments. The Bank considers the following factors, among others, when measuring significant increase in credit risk:</w:t>
      </w:r>
    </w:p>
    <w:p>
      <w:pPr>
        <w:spacing w:after="0" w:line="195" w:lineRule="exact"/>
        <w:rPr>
          <w:sz w:val="20"/>
          <w:szCs w:val="20"/>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Significant changes in internal indicators of credit risk as a result of a change in credit risk since inception.</w:t>
      </w:r>
    </w:p>
    <w:p>
      <w:pPr>
        <w:spacing w:after="0" w:line="252"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Significant changes in market indicators of credit risk for a particular financial instrument or similar financial instruments with the same expected life.</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An actual or expected significant adverse change in the regulatory, economic, or technological environment of the borrower.</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252"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43"/>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 the Bank’s ECLs model.</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Informed judgments must be made when identifying impaired loans, the PD, the expected loss, the value of collateral and current economic conditions. Even though the Bank’s management considers its allowances for ECL to be adequate, the use of different estimates and assumptions could produce different allowances for ECL, and amendments to the allowances may be required in the future due to changes in the value of collateral, the amount of cash expected to be received or other economic events.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1" w:name="page72"/>
    <w:bookmarkEnd w:id="71"/>
    <w:p>
      <w:pPr>
        <w:jc w:val="both"/>
        <w:spacing w:after="0" w:line="273" w:lineRule="auto"/>
        <w:rPr>
          <w:sz w:val="20"/>
          <w:szCs w:val="20"/>
          <w:color w:val="auto"/>
        </w:rPr>
      </w:pPr>
      <w:r>
        <w:rPr>
          <w:rFonts w:ascii="Arial" w:cs="Arial" w:eastAsia="Arial" w:hAnsi="Arial"/>
          <w:sz w:val="17"/>
          <w:szCs w:val="17"/>
          <w:color w:val="auto"/>
        </w:rPr>
        <w:t>The allowance for losses on financial instruments is provided for losses derived from the credit extension process inherent in the Loan Portfolio, investment securities, and loan commitments and financial guarantee contracts using the reserve methodology to determine expected credit losses. Additions to the allowance for expected credit losses for financial instruments are made by debiting earnings. Incurred credit losses are deducted from the allowance, and subsequent recoveries are added. The allowance is also decreased by reversals of the allowance back to earnings.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7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measures expected credit losses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84" w:lineRule="exact"/>
        <w:rPr>
          <w:sz w:val="20"/>
          <w:szCs w:val="20"/>
          <w:color w:val="auto"/>
        </w:rPr>
      </w:pPr>
    </w:p>
    <w:p>
      <w:pPr>
        <w:spacing w:after="0"/>
        <w:rPr>
          <w:sz w:val="20"/>
          <w:szCs w:val="20"/>
          <w:color w:val="auto"/>
        </w:rPr>
      </w:pPr>
      <w:r>
        <w:rPr>
          <w:rFonts w:ascii="Arial" w:cs="Arial" w:eastAsia="Arial" w:hAnsi="Arial"/>
          <w:sz w:val="16"/>
          <w:szCs w:val="16"/>
          <w:color w:val="auto"/>
        </w:rPr>
        <w:t>The expected credit loss model reflects the general pattern of deterioration or improvement in the credit quality of the financial instrument. The amount of</w:t>
      </w:r>
    </w:p>
    <w:p>
      <w:pPr>
        <w:spacing w:after="0" w:line="46" w:lineRule="exact"/>
        <w:rPr>
          <w:sz w:val="20"/>
          <w:szCs w:val="20"/>
          <w:color w:val="auto"/>
        </w:rPr>
      </w:pPr>
    </w:p>
    <w:p>
      <w:pPr>
        <w:spacing w:after="0"/>
        <w:rPr>
          <w:sz w:val="20"/>
          <w:szCs w:val="20"/>
          <w:color w:val="auto"/>
        </w:rPr>
      </w:pPr>
      <w:r>
        <w:rPr>
          <w:rFonts w:ascii="Arial" w:cs="Arial" w:eastAsia="Arial" w:hAnsi="Arial"/>
          <w:sz w:val="16"/>
          <w:szCs w:val="16"/>
          <w:color w:val="auto"/>
        </w:rPr>
        <w:t>ECL recognized as a loss allowance or provision depends on the extent of credit deterioration since initial recognition. There are two measurement bases:</w:t>
      </w:r>
    </w:p>
    <w:p>
      <w:pPr>
        <w:spacing w:after="0" w:line="234" w:lineRule="exact"/>
        <w:rPr>
          <w:sz w:val="20"/>
          <w:szCs w:val="20"/>
          <w:color w:val="auto"/>
        </w:rPr>
      </w:pPr>
    </w:p>
    <w:p>
      <w:pPr>
        <w:ind w:left="660" w:hanging="328"/>
        <w:spacing w:after="0" w:line="277" w:lineRule="auto"/>
        <w:tabs>
          <w:tab w:leader="none" w:pos="660" w:val="left"/>
        </w:tabs>
        <w:numPr>
          <w:ilvl w:val="0"/>
          <w:numId w:val="44"/>
        </w:numPr>
        <w:rPr>
          <w:rFonts w:ascii="Arial" w:cs="Arial" w:eastAsia="Arial" w:hAnsi="Arial"/>
          <w:sz w:val="18"/>
          <w:szCs w:val="18"/>
          <w:color w:val="auto"/>
        </w:rPr>
      </w:pPr>
      <w:r>
        <w:rPr>
          <w:rFonts w:ascii="Arial" w:cs="Arial" w:eastAsia="Arial" w:hAnsi="Arial"/>
          <w:sz w:val="18"/>
          <w:szCs w:val="18"/>
          <w:color w:val="auto"/>
        </w:rPr>
        <w:t>Stage 1: 12-month ECL, which applies to all financial instruments (from initial recognition) as long as there is no significant deterioration in credit quality.</w:t>
      </w:r>
    </w:p>
    <w:p>
      <w:pPr>
        <w:spacing w:after="0" w:line="170" w:lineRule="exact"/>
        <w:rPr>
          <w:rFonts w:ascii="Arial" w:cs="Arial" w:eastAsia="Arial" w:hAnsi="Arial"/>
          <w:sz w:val="18"/>
          <w:szCs w:val="18"/>
          <w:color w:val="auto"/>
        </w:rPr>
      </w:pPr>
    </w:p>
    <w:p>
      <w:pPr>
        <w:jc w:val="both"/>
        <w:ind w:left="660" w:hanging="328"/>
        <w:spacing w:after="0" w:line="272" w:lineRule="auto"/>
        <w:tabs>
          <w:tab w:leader="none" w:pos="660" w:val="left"/>
        </w:tabs>
        <w:numPr>
          <w:ilvl w:val="0"/>
          <w:numId w:val="44"/>
        </w:numPr>
        <w:rPr>
          <w:rFonts w:ascii="Arial" w:cs="Arial" w:eastAsia="Arial" w:hAnsi="Arial"/>
          <w:sz w:val="17"/>
          <w:szCs w:val="17"/>
          <w:color w:val="auto"/>
        </w:rPr>
      </w:pPr>
      <w:r>
        <w:rPr>
          <w:rFonts w:ascii="Arial" w:cs="Arial" w:eastAsia="Arial" w:hAnsi="Arial"/>
          <w:sz w:val="17"/>
          <w:szCs w:val="17"/>
          <w:color w:val="auto"/>
        </w:rPr>
        <w:t>Stages 2 and 3: Lifetime ECL,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financial asset subsequently becomes credit-impaired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the interest revenue on a gross basis.</w:t>
      </w:r>
    </w:p>
    <w:p>
      <w:pPr>
        <w:spacing w:after="0" w:line="177"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analysis considers comprehensive information that incorporates not only past due data, but other relevant credit information, such as forward looking macro-economic information.</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Impairment losses on financial instruments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Impairment on financial assets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 or delays in interest or principal; and observable data indicating that there is a measurable decrease in estimated future cash flows since initial recognition.</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2" w:name="page73"/>
    <w:bookmarkEnd w:id="72"/>
    <w:p>
      <w:pPr>
        <w:jc w:val="both"/>
        <w:spacing w:after="0" w:line="254" w:lineRule="auto"/>
        <w:rPr>
          <w:sz w:val="20"/>
          <w:szCs w:val="20"/>
          <w:color w:val="auto"/>
        </w:rPr>
      </w:pPr>
      <w:r>
        <w:rPr>
          <w:rFonts w:ascii="Arial" w:cs="Arial" w:eastAsia="Arial" w:hAnsi="Arial"/>
          <w:sz w:val="18"/>
          <w:szCs w:val="18"/>
          <w:color w:val="auto"/>
        </w:rPr>
        <w:t>The Bank assesses individually financial instruments by an evaluation of the exposures on a case-by-case basis. Management’s judgment is required in the estimation of the amount and timing of future cash flows when determining the impairment loss. These estimates are based on assumptions about several factors and actual results may differ, resulting in future changes to the allowance. Loans at amortized cost that do not give rise to individually assessed are included in a group of credit transactions with similar characteristics and is collectively assessed to determine whether there is impairment. This is to determine whether provision should be made due to incurred loss events for which there is objective evidence, but the effects of which are not yet evident. The collective assessment takes into account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reviews its debt securities classified as investments at fair value through OCI and investments at amortized cost at each reporting date to assess whether they are impaired. The Bank records impairment when there has been a significant or prolonged decline in the fair value below their cost. The determination of what is significant or prolonged requires judgment. In making this judgment, the Bank evaluates, among other factors, historical price movements and duration and the extent to which the fair value of an investment is less than its cost.</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Judgments for Forward Looking</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5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external information could include economic data and projections published by governmental committees, monetary agencies (e.g., Federal Reserve Bank and from countries where the Bank operates), supranational organizations (International Monetary Fund, The World Bank, World Trade Organization), private sector, academic projections, credit rating agencies, among other.</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main assumptions of those estimates are based on:</w:t>
      </w:r>
    </w:p>
    <w:p>
      <w:pPr>
        <w:spacing w:after="0" w:line="225" w:lineRule="exact"/>
        <w:rPr>
          <w:sz w:val="20"/>
          <w:szCs w:val="20"/>
          <w:color w:val="auto"/>
        </w:rPr>
      </w:pPr>
    </w:p>
    <w:p>
      <w:pPr>
        <w:ind w:left="660" w:hanging="328"/>
        <w:spacing w:after="0"/>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w:t>
      </w:r>
    </w:p>
    <w:p>
      <w:pPr>
        <w:spacing w:after="0" w:line="252"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As the recovery begins, we will have a better idea of what has happened to both demand and aggregate supply due to the significant effects of the COVID-19 pandemic.</w:t>
      </w:r>
    </w:p>
    <w:p>
      <w:pPr>
        <w:spacing w:after="0" w:line="197" w:lineRule="exact"/>
        <w:rPr>
          <w:rFonts w:ascii="Arial" w:cs="Arial" w:eastAsia="Arial" w:hAnsi="Arial"/>
          <w:sz w:val="18"/>
          <w:szCs w:val="18"/>
          <w:color w:val="auto"/>
        </w:rPr>
      </w:pPr>
    </w:p>
    <w:p>
      <w:pPr>
        <w:ind w:left="660" w:hanging="328"/>
        <w:spacing w:after="0"/>
        <w:tabs>
          <w:tab w:leader="none" w:pos="660" w:val="left"/>
        </w:tabs>
        <w:numPr>
          <w:ilvl w:val="0"/>
          <w:numId w:val="45"/>
        </w:numPr>
        <w:rPr>
          <w:rFonts w:ascii="Arial" w:cs="Arial" w:eastAsia="Arial" w:hAnsi="Arial"/>
          <w:sz w:val="17"/>
          <w:szCs w:val="17"/>
          <w:color w:val="auto"/>
        </w:rPr>
      </w:pPr>
      <w:r>
        <w:rPr>
          <w:rFonts w:ascii="Arial" w:cs="Arial" w:eastAsia="Arial" w:hAnsi="Arial"/>
          <w:sz w:val="17"/>
          <w:szCs w:val="17"/>
          <w:color w:val="auto"/>
        </w:rPr>
        <w:t>General political, economic and business conditions in Latin American, and other regions, countries or territories in which we operate.</w:t>
      </w:r>
    </w:p>
    <w:p>
      <w:pPr>
        <w:spacing w:after="0" w:line="263" w:lineRule="exact"/>
        <w:rPr>
          <w:rFonts w:ascii="Arial" w:cs="Arial" w:eastAsia="Arial" w:hAnsi="Arial"/>
          <w:sz w:val="17"/>
          <w:szCs w:val="17"/>
          <w:color w:val="auto"/>
        </w:rPr>
      </w:pPr>
    </w:p>
    <w:p>
      <w:pPr>
        <w:jc w:val="both"/>
        <w:ind w:left="660" w:hanging="328"/>
        <w:spacing w:after="0" w:line="263" w:lineRule="auto"/>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Given that most of the Region will experience a comparatively slow vaccine rollout, risks to our outlook appear weighted to the downside. If the current wave of the virus worsens again, or a subsequent wave takes hold before large numbers have been vaccinated, the recovery could be delayed further.</w:t>
      </w:r>
    </w:p>
    <w:p>
      <w:pPr>
        <w:spacing w:after="0" w:line="210" w:lineRule="exact"/>
        <w:rPr>
          <w:rFonts w:ascii="Arial" w:cs="Arial" w:eastAsia="Arial" w:hAnsi="Arial"/>
          <w:sz w:val="18"/>
          <w:szCs w:val="18"/>
          <w:color w:val="auto"/>
        </w:rPr>
      </w:pPr>
    </w:p>
    <w:p>
      <w:pPr>
        <w:ind w:left="660" w:hanging="328"/>
        <w:spacing w:after="0"/>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Changes in applicable laws and regulations.</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The monetary, interest rate and other policies of central banks of Latin American.</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Changes or volatility in interest rates, foreign exchange rates, asset prices, equity markets, commodity prices, inflation or deflation.</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5"/>
        </w:numPr>
        <w:rPr>
          <w:rFonts w:ascii="Arial" w:cs="Arial" w:eastAsia="Arial" w:hAnsi="Arial"/>
          <w:sz w:val="18"/>
          <w:szCs w:val="18"/>
          <w:color w:val="auto"/>
        </w:rPr>
      </w:pPr>
      <w:r>
        <w:rPr>
          <w:rFonts w:ascii="Arial" w:cs="Arial" w:eastAsia="Arial" w:hAnsi="Arial"/>
          <w:sz w:val="18"/>
          <w:szCs w:val="18"/>
          <w:color w:val="auto"/>
        </w:rPr>
        <w:t>The effects of competition in the markets in which we operate, which may be influenced by regulation or deregulation.</w:t>
      </w: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3" w:name="page74"/>
    <w:bookmarkEnd w:id="73"/>
    <w:p>
      <w:pPr>
        <w:ind w:left="660" w:hanging="328"/>
        <w:spacing w:after="0"/>
        <w:tabs>
          <w:tab w:leader="none" w:pos="660" w:val="left"/>
        </w:tabs>
        <w:numPr>
          <w:ilvl w:val="0"/>
          <w:numId w:val="46"/>
        </w:numPr>
        <w:rPr>
          <w:rFonts w:ascii="Arial" w:cs="Arial" w:eastAsia="Arial" w:hAnsi="Arial"/>
          <w:sz w:val="18"/>
          <w:szCs w:val="18"/>
          <w:color w:val="auto"/>
        </w:rPr>
      </w:pPr>
      <w:r>
        <w:rPr>
          <w:rFonts w:ascii="Arial" w:cs="Arial" w:eastAsia="Arial" w:hAnsi="Arial"/>
          <w:sz w:val="18"/>
          <w:szCs w:val="18"/>
          <w:color w:val="auto"/>
        </w:rPr>
        <w:t>Our ability to hedge certain risks economically.</w:t>
      </w:r>
    </w:p>
    <w:p>
      <w:pPr>
        <w:spacing w:after="0" w:line="252" w:lineRule="exact"/>
        <w:rPr>
          <w:rFonts w:ascii="Arial" w:cs="Arial" w:eastAsia="Arial" w:hAnsi="Arial"/>
          <w:sz w:val="18"/>
          <w:szCs w:val="18"/>
          <w:color w:val="auto"/>
        </w:rPr>
      </w:pPr>
    </w:p>
    <w:p>
      <w:pPr>
        <w:ind w:left="660" w:hanging="328"/>
        <w:spacing w:after="0"/>
        <w:tabs>
          <w:tab w:leader="none" w:pos="660" w:val="left"/>
        </w:tabs>
        <w:numPr>
          <w:ilvl w:val="0"/>
          <w:numId w:val="46"/>
        </w:numPr>
        <w:rPr>
          <w:rFonts w:ascii="Arial" w:cs="Arial" w:eastAsia="Arial" w:hAnsi="Arial"/>
          <w:sz w:val="18"/>
          <w:szCs w:val="18"/>
          <w:color w:val="auto"/>
        </w:rPr>
      </w:pPr>
      <w:r>
        <w:rPr>
          <w:rFonts w:ascii="Arial" w:cs="Arial" w:eastAsia="Arial" w:hAnsi="Arial"/>
          <w:sz w:val="18"/>
          <w:szCs w:val="18"/>
          <w:color w:val="auto"/>
        </w:rPr>
        <w:t>Changes of risk perception in the markets in which the Bank operates.</w:t>
      </w:r>
    </w:p>
    <w:p>
      <w:pPr>
        <w:spacing w:after="0" w:line="252"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46"/>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credit risk aversions, anti-money laundering, or other economic or political concerns pertaining to the Region, or a continued downturn in investor confidence, could affect the Bank’s access to cross border funding or increase its cost of funding.</w:t>
      </w:r>
    </w:p>
    <w:p>
      <w:pPr>
        <w:spacing w:after="0" w:line="21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46"/>
        </w:numPr>
        <w:rPr>
          <w:rFonts w:ascii="Arial" w:cs="Arial" w:eastAsia="Arial" w:hAnsi="Arial"/>
          <w:sz w:val="18"/>
          <w:szCs w:val="18"/>
          <w:color w:val="auto"/>
        </w:rPr>
      </w:pPr>
      <w:r>
        <w:rPr>
          <w:rFonts w:ascii="Arial" w:cs="Arial" w:eastAsia="Arial" w:hAnsi="Arial"/>
          <w:sz w:val="18"/>
          <w:szCs w:val="18"/>
          <w:color w:val="auto"/>
        </w:rPr>
        <w:t>Our success in managing the risks involved in the foregoing, which depends, among other things, on our ability to anticipate events that cannot be captured by the statistical models we use and force majeure and other events beyond our control.</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addition, the sensitivity in a downturn or upgrade adjustment of any variable will impact directly in the result of the expected risk severity index of the alert model.</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Fair Value Valuations</w:t>
      </w:r>
    </w:p>
    <w:p>
      <w:pPr>
        <w:spacing w:after="0" w:line="225"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In order to value an instrument, there are several approaches that can be used. The fair value is represented by the present value of cash flows of each instrument. For those instruments categorized as a Level 1 in the Fair Value Hierarchy, valuations can be obtained by using observable market quotes/prices in active markets. The definition of an active market depends on an individual criteria on trading frequency and traded volume.</w:t>
      </w:r>
    </w:p>
    <w:p>
      <w:pPr>
        <w:spacing w:after="0" w:line="16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data input for instruments categorized as a Level 2 are different from quoted prices included in Level 1. The Level 2 data input may include the following elements:</w:t>
      </w:r>
    </w:p>
    <w:p>
      <w:pPr>
        <w:spacing w:after="0" w:line="170" w:lineRule="exact"/>
        <w:rPr>
          <w:sz w:val="20"/>
          <w:szCs w:val="20"/>
          <w:color w:val="auto"/>
        </w:rPr>
      </w:pPr>
    </w:p>
    <w:p>
      <w:pPr>
        <w:ind w:left="780" w:hanging="448"/>
        <w:spacing w:after="0"/>
        <w:tabs>
          <w:tab w:leader="none" w:pos="780" w:val="left"/>
        </w:tabs>
        <w:numPr>
          <w:ilvl w:val="0"/>
          <w:numId w:val="47"/>
        </w:numPr>
        <w:rPr>
          <w:rFonts w:ascii="Arial" w:cs="Arial" w:eastAsia="Arial" w:hAnsi="Arial"/>
          <w:sz w:val="18"/>
          <w:szCs w:val="18"/>
          <w:color w:val="auto"/>
        </w:rPr>
      </w:pPr>
      <w:r>
        <w:rPr>
          <w:rFonts w:ascii="Arial" w:cs="Arial" w:eastAsia="Arial" w:hAnsi="Arial"/>
          <w:sz w:val="18"/>
          <w:szCs w:val="18"/>
          <w:color w:val="auto"/>
        </w:rPr>
        <w:t>Observable prices/quotes in a non-active market.</w:t>
      </w:r>
    </w:p>
    <w:p>
      <w:pPr>
        <w:spacing w:after="0" w:line="225" w:lineRule="exact"/>
        <w:rPr>
          <w:rFonts w:ascii="Arial" w:cs="Arial" w:eastAsia="Arial" w:hAnsi="Arial"/>
          <w:sz w:val="18"/>
          <w:szCs w:val="18"/>
          <w:color w:val="auto"/>
        </w:rPr>
      </w:pPr>
    </w:p>
    <w:p>
      <w:pPr>
        <w:ind w:left="780" w:hanging="448"/>
        <w:spacing w:after="0"/>
        <w:tabs>
          <w:tab w:leader="none" w:pos="780" w:val="left"/>
        </w:tabs>
        <w:numPr>
          <w:ilvl w:val="0"/>
          <w:numId w:val="47"/>
        </w:numPr>
        <w:rPr>
          <w:rFonts w:ascii="Arial" w:cs="Arial" w:eastAsia="Arial" w:hAnsi="Arial"/>
          <w:sz w:val="18"/>
          <w:szCs w:val="18"/>
          <w:color w:val="auto"/>
        </w:rPr>
      </w:pPr>
      <w:r>
        <w:rPr>
          <w:rFonts w:ascii="Arial" w:cs="Arial" w:eastAsia="Arial" w:hAnsi="Arial"/>
          <w:sz w:val="18"/>
          <w:szCs w:val="18"/>
          <w:color w:val="auto"/>
        </w:rPr>
        <w:t>Observable prices/quotes derived from similar instruments.</w:t>
      </w:r>
    </w:p>
    <w:p>
      <w:pPr>
        <w:spacing w:after="0" w:line="225" w:lineRule="exact"/>
        <w:rPr>
          <w:rFonts w:ascii="Arial" w:cs="Arial" w:eastAsia="Arial" w:hAnsi="Arial"/>
          <w:sz w:val="18"/>
          <w:szCs w:val="18"/>
          <w:color w:val="auto"/>
        </w:rPr>
      </w:pPr>
    </w:p>
    <w:p>
      <w:pPr>
        <w:ind w:left="660" w:right="20" w:hanging="328"/>
        <w:spacing w:after="0" w:line="277" w:lineRule="auto"/>
        <w:tabs>
          <w:tab w:leader="none" w:pos="799" w:val="left"/>
        </w:tabs>
        <w:numPr>
          <w:ilvl w:val="0"/>
          <w:numId w:val="47"/>
        </w:numPr>
        <w:rPr>
          <w:rFonts w:ascii="Arial" w:cs="Arial" w:eastAsia="Arial" w:hAnsi="Arial"/>
          <w:sz w:val="18"/>
          <w:szCs w:val="18"/>
          <w:color w:val="auto"/>
        </w:rPr>
      </w:pPr>
      <w:r>
        <w:rPr>
          <w:rFonts w:ascii="Arial" w:cs="Arial" w:eastAsia="Arial" w:hAnsi="Arial"/>
          <w:sz w:val="18"/>
          <w:szCs w:val="18"/>
          <w:color w:val="auto"/>
        </w:rPr>
        <w:t>Other data input observable in the markets as for example: interest rates, credit differentials and others. An adjustment to Level 2 data input that may be significant can cause changes in the fair value hierarchy to Level 3.</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Level 3 instruments, data input is not readily observable in the market. In order to derive fair valuations, data input may reflect assumptions on the pricing and risk inputs.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entity may develop non observable data input using the best available information in those circumstances.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Level 3 Financial Instrument Valuations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In order to value an instrument, exposure, time and discount curve are required.</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exposure is calculated based on client contractual nominal exposure plus interests at maturity. The time is the time fraction measured in years from valuation date until maturity.</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If no discount curve is available from public information, the yield would be derived from a peer’s public information or yield index for emerging markets public information. The present value of the exposure at maturity represents the fair value of the instrument.</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Accounting Pronouncements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IFRS 9 and 7 – Phase 1 of the IBOR reform</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September 2019, the International Accounting Standards Board (IASB) finalized Phase 1 of the IBOR Reform and issued the document Interest Rate Benchmark Reform (the “Reform”), which contains amendments to IFRS 9 and IFRS 7. These amendments are effective for annual periods beginning on or after January 1, 2020.</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35" w:right="339" w:bottom="1440" w:gutter="0" w:footer="0" w:header="0"/>
        </w:sectPr>
      </w:pPr>
    </w:p>
    <w:bookmarkStart w:id="74" w:name="page75"/>
    <w:bookmarkEnd w:id="74"/>
    <w:p>
      <w:pPr>
        <w:jc w:val="both"/>
        <w:spacing w:after="0" w:line="258" w:lineRule="auto"/>
        <w:rPr>
          <w:sz w:val="20"/>
          <w:szCs w:val="20"/>
          <w:color w:val="auto"/>
        </w:rPr>
      </w:pPr>
      <w:r>
        <w:rPr>
          <w:rFonts w:ascii="Arial" w:cs="Arial" w:eastAsia="Arial" w:hAnsi="Arial"/>
          <w:sz w:val="18"/>
          <w:szCs w:val="18"/>
          <w:color w:val="auto"/>
        </w:rPr>
        <w:t>In August 2020, the IASB published the second phase of the project amendments to the Reform; this document contains exemptions and clarifications for the applicable financial instruments.</w:t>
      </w:r>
    </w:p>
    <w:p>
      <w:pPr>
        <w:spacing w:after="0" w:line="1" w:lineRule="exact"/>
        <w:rPr>
          <w:sz w:val="20"/>
          <w:szCs w:val="20"/>
          <w:color w:val="auto"/>
        </w:rPr>
      </w:pPr>
    </w:p>
    <w:p>
      <w:pPr>
        <w:jc w:val="both"/>
        <w:spacing w:after="0" w:line="260" w:lineRule="auto"/>
        <w:rPr>
          <w:sz w:val="20"/>
          <w:szCs w:val="20"/>
          <w:color w:val="auto"/>
        </w:rPr>
      </w:pPr>
      <w:r>
        <w:rPr>
          <w:rFonts w:ascii="Arial" w:cs="Arial" w:eastAsia="Arial" w:hAnsi="Arial"/>
          <w:sz w:val="18"/>
          <w:szCs w:val="18"/>
          <w:color w:val="auto"/>
        </w:rPr>
        <w:t>The amendments issued in the second phase of the project are mandatory for annual periods beginning on or after January 1, 2021, and early adoption is permitted.</w:t>
      </w:r>
    </w:p>
    <w:p>
      <w:pPr>
        <w:spacing w:after="0" w:line="185" w:lineRule="exact"/>
        <w:rPr>
          <w:sz w:val="20"/>
          <w:szCs w:val="20"/>
          <w:color w:val="auto"/>
        </w:rPr>
      </w:pPr>
    </w:p>
    <w:p>
      <w:pPr>
        <w:spacing w:after="0"/>
        <w:rPr>
          <w:sz w:val="20"/>
          <w:szCs w:val="20"/>
          <w:color w:val="auto"/>
        </w:rPr>
      </w:pPr>
      <w:r>
        <w:rPr>
          <w:rFonts w:ascii="Arial" w:cs="Arial" w:eastAsia="Arial" w:hAnsi="Arial"/>
          <w:sz w:val="18"/>
          <w:szCs w:val="18"/>
          <w:color w:val="auto"/>
        </w:rPr>
        <w:t>As of December 31, 2020, the Bank had not made the adoption of the reforms contained in phases 1 and 2 of the project amendments.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IFRS 16 – Phase 1 Reform</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In May 2020, the IASB published the document “Rental Lease concessions related to COVID-19”, which amends IFRS 16 Leases effective June 1, 2020. The publication provides relief to lessees with respect to rental concessions granted as a result of COVID-19, where the lessee must re-measure its responsibilities under a lease using a revised discount rate. As of December 31, 2020, the Bank has not modified or received concessions in its lease agreements signed with third parties.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information regarding the Bank’s basis of preparation of significant accounting policies and new accounting standards, see Item 18, “Financial Statements,” notes 2, 3 and 4. Additionally, for information regarding the Bank’s fair value of financial instruments, see Item 18, “Financial Statements,” note 7.</w:t>
      </w:r>
    </w:p>
    <w:p>
      <w:pPr>
        <w:spacing w:after="0" w:line="180" w:lineRule="exact"/>
        <w:rPr>
          <w:sz w:val="20"/>
          <w:szCs w:val="20"/>
          <w:color w:val="auto"/>
        </w:rPr>
      </w:pPr>
    </w:p>
    <w:p>
      <w:pPr>
        <w:ind w:left="480" w:hanging="472"/>
        <w:spacing w:after="0"/>
        <w:tabs>
          <w:tab w:leader="none" w:pos="48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and Capital Resources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Liquidity</w:t>
      </w:r>
    </w:p>
    <w:p>
      <w:pPr>
        <w:spacing w:after="0" w:line="225" w:lineRule="exact"/>
        <w:rPr>
          <w:sz w:val="20"/>
          <w:szCs w:val="20"/>
          <w:color w:val="auto"/>
        </w:rPr>
      </w:pPr>
    </w:p>
    <w:p>
      <w:pPr>
        <w:spacing w:after="0"/>
        <w:rPr>
          <w:sz w:val="20"/>
          <w:szCs w:val="20"/>
          <w:color w:val="auto"/>
        </w:rPr>
      </w:pPr>
      <w:r>
        <w:rPr>
          <w:rFonts w:ascii="Arial" w:cs="Arial" w:eastAsia="Arial" w:hAnsi="Arial"/>
          <w:sz w:val="16"/>
          <w:szCs w:val="16"/>
          <w:color w:val="auto"/>
        </w:rPr>
        <w:t>Liquidity refers to the Bank’s ability to maintain adequate cash flows to fund operations and meet obligations and other commitments on a timely basis.</w:t>
      </w:r>
    </w:p>
    <w:p>
      <w:pPr>
        <w:spacing w:after="0" w:line="248"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6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by adopting an LCR methodology referencing the Basel Committee guidelines. The Bank also monitors the stability of its funding base in alignment with the principles established by Basel’s Net Stable Funding Ratio.</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addition, the Bank monitors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5" w:name="page76"/>
    <w:bookmarkEnd w:id="75"/>
    <w:p>
      <w:pPr>
        <w:spacing w:after="0"/>
        <w:rPr>
          <w:sz w:val="20"/>
          <w:szCs w:val="20"/>
          <w:color w:val="auto"/>
        </w:rPr>
      </w:pPr>
      <w:r>
        <w:rPr>
          <w:rFonts w:ascii="Arial" w:cs="Arial" w:eastAsia="Arial" w:hAnsi="Arial"/>
          <w:sz w:val="18"/>
          <w:szCs w:val="18"/>
          <w:i w:val="1"/>
          <w:iCs w:val="1"/>
          <w:color w:val="auto"/>
        </w:rPr>
        <w:t>Actions implemented due to the COVID-19 pandemic</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Following the COVID-19 pandemic and its potential impact on the availability of resources, the Bank activated its Contingent Liquidity Plan, based on internally designed market triggers, in order to ensure a robust liquidity position given the situation caused by the pandemic. This led the Bank to adjust the scenario of its LCR from a regular level of one to a level of three, which includes more restrictive assumptions for inflows and outflows of cash, with a downward adjustment in the percentages of funding source renewals and of Loan Portfolio collections. Other additional elements included in the Contingent Liquidity Plan are, among others, the collection of all loan maturities and the case-by-case approval of all new credit disbursements by the Credit Committee, establishing at least biweekly meetings.</w:t>
      </w:r>
    </w:p>
    <w:p>
      <w:pPr>
        <w:spacing w:after="0" w:line="19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Following the execution of the previously described Contingent Liquidity Plan, the Bank achieved a significant increase in its cash position in a short period of time, managing to continuously maintain a robust level of liquidity, exceeding regulatory requirements.</w:t>
      </w:r>
    </w:p>
    <w:p>
      <w:pPr>
        <w:spacing w:after="0" w:line="170"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Bank’s capacity to maintain these strong liquidity levels, even in a context of increased market volatility and uncertainty, is attributable to historically diversified and stable funding sources, including deposits from central banks in Latin America and the Caribbean, who are also the Bank’s Class A shareholders. In addition, the Bank has maintained a fluid access to a significant base of correspondent banks and investors from debt capital markets across the globe, which have maintained and even increased their availability of funding to the Bank during the pandemic in 2020. Furthermore, the Bank has been able to collect on the majority of scheduled maturities of its loan portfolio and has then disbursed new transactions on a selective basis, prioritizing preserving liquidity and prudent risk management over loan growth, with a focus on adequate levels of risk / return.</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In the Bank’s opinion, its liquidity position is adequate for the Bank’s present requirements.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the Bank’s liquid assets by principal geographic risk area as of December 31 of each year:</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40" w:type="dxa"/>
            <w:vAlign w:val="bottom"/>
          </w:tcPr>
          <w:p>
            <w:pPr>
              <w:spacing w:after="0"/>
              <w:rPr>
                <w:sz w:val="20"/>
                <w:szCs w:val="20"/>
                <w:color w:val="auto"/>
              </w:rPr>
            </w:pPr>
          </w:p>
        </w:tc>
        <w:tc>
          <w:tcPr>
            <w:tcW w:w="25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4440" w:type="dxa"/>
            <w:vAlign w:val="bottom"/>
          </w:tcPr>
          <w:p>
            <w:pPr>
              <w:spacing w:after="0"/>
              <w:rPr>
                <w:sz w:val="18"/>
                <w:szCs w:val="18"/>
                <w:color w:val="auto"/>
              </w:rPr>
            </w:pPr>
          </w:p>
        </w:tc>
        <w:tc>
          <w:tcPr>
            <w:tcW w:w="254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w w:val="89"/>
              </w:rPr>
              <w:t>2019</w:t>
            </w: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r>
      <w:tr>
        <w:trPr>
          <w:trHeight w:val="223"/>
        </w:trPr>
        <w:tc>
          <w:tcPr>
            <w:tcW w:w="4440" w:type="dxa"/>
            <w:vAlign w:val="bottom"/>
          </w:tcPr>
          <w:p>
            <w:pPr>
              <w:spacing w:after="0"/>
              <w:rPr>
                <w:sz w:val="19"/>
                <w:szCs w:val="19"/>
                <w:color w:val="auto"/>
              </w:rPr>
            </w:pPr>
          </w:p>
        </w:tc>
        <w:tc>
          <w:tcPr>
            <w:tcW w:w="25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(in $</w:t>
            </w:r>
          </w:p>
        </w:tc>
        <w:tc>
          <w:tcPr>
            <w:tcW w:w="800" w:type="dxa"/>
            <w:vAlign w:val="bottom"/>
          </w:tcPr>
          <w:p>
            <w:pPr>
              <w:jc w:val="right"/>
              <w:ind w:right="10"/>
              <w:spacing w:after="0"/>
              <w:rPr>
                <w:sz w:val="20"/>
                <w:szCs w:val="20"/>
                <w:color w:val="auto"/>
              </w:rPr>
            </w:pPr>
            <w:r>
              <w:rPr>
                <w:rFonts w:ascii="Arial" w:cs="Arial" w:eastAsia="Arial" w:hAnsi="Arial"/>
                <w:sz w:val="18"/>
                <w:szCs w:val="18"/>
                <w:color w:val="auto"/>
              </w:rPr>
              <w:t>millions)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United States of America</w:t>
            </w:r>
          </w:p>
        </w:tc>
        <w:tc>
          <w:tcPr>
            <w:tcW w:w="28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830</w:t>
            </w:r>
          </w:p>
        </w:tc>
        <w:tc>
          <w:tcPr>
            <w:tcW w:w="600" w:type="dxa"/>
            <w:vAlign w:val="bottom"/>
            <w:gridSpan w:val="2"/>
            <w:shd w:val="clear" w:color="auto" w:fill="CCEEFF"/>
          </w:tcPr>
          <w:p>
            <w:pPr>
              <w:jc w:val="right"/>
              <w:ind w:right="258"/>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1,132</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1,650</w:t>
            </w: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Other O.E.C.D. countries</w:t>
            </w:r>
          </w:p>
        </w:tc>
        <w:tc>
          <w:tcPr>
            <w:tcW w:w="25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100</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4</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50</w:t>
            </w:r>
          </w:p>
        </w:tc>
      </w:tr>
      <w:tr>
        <w:trPr>
          <w:trHeight w:val="216"/>
        </w:trPr>
        <w:tc>
          <w:tcPr>
            <w:tcW w:w="4440" w:type="dxa"/>
            <w:vAlign w:val="bottom"/>
            <w:shd w:val="clear" w:color="auto" w:fill="CCEEFF"/>
          </w:tcPr>
          <w:p>
            <w:pPr>
              <w:spacing w:after="0"/>
              <w:rPr>
                <w:sz w:val="20"/>
                <w:szCs w:val="20"/>
                <w:color w:val="auto"/>
              </w:rPr>
            </w:pPr>
            <w:r>
              <w:rPr>
                <w:rFonts w:ascii="Arial" w:cs="Arial" w:eastAsia="Arial" w:hAnsi="Arial"/>
                <w:sz w:val="18"/>
                <w:szCs w:val="18"/>
                <w:color w:val="auto"/>
              </w:rPr>
              <w:t>Multilateral Organizations</w:t>
            </w:r>
          </w:p>
        </w:tc>
        <w:tc>
          <w:tcPr>
            <w:tcW w:w="25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112</w:t>
            </w: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16"/>
        </w:trPr>
        <w:tc>
          <w:tcPr>
            <w:tcW w:w="4440" w:type="dxa"/>
            <w:vAlign w:val="bottom"/>
          </w:tcPr>
          <w:p>
            <w:pPr>
              <w:spacing w:after="0"/>
              <w:rPr>
                <w:sz w:val="20"/>
                <w:szCs w:val="20"/>
                <w:color w:val="auto"/>
              </w:rPr>
            </w:pPr>
            <w:r>
              <w:rPr>
                <w:rFonts w:ascii="Arial" w:cs="Arial" w:eastAsia="Arial" w:hAnsi="Arial"/>
                <w:sz w:val="18"/>
                <w:szCs w:val="18"/>
                <w:color w:val="auto"/>
              </w:rPr>
              <w:t>Latin America</w:t>
            </w:r>
          </w:p>
        </w:tc>
        <w:tc>
          <w:tcPr>
            <w:tcW w:w="25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6</w:t>
            </w: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4</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r>
      <w:tr>
        <w:trPr>
          <w:trHeight w:val="210"/>
        </w:trPr>
        <w:tc>
          <w:tcPr>
            <w:tcW w:w="4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54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1,048</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ind w:right="258"/>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1,160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440" w:type="dxa"/>
            <w:vAlign w:val="bottom"/>
          </w:tcPr>
          <w:p>
            <w:pPr>
              <w:spacing w:after="0" w:line="20" w:lineRule="exact"/>
              <w:rPr>
                <w:sz w:val="1"/>
                <w:szCs w:val="1"/>
                <w:color w:val="auto"/>
              </w:rPr>
            </w:pPr>
          </w:p>
        </w:tc>
        <w:tc>
          <w:tcPr>
            <w:tcW w:w="254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Bank’s liquid assets, in the form of cash and cash equivalents and highly rated corporate debt securities (above ‘A-’), totaled $1,048 million as of December 31, 2020, compared to $1,160 million as of December 31, 2019. Liquid assets to total assets ratio amounted to 17% as of December 31, 2020, compared to 16% as of December 31, 2019, while at these same dates, the liquid assets to total deposits ratios were 33% and 40%, respectively. As of December 31, 2020, $689 million, or 66% of the Bank’s liquid assets were held in deposits with the Federal Reserve Bank of New York, compared to $1,129 million, or 97% as of December 31, 2019. As of December 31, 2020, $202 million, or 19% of total liquid assets represented corporate debt securities classified as high quality liquid assets (“HQLA”) in accordance with the specifications of the Basel Committee, in order to improve the overall yield of its liquidity position.</w:t>
      </w:r>
    </w:p>
    <w:p>
      <w:pPr>
        <w:spacing w:after="0" w:line="19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liquid assets satisfied the liquidity requirement resulting from the maturities of the Bank’s 24-hour deposits from customers (demand deposit accounts and call deposits), which as of December 31, 2020 and 2019 amounted to $171 million and $86 million, respectively; representing 5% and 3% of the Bank’s total deposits, respectively.</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6" w:name="page77"/>
    <w:bookmarkEnd w:id="76"/>
    <w:p>
      <w:pPr>
        <w:jc w:val="both"/>
        <w:spacing w:after="0" w:line="257" w:lineRule="auto"/>
        <w:rPr>
          <w:sz w:val="20"/>
          <w:szCs w:val="20"/>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2020 and 2019, the Bank’s short-term loan and investment securities portfolio (maturing within one year based on original contractual term) totaled $3,114 million and $3,485 million, respectively. As of December 31, 2020 and 2019, it had an average original term to maturity of 195 and 189 days, respectively, and an average remaining term to maturity of 149 days and 131 days, respectively.</w:t>
      </w:r>
    </w:p>
    <w:p>
      <w:pPr>
        <w:spacing w:after="0" w:line="188"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Medium-term assets (loans and investment securities maturing beyond one year based on original contractual term) totaled $2,193 million and $2,497 million as of December 31, 2020 and 2019, respectively. As of December 31, 2020 and 2019, the medium-term assets had an average original term to maturity of three years and nine months (1,382 days) and three years and three months (1,185 days), respectively; and an average remaining term to maturity of two years and five months (887 days), and two years and eight months (990 days), respectively.</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Credit Ratings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cost and availability of financing for the Bank are influenced by its credit ratings, among other factors. The credit ratings of the Bank as of the date of this annual report, were as follows:</w:t>
      </w:r>
    </w:p>
    <w:p>
      <w:pPr>
        <w:spacing w:after="0" w:line="166"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2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60" w:type="dxa"/>
            <w:vAlign w:val="bottom"/>
            <w:tcBorders>
              <w:bottom w:val="single" w:sz="8" w:color="auto"/>
            </w:tcBorders>
          </w:tcPr>
          <w:p>
            <w:pPr>
              <w:ind w:left="800"/>
              <w:spacing w:after="0"/>
              <w:rPr>
                <w:sz w:val="20"/>
                <w:szCs w:val="20"/>
                <w:color w:val="auto"/>
              </w:rPr>
            </w:pPr>
            <w:r>
              <w:rPr>
                <w:rFonts w:ascii="Arial" w:cs="Arial" w:eastAsia="Arial" w:hAnsi="Arial"/>
                <w:sz w:val="18"/>
                <w:szCs w:val="18"/>
                <w:b w:val="1"/>
                <w:bCs w:val="1"/>
                <w:color w:val="auto"/>
              </w:rPr>
              <w:t>Fitch</w:t>
            </w:r>
          </w:p>
        </w:tc>
        <w:tc>
          <w:tcPr>
            <w:tcW w:w="72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0" w:type="dxa"/>
            <w:vAlign w:val="bottom"/>
            <w:tcBorders>
              <w:bottom w:val="single" w:sz="8" w:color="auto"/>
            </w:tcBorders>
          </w:tcPr>
          <w:p>
            <w:pPr>
              <w:ind w:left="640"/>
              <w:spacing w:after="0"/>
              <w:rPr>
                <w:sz w:val="20"/>
                <w:szCs w:val="20"/>
                <w:color w:val="auto"/>
              </w:rPr>
            </w:pPr>
            <w:r>
              <w:rPr>
                <w:rFonts w:ascii="Arial" w:cs="Arial" w:eastAsia="Arial" w:hAnsi="Arial"/>
                <w:sz w:val="18"/>
                <w:szCs w:val="18"/>
                <w:b w:val="1"/>
                <w:bCs w:val="1"/>
                <w:color w:val="auto"/>
              </w:rPr>
              <w:t>Moody’s</w:t>
            </w:r>
          </w:p>
        </w:tc>
        <w:tc>
          <w:tcPr>
            <w:tcW w:w="56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80" w:type="dxa"/>
            <w:vAlign w:val="bottom"/>
            <w:tcBorders>
              <w:bottom w:val="single" w:sz="8" w:color="auto"/>
            </w:tcBorders>
          </w:tcPr>
          <w:p>
            <w:pPr>
              <w:jc w:val="right"/>
              <w:ind w:right="730"/>
              <w:spacing w:after="0"/>
              <w:rPr>
                <w:sz w:val="20"/>
                <w:szCs w:val="20"/>
                <w:color w:val="auto"/>
              </w:rPr>
            </w:pPr>
            <w:r>
              <w:rPr>
                <w:rFonts w:ascii="Arial" w:cs="Arial" w:eastAsia="Arial" w:hAnsi="Arial"/>
                <w:sz w:val="18"/>
                <w:szCs w:val="18"/>
                <w:b w:val="1"/>
                <w:bCs w:val="1"/>
                <w:color w:val="auto"/>
              </w:rPr>
              <w:t>S&amp;P</w:t>
            </w:r>
          </w:p>
        </w:tc>
        <w:tc>
          <w:tcPr>
            <w:tcW w:w="80" w:type="dxa"/>
            <w:vAlign w:val="bottom"/>
          </w:tcPr>
          <w:p>
            <w:pPr>
              <w:spacing w:after="0"/>
              <w:rPr>
                <w:sz w:val="20"/>
                <w:szCs w:val="20"/>
                <w:color w:val="auto"/>
              </w:rPr>
            </w:pPr>
          </w:p>
        </w:tc>
      </w:tr>
      <w:tr>
        <w:trPr>
          <w:trHeight w:val="209"/>
        </w:trPr>
        <w:tc>
          <w:tcPr>
            <w:tcW w:w="37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Short-Term</w:t>
            </w:r>
          </w:p>
        </w:tc>
        <w:tc>
          <w:tcPr>
            <w:tcW w:w="2420" w:type="dxa"/>
            <w:vAlign w:val="bottom"/>
            <w:gridSpan w:val="4"/>
            <w:shd w:val="clear" w:color="auto" w:fill="CCEEFF"/>
          </w:tcPr>
          <w:p>
            <w:pPr>
              <w:jc w:val="right"/>
              <w:ind w:right="1610"/>
              <w:spacing w:after="0"/>
              <w:rPr>
                <w:sz w:val="20"/>
                <w:szCs w:val="20"/>
                <w:color w:val="auto"/>
              </w:rPr>
            </w:pPr>
            <w:r>
              <w:rPr>
                <w:rFonts w:ascii="Arial" w:cs="Arial" w:eastAsia="Arial" w:hAnsi="Arial"/>
                <w:sz w:val="18"/>
                <w:szCs w:val="18"/>
                <w:color w:val="auto"/>
              </w:rPr>
              <w:t>F3</w:t>
            </w: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P-2</w:t>
            </w:r>
          </w:p>
        </w:tc>
        <w:tc>
          <w:tcPr>
            <w:tcW w:w="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A-2</w:t>
            </w:r>
          </w:p>
        </w:tc>
      </w:tr>
      <w:tr>
        <w:trPr>
          <w:trHeight w:val="216"/>
        </w:trPr>
        <w:tc>
          <w:tcPr>
            <w:tcW w:w="3700" w:type="dxa"/>
            <w:vAlign w:val="bottom"/>
            <w:gridSpan w:val="3"/>
          </w:tcPr>
          <w:p>
            <w:pPr>
              <w:spacing w:after="0"/>
              <w:rPr>
                <w:sz w:val="20"/>
                <w:szCs w:val="20"/>
                <w:color w:val="auto"/>
              </w:rPr>
            </w:pPr>
            <w:r>
              <w:rPr>
                <w:rFonts w:ascii="Arial" w:cs="Arial" w:eastAsia="Arial" w:hAnsi="Arial"/>
                <w:sz w:val="18"/>
                <w:szCs w:val="18"/>
                <w:color w:val="auto"/>
              </w:rPr>
              <w:t>Long-Term</w:t>
            </w:r>
          </w:p>
        </w:tc>
        <w:tc>
          <w:tcPr>
            <w:tcW w:w="2420" w:type="dxa"/>
            <w:vAlign w:val="bottom"/>
            <w:gridSpan w:val="4"/>
          </w:tcPr>
          <w:p>
            <w:pPr>
              <w:jc w:val="right"/>
              <w:ind w:right="1610"/>
              <w:spacing w:after="0"/>
              <w:rPr>
                <w:sz w:val="20"/>
                <w:szCs w:val="20"/>
                <w:color w:val="auto"/>
              </w:rPr>
            </w:pPr>
            <w:r>
              <w:rPr>
                <w:rFonts w:ascii="Arial" w:cs="Arial" w:eastAsia="Arial" w:hAnsi="Arial"/>
                <w:sz w:val="18"/>
                <w:szCs w:val="18"/>
                <w:color w:val="auto"/>
              </w:rPr>
              <w:t>BBB</w:t>
            </w:r>
          </w:p>
        </w:tc>
        <w:tc>
          <w:tcPr>
            <w:tcW w:w="560" w:type="dxa"/>
            <w:vAlign w:val="bottom"/>
          </w:tcPr>
          <w:p>
            <w:pPr>
              <w:jc w:val="right"/>
              <w:spacing w:after="0"/>
              <w:rPr>
                <w:sz w:val="20"/>
                <w:szCs w:val="20"/>
                <w:color w:val="auto"/>
              </w:rPr>
            </w:pPr>
            <w:r>
              <w:rPr>
                <w:rFonts w:ascii="Arial" w:cs="Arial" w:eastAsia="Arial" w:hAnsi="Arial"/>
                <w:sz w:val="18"/>
                <w:szCs w:val="18"/>
                <w:color w:val="auto"/>
              </w:rPr>
              <w:t>Baa2</w:t>
            </w: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60" w:type="dxa"/>
            <w:vAlign w:val="bottom"/>
            <w:gridSpan w:val="2"/>
          </w:tcPr>
          <w:p>
            <w:pPr>
              <w:jc w:val="right"/>
              <w:ind w:right="80"/>
              <w:spacing w:after="0"/>
              <w:rPr>
                <w:sz w:val="20"/>
                <w:szCs w:val="20"/>
                <w:color w:val="auto"/>
              </w:rPr>
            </w:pPr>
            <w:r>
              <w:rPr>
                <w:rFonts w:ascii="Arial" w:cs="Arial" w:eastAsia="Arial" w:hAnsi="Arial"/>
                <w:sz w:val="18"/>
                <w:szCs w:val="18"/>
                <w:color w:val="auto"/>
              </w:rPr>
              <w:t>BBB</w:t>
            </w:r>
          </w:p>
        </w:tc>
      </w:tr>
      <w:tr>
        <w:trPr>
          <w:trHeight w:val="229"/>
        </w:trPr>
        <w:tc>
          <w:tcPr>
            <w:tcW w:w="2360" w:type="dxa"/>
            <w:vAlign w:val="bottom"/>
            <w:shd w:val="clear" w:color="auto" w:fill="CCEEFF"/>
          </w:tcPr>
          <w:p>
            <w:pPr>
              <w:spacing w:after="0"/>
              <w:rPr>
                <w:sz w:val="20"/>
                <w:szCs w:val="20"/>
                <w:color w:val="auto"/>
              </w:rPr>
            </w:pPr>
            <w:r>
              <w:rPr>
                <w:rFonts w:ascii="Arial" w:cs="Arial" w:eastAsia="Arial" w:hAnsi="Arial"/>
                <w:sz w:val="18"/>
                <w:szCs w:val="18"/>
                <w:color w:val="auto"/>
              </w:rPr>
              <w:t>Rating Outlook</w:t>
            </w:r>
          </w:p>
        </w:tc>
        <w:tc>
          <w:tcPr>
            <w:tcW w:w="1340" w:type="dxa"/>
            <w:vAlign w:val="bottom"/>
            <w:gridSpan w:val="2"/>
            <w:shd w:val="clear" w:color="auto" w:fill="CCEEFF"/>
          </w:tcPr>
          <w:p>
            <w:pPr>
              <w:spacing w:after="0"/>
              <w:rPr>
                <w:sz w:val="19"/>
                <w:szCs w:val="19"/>
                <w:color w:val="auto"/>
              </w:rPr>
            </w:pPr>
          </w:p>
        </w:tc>
        <w:tc>
          <w:tcPr>
            <w:tcW w:w="2420" w:type="dxa"/>
            <w:vAlign w:val="bottom"/>
            <w:gridSpan w:val="4"/>
            <w:shd w:val="clear" w:color="auto" w:fill="CCEEFF"/>
          </w:tcPr>
          <w:p>
            <w:pPr>
              <w:jc w:val="right"/>
              <w:ind w:right="1610"/>
              <w:spacing w:after="0"/>
              <w:rPr>
                <w:sz w:val="20"/>
                <w:szCs w:val="20"/>
                <w:color w:val="auto"/>
              </w:rPr>
            </w:pPr>
            <w:r>
              <w:rPr>
                <w:rFonts w:ascii="Arial" w:cs="Arial" w:eastAsia="Arial" w:hAnsi="Arial"/>
                <w:sz w:val="18"/>
                <w:szCs w:val="18"/>
                <w:color w:val="auto"/>
                <w:w w:val="98"/>
              </w:rPr>
              <w:t>Negative</w:t>
            </w:r>
          </w:p>
        </w:tc>
        <w:tc>
          <w:tcPr>
            <w:tcW w:w="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Stable</w:t>
            </w:r>
          </w:p>
        </w:tc>
        <w:tc>
          <w:tcPr>
            <w:tcW w:w="1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Stable</w:t>
            </w:r>
          </w:p>
        </w:tc>
      </w:tr>
      <w:tr>
        <w:trPr>
          <w:trHeight w:val="20"/>
        </w:trPr>
        <w:tc>
          <w:tcPr>
            <w:tcW w:w="236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9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Moody’s Investors Service, Inc. (“Moody’s”)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credit ratings from Moody’s have been unchanged at “Baa2/P-2” since December 19, 2007, with the latest affirmation of the Bank’s credit ratings on May 27, 2020. The outlook was revised to stable from negative.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Standard &amp; Poor’s Global Ratings (“S&amp;P”)</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credit ratings from S&amp;P have been unchanged at “BBB/A-2” since May 13, 2008, with the most recent affirmation of the Bank’s credit ratings on April 14, 2021. The outlook was revised to stable from negative.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Credit Rating from Fitch Ratings Ltd. (“Fitch”)</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credit ratings from Fitch were downgraded to “BBB/F3” from “BBB+/F2” on June 18, 2020, with a negative outlook, with the most recent affirmation of the Bank’s credit ratings on February 10, 2021.</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Critical factors supporting the Bank’s investment-grade credit ratings mainly include its solid tier one capitalization, prudent risk management, its historically solid asset quality and financial performance, and stable funding structure. Although the Bank closely monitors and manages factors influencing its credit ratings, there is no assurance that such ratings will not be lowered in the future.</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7" w:name="page78"/>
    <w:bookmarkEnd w:id="77"/>
    <w:p>
      <w:pPr>
        <w:spacing w:after="0"/>
        <w:rPr>
          <w:sz w:val="20"/>
          <w:szCs w:val="20"/>
          <w:color w:val="auto"/>
        </w:rPr>
      </w:pPr>
      <w:r>
        <w:rPr>
          <w:rFonts w:ascii="Arial" w:cs="Arial" w:eastAsia="Arial" w:hAnsi="Arial"/>
          <w:sz w:val="18"/>
          <w:szCs w:val="18"/>
          <w:b w:val="1"/>
          <w:bCs w:val="1"/>
          <w:i w:val="1"/>
          <w:iCs w:val="1"/>
          <w:color w:val="auto"/>
        </w:rPr>
        <w:t>Funding Sources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principal sources of funds are deposits and, to a lesser extent,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pacing w:after="0" w:line="183" w:lineRule="exact"/>
        <w:rPr>
          <w:sz w:val="20"/>
          <w:szCs w:val="20"/>
          <w:color w:val="auto"/>
        </w:rPr>
      </w:pPr>
    </w:p>
    <w:p>
      <w:pPr>
        <w:ind w:left="818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6820" w:type="dxa"/>
            <w:vAlign w:val="bottom"/>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40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300" w:type="dxa"/>
            <w:vAlign w:val="bottom"/>
            <w:tcBorders>
              <w:top w:val="single" w:sz="8" w:color="auto"/>
            </w:tcBorders>
          </w:tcPr>
          <w:p>
            <w:pPr>
              <w:spacing w:after="0"/>
              <w:rPr>
                <w:sz w:val="18"/>
                <w:szCs w:val="18"/>
                <w:color w:val="auto"/>
              </w:rPr>
            </w:pPr>
          </w:p>
        </w:tc>
        <w:tc>
          <w:tcPr>
            <w:tcW w:w="122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80" w:type="dxa"/>
            <w:vAlign w:val="bottom"/>
          </w:tcPr>
          <w:p>
            <w:pPr>
              <w:spacing w:after="0"/>
              <w:rPr>
                <w:sz w:val="18"/>
                <w:szCs w:val="18"/>
                <w:color w:val="auto"/>
              </w:rPr>
            </w:pPr>
          </w:p>
        </w:tc>
      </w:tr>
      <w:tr>
        <w:trPr>
          <w:trHeight w:val="223"/>
        </w:trPr>
        <w:tc>
          <w:tcPr>
            <w:tcW w:w="682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w w:val="89"/>
              </w:rPr>
              <w:t>(in percentages)</w:t>
            </w:r>
          </w:p>
        </w:tc>
        <w:tc>
          <w:tcPr>
            <w:tcW w:w="3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16"/>
        </w:trPr>
        <w:tc>
          <w:tcPr>
            <w:tcW w:w="76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700" w:type="dxa"/>
            <w:vAlign w:val="bottom"/>
            <w:gridSpan w:val="2"/>
            <w:shd w:val="clear" w:color="auto" w:fill="CCEEFF"/>
          </w:tcPr>
          <w:p>
            <w:pPr>
              <w:jc w:val="right"/>
              <w:ind w:right="50"/>
              <w:spacing w:after="0"/>
              <w:rPr>
                <w:sz w:val="20"/>
                <w:szCs w:val="20"/>
                <w:color w:val="auto"/>
              </w:rPr>
            </w:pPr>
            <w:r>
              <w:rPr>
                <w:rFonts w:ascii="Arial" w:cs="Arial" w:eastAsia="Arial" w:hAnsi="Arial"/>
                <w:sz w:val="18"/>
                <w:szCs w:val="18"/>
                <w:color w:val="auto"/>
              </w:rPr>
              <w:t>61.1%</w:t>
            </w:r>
          </w:p>
        </w:tc>
        <w:tc>
          <w:tcPr>
            <w:tcW w:w="15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47.7%</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45.5%</w:t>
            </w:r>
          </w:p>
        </w:tc>
      </w:tr>
      <w:tr>
        <w:trPr>
          <w:trHeight w:val="216"/>
        </w:trPr>
        <w:tc>
          <w:tcPr>
            <w:tcW w:w="7620" w:type="dxa"/>
            <w:vAlign w:val="bottom"/>
            <w:gridSpan w:val="2"/>
          </w:tcPr>
          <w:p>
            <w:pPr>
              <w:spacing w:after="0"/>
              <w:rPr>
                <w:sz w:val="20"/>
                <w:szCs w:val="20"/>
                <w:color w:val="auto"/>
              </w:rPr>
            </w:pPr>
            <w:r>
              <w:rPr>
                <w:rFonts w:ascii="Arial" w:cs="Arial" w:eastAsia="Arial" w:hAnsi="Arial"/>
                <w:sz w:val="18"/>
                <w:szCs w:val="18"/>
                <w:color w:val="auto"/>
              </w:rPr>
              <w:t>Securities sold under repurchase agreements</w:t>
            </w:r>
          </w:p>
        </w:tc>
        <w:tc>
          <w:tcPr>
            <w:tcW w:w="700" w:type="dxa"/>
            <w:vAlign w:val="bottom"/>
            <w:gridSpan w:val="2"/>
          </w:tcPr>
          <w:p>
            <w:pPr>
              <w:jc w:val="right"/>
              <w:ind w:right="210"/>
              <w:spacing w:after="0"/>
              <w:rPr>
                <w:sz w:val="20"/>
                <w:szCs w:val="20"/>
                <w:color w:val="auto"/>
              </w:rPr>
            </w:pPr>
            <w:r>
              <w:rPr>
                <w:rFonts w:ascii="Arial" w:cs="Arial" w:eastAsia="Arial" w:hAnsi="Arial"/>
                <w:sz w:val="18"/>
                <w:szCs w:val="18"/>
                <w:color w:val="auto"/>
              </w:rPr>
              <w:t>0.2</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0.7</w:t>
            </w:r>
          </w:p>
        </w:tc>
        <w:tc>
          <w:tcPr>
            <w:tcW w:w="1400" w:type="dxa"/>
            <w:vAlign w:val="bottom"/>
            <w:gridSpan w:val="2"/>
          </w:tcPr>
          <w:p>
            <w:pPr>
              <w:jc w:val="right"/>
              <w:ind w:right="90"/>
              <w:spacing w:after="0"/>
              <w:rPr>
                <w:sz w:val="20"/>
                <w:szCs w:val="20"/>
                <w:color w:val="auto"/>
              </w:rPr>
            </w:pPr>
            <w:r>
              <w:rPr>
                <w:rFonts w:ascii="Arial" w:cs="Arial" w:eastAsia="Arial" w:hAnsi="Arial"/>
                <w:sz w:val="18"/>
                <w:szCs w:val="18"/>
                <w:color w:val="auto"/>
              </w:rPr>
              <w:t>0.6</w:t>
            </w:r>
          </w:p>
        </w:tc>
      </w:tr>
      <w:tr>
        <w:trPr>
          <w:trHeight w:val="216"/>
        </w:trPr>
        <w:tc>
          <w:tcPr>
            <w:tcW w:w="76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70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7.5</w:t>
            </w:r>
          </w:p>
        </w:tc>
        <w:tc>
          <w:tcPr>
            <w:tcW w:w="1520" w:type="dxa"/>
            <w:vAlign w:val="bottom"/>
            <w:gridSpan w:val="2"/>
            <w:shd w:val="clear" w:color="auto" w:fill="CCEEFF"/>
          </w:tcPr>
          <w:p>
            <w:pPr>
              <w:jc w:val="right"/>
              <w:ind w:right="210"/>
              <w:spacing w:after="0"/>
              <w:rPr>
                <w:sz w:val="20"/>
                <w:szCs w:val="20"/>
                <w:color w:val="auto"/>
              </w:rPr>
            </w:pPr>
            <w:r>
              <w:rPr>
                <w:rFonts w:ascii="Arial" w:cs="Arial" w:eastAsia="Arial" w:hAnsi="Arial"/>
                <w:sz w:val="18"/>
                <w:szCs w:val="18"/>
                <w:color w:val="auto"/>
              </w:rPr>
              <w:t>26.4</w:t>
            </w:r>
          </w:p>
        </w:tc>
        <w:tc>
          <w:tcPr>
            <w:tcW w:w="14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31.0</w:t>
            </w:r>
          </w:p>
        </w:tc>
      </w:tr>
      <w:tr>
        <w:trPr>
          <w:trHeight w:val="216"/>
        </w:trPr>
        <w:tc>
          <w:tcPr>
            <w:tcW w:w="7620" w:type="dxa"/>
            <w:vAlign w:val="bottom"/>
            <w:gridSpan w:val="2"/>
          </w:tcPr>
          <w:p>
            <w:pPr>
              <w:spacing w:after="0"/>
              <w:rPr>
                <w:sz w:val="20"/>
                <w:szCs w:val="20"/>
                <w:color w:val="auto"/>
              </w:rPr>
            </w:pPr>
            <w:r>
              <w:rPr>
                <w:rFonts w:ascii="Arial" w:cs="Arial" w:eastAsia="Arial" w:hAnsi="Arial"/>
                <w:sz w:val="18"/>
                <w:szCs w:val="18"/>
                <w:color w:val="auto"/>
              </w:rPr>
              <w:t>Long-term borrowings and debt, net</w:t>
            </w:r>
          </w:p>
        </w:tc>
        <w:tc>
          <w:tcPr>
            <w:tcW w:w="700" w:type="dxa"/>
            <w:vAlign w:val="bottom"/>
            <w:gridSpan w:val="2"/>
          </w:tcPr>
          <w:p>
            <w:pPr>
              <w:jc w:val="right"/>
              <w:ind w:right="210"/>
              <w:spacing w:after="0"/>
              <w:rPr>
                <w:sz w:val="20"/>
                <w:szCs w:val="20"/>
                <w:color w:val="auto"/>
              </w:rPr>
            </w:pPr>
            <w:r>
              <w:rPr>
                <w:rFonts w:ascii="Arial" w:cs="Arial" w:eastAsia="Arial" w:hAnsi="Arial"/>
                <w:sz w:val="18"/>
                <w:szCs w:val="18"/>
                <w:color w:val="auto"/>
              </w:rPr>
              <w:t>31.2</w:t>
            </w:r>
          </w:p>
        </w:tc>
        <w:tc>
          <w:tcPr>
            <w:tcW w:w="1520" w:type="dxa"/>
            <w:vAlign w:val="bottom"/>
            <w:gridSpan w:val="2"/>
          </w:tcPr>
          <w:p>
            <w:pPr>
              <w:jc w:val="right"/>
              <w:ind w:right="210"/>
              <w:spacing w:after="0"/>
              <w:rPr>
                <w:sz w:val="20"/>
                <w:szCs w:val="20"/>
                <w:color w:val="auto"/>
              </w:rPr>
            </w:pPr>
            <w:r>
              <w:rPr>
                <w:rFonts w:ascii="Arial" w:cs="Arial" w:eastAsia="Arial" w:hAnsi="Arial"/>
                <w:sz w:val="18"/>
                <w:szCs w:val="18"/>
                <w:color w:val="auto"/>
              </w:rPr>
              <w:t>25.2</w:t>
            </w:r>
          </w:p>
        </w:tc>
        <w:tc>
          <w:tcPr>
            <w:tcW w:w="1400" w:type="dxa"/>
            <w:vAlign w:val="bottom"/>
            <w:gridSpan w:val="2"/>
          </w:tcPr>
          <w:p>
            <w:pPr>
              <w:jc w:val="right"/>
              <w:ind w:right="90"/>
              <w:spacing w:after="0"/>
              <w:rPr>
                <w:sz w:val="20"/>
                <w:szCs w:val="20"/>
                <w:color w:val="auto"/>
              </w:rPr>
            </w:pPr>
            <w:r>
              <w:rPr>
                <w:rFonts w:ascii="Arial" w:cs="Arial" w:eastAsia="Arial" w:hAnsi="Arial"/>
                <w:sz w:val="18"/>
                <w:szCs w:val="18"/>
                <w:color w:val="auto"/>
              </w:rPr>
              <w:t>22.9</w:t>
            </w:r>
          </w:p>
        </w:tc>
      </w:tr>
      <w:tr>
        <w:trPr>
          <w:trHeight w:val="209"/>
        </w:trPr>
        <w:tc>
          <w:tcPr>
            <w:tcW w:w="6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interest-bearing liabilities</w:t>
            </w:r>
          </w:p>
        </w:tc>
        <w:tc>
          <w:tcPr>
            <w:tcW w:w="800" w:type="dxa"/>
            <w:vAlign w:val="bottom"/>
            <w:tcBorders>
              <w:top w:val="single" w:sz="8" w:color="auto"/>
              <w:bottom w:val="single" w:sz="8" w:color="auto"/>
            </w:tcBorders>
            <w:shd w:val="clear" w:color="auto" w:fill="CCEEFF"/>
          </w:tcPr>
          <w:p>
            <w:pPr>
              <w:spacing w:after="0"/>
              <w:rPr>
                <w:sz w:val="18"/>
                <w:szCs w:val="18"/>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4"/>
              </w:rPr>
              <w:t>100.0</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300" w:type="dxa"/>
            <w:vAlign w:val="bottom"/>
            <w:tcBorders>
              <w:top w:val="single" w:sz="8" w:color="CCEEFF"/>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w w:val="99"/>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r>
      <w:tr>
        <w:trPr>
          <w:trHeight w:val="20"/>
        </w:trPr>
        <w:tc>
          <w:tcPr>
            <w:tcW w:w="68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has issued public debt in Mexico and Japan. The Bank has also placed private issuances of debt in different markets of Asia, Europe and Latin America.</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Deposits</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obtains deposits principally from central and commercial banks primarily located in the Region. As of December 31, 2020, 55% of the deposits held by the Bank were deposits made by central and state-owned banks in the Region. The average term remaining to maturity of deposits from the Region’s central and state owned banks as of December 31, 2020, 2019 and 2018, was 32 days, 36 days and 35 days, respectively. As of December 31, 2020, deposits from the Bank’s five largest depositors, all except two of which were central and state-owned banks in the Region, represented 42% of the Bank’s total deposits, compared to 49% as of December 31, 2019.</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analyzes the Bank’s deposits by country as of the dates indicated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80" w:type="dxa"/>
            <w:vAlign w:val="bottom"/>
          </w:tcPr>
          <w:p>
            <w:pPr>
              <w:spacing w:after="0"/>
              <w:rPr>
                <w:sz w:val="20"/>
                <w:szCs w:val="20"/>
                <w:color w:val="auto"/>
              </w:rPr>
            </w:pPr>
          </w:p>
        </w:tc>
        <w:tc>
          <w:tcPr>
            <w:tcW w:w="330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4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680" w:type="dxa"/>
            <w:vAlign w:val="bottom"/>
          </w:tcPr>
          <w:p>
            <w:pPr>
              <w:spacing w:after="0"/>
              <w:rPr>
                <w:sz w:val="18"/>
                <w:szCs w:val="18"/>
                <w:color w:val="auto"/>
              </w:rPr>
            </w:pPr>
          </w:p>
        </w:tc>
        <w:tc>
          <w:tcPr>
            <w:tcW w:w="3300" w:type="dxa"/>
            <w:vAlign w:val="bottom"/>
          </w:tcPr>
          <w:p>
            <w:pPr>
              <w:spacing w:after="0"/>
              <w:rPr>
                <w:sz w:val="18"/>
                <w:szCs w:val="18"/>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4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3680" w:type="dxa"/>
            <w:vAlign w:val="bottom"/>
          </w:tcPr>
          <w:p>
            <w:pPr>
              <w:spacing w:after="0"/>
              <w:rPr>
                <w:sz w:val="17"/>
                <w:szCs w:val="17"/>
                <w:color w:val="auto"/>
              </w:rPr>
            </w:pPr>
          </w:p>
        </w:tc>
        <w:tc>
          <w:tcPr>
            <w:tcW w:w="33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20" w:type="dxa"/>
            <w:vAlign w:val="bottom"/>
            <w:gridSpan w:val="2"/>
          </w:tcPr>
          <w:p>
            <w:pPr>
              <w:jc w:val="right"/>
              <w:ind w:right="70"/>
              <w:spacing w:after="0" w:line="196" w:lineRule="exact"/>
              <w:rPr>
                <w:sz w:val="20"/>
                <w:szCs w:val="20"/>
                <w:color w:val="auto"/>
              </w:rPr>
            </w:pPr>
            <w:r>
              <w:rPr>
                <w:rFonts w:ascii="Arial" w:cs="Arial" w:eastAsia="Arial" w:hAnsi="Arial"/>
                <w:sz w:val="18"/>
                <w:szCs w:val="18"/>
                <w:color w:val="auto"/>
                <w:w w:val="98"/>
              </w:rPr>
              <w:t>(in $ millions)</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Argentina</w:t>
            </w:r>
          </w:p>
        </w:tc>
        <w:tc>
          <w:tcPr>
            <w:tcW w:w="4140" w:type="dxa"/>
            <w:vAlign w:val="bottom"/>
            <w:gridSpan w:val="2"/>
            <w:shd w:val="clear" w:color="auto" w:fill="CCEEFF"/>
          </w:tcPr>
          <w:p>
            <w:pPr>
              <w:jc w:val="right"/>
              <w:ind w:right="650"/>
              <w:spacing w:after="0"/>
              <w:rPr>
                <w:sz w:val="20"/>
                <w:szCs w:val="20"/>
                <w:color w:val="auto"/>
              </w:rPr>
            </w:pPr>
            <w:r>
              <w:rPr>
                <w:rFonts w:ascii="Arial" w:cs="Arial" w:eastAsia="Arial" w:hAnsi="Arial"/>
                <w:sz w:val="18"/>
                <w:szCs w:val="18"/>
                <w:color w:val="auto"/>
              </w:rPr>
              <w:t>$</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141</w:t>
            </w:r>
          </w:p>
        </w:tc>
        <w:tc>
          <w:tcPr>
            <w:tcW w:w="440" w:type="dxa"/>
            <w:vAlign w:val="bottom"/>
            <w:gridSpan w:val="2"/>
            <w:shd w:val="clear" w:color="auto" w:fill="CCEEFF"/>
          </w:tcPr>
          <w:p>
            <w:pPr>
              <w:jc w:val="right"/>
              <w:ind w:right="98"/>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141</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Barbados</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Bolivia</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Brazil</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444</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415</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379</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Chile</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175</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Colombia</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34</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41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Costa Rica</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169</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153</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Dominican Republic</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108</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62</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Ecuador</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525</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590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522</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El Salvador</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38</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50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France</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Germany</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155</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165</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130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Guatemala</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Haiti</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74</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63</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61</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Honduras</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95</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260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Mexico</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2</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300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Multilateral</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154</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103</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Netherlands</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5</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Nicaragua</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135</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Panama</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552</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433</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391</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Paraguay</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206</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268</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Spain</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10</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1</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Trinidad and Tobago</w:t>
            </w:r>
          </w:p>
        </w:tc>
        <w:tc>
          <w:tcPr>
            <w:tcW w:w="33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3680" w:type="dxa"/>
            <w:vAlign w:val="bottom"/>
          </w:tcPr>
          <w:p>
            <w:pPr>
              <w:spacing w:after="0"/>
              <w:rPr>
                <w:sz w:val="20"/>
                <w:szCs w:val="20"/>
                <w:color w:val="auto"/>
              </w:rPr>
            </w:pPr>
            <w:r>
              <w:rPr>
                <w:rFonts w:ascii="Arial" w:cs="Arial" w:eastAsia="Arial" w:hAnsi="Arial"/>
                <w:sz w:val="18"/>
                <w:szCs w:val="18"/>
                <w:color w:val="auto"/>
              </w:rPr>
              <w:t>United States of America</w:t>
            </w:r>
          </w:p>
        </w:tc>
        <w:tc>
          <w:tcPr>
            <w:tcW w:w="33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460" w:type="dxa"/>
            <w:vAlign w:val="bottom"/>
            <w:gridSpan w:val="2"/>
          </w:tcPr>
          <w:p>
            <w:pPr>
              <w:jc w:val="right"/>
              <w:ind w:right="40"/>
              <w:spacing w:after="0"/>
              <w:rPr>
                <w:sz w:val="20"/>
                <w:szCs w:val="20"/>
                <w:color w:val="auto"/>
              </w:rPr>
            </w:pPr>
            <w:r>
              <w:rPr>
                <w:rFonts w:ascii="Arial" w:cs="Arial" w:eastAsia="Arial" w:hAnsi="Arial"/>
                <w:sz w:val="18"/>
                <w:szCs w:val="18"/>
                <w:color w:val="auto"/>
              </w:rPr>
              <w:t>171</w:t>
            </w:r>
          </w:p>
        </w:tc>
        <w:tc>
          <w:tcPr>
            <w:tcW w:w="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40</w:t>
            </w: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09"/>
        </w:trPr>
        <w:tc>
          <w:tcPr>
            <w:tcW w:w="3680" w:type="dxa"/>
            <w:vAlign w:val="bottom"/>
            <w:tcBorders>
              <w:top w:val="single" w:sz="8" w:color="CCEEFF"/>
              <w:bottom w:val="single" w:sz="8" w:color="CCEEFF"/>
            </w:tcBorders>
            <w:shd w:val="clear" w:color="auto" w:fill="CCEEFF"/>
          </w:tcPr>
          <w:p>
            <w:pPr>
              <w:ind w:left="340"/>
              <w:spacing w:after="0"/>
              <w:rPr>
                <w:sz w:val="20"/>
                <w:szCs w:val="20"/>
                <w:color w:val="auto"/>
              </w:rPr>
            </w:pPr>
            <w:r>
              <w:rPr>
                <w:rFonts w:ascii="Arial" w:cs="Arial" w:eastAsia="Arial" w:hAnsi="Arial"/>
                <w:sz w:val="18"/>
                <w:szCs w:val="18"/>
                <w:b w:val="1"/>
                <w:bCs w:val="1"/>
                <w:color w:val="auto"/>
              </w:rPr>
              <w:t>Total</w:t>
            </w:r>
          </w:p>
        </w:tc>
        <w:tc>
          <w:tcPr>
            <w:tcW w:w="330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ind w:right="650"/>
              <w:spacing w:after="0"/>
              <w:rPr>
                <w:sz w:val="20"/>
                <w:szCs w:val="20"/>
                <w:color w:val="auto"/>
              </w:rPr>
            </w:pPr>
            <w:r>
              <w:rPr>
                <w:rFonts w:ascii="Arial" w:cs="Arial" w:eastAsia="Arial" w:hAnsi="Arial"/>
                <w:sz w:val="18"/>
                <w:szCs w:val="18"/>
                <w:b w:val="1"/>
                <w:bCs w:val="1"/>
                <w:color w:val="auto"/>
                <w:w w:val="79"/>
              </w:rPr>
              <w:t>$</w:t>
            </w: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88"/>
              </w:rPr>
              <w:t>3,139</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98"/>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2,888</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2,971</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680" w:type="dxa"/>
            <w:vAlign w:val="bottom"/>
          </w:tcPr>
          <w:p>
            <w:pPr>
              <w:spacing w:after="0" w:line="20" w:lineRule="exact"/>
              <w:rPr>
                <w:sz w:val="1"/>
                <w:szCs w:val="1"/>
                <w:color w:val="auto"/>
              </w:rPr>
            </w:pPr>
          </w:p>
        </w:tc>
        <w:tc>
          <w:tcPr>
            <w:tcW w:w="3300" w:type="dxa"/>
            <w:vAlign w:val="bottom"/>
            <w:vMerge w:val="restart"/>
          </w:tcPr>
          <w:p>
            <w:pPr>
              <w:jc w:val="right"/>
              <w:ind w:right="1170"/>
              <w:spacing w:after="0"/>
              <w:rPr>
                <w:sz w:val="20"/>
                <w:szCs w:val="20"/>
                <w:color w:val="auto"/>
              </w:rPr>
            </w:pPr>
            <w:r>
              <w:rPr>
                <w:rFonts w:ascii="Arial" w:cs="Arial" w:eastAsia="Arial" w:hAnsi="Arial"/>
                <w:sz w:val="18"/>
                <w:szCs w:val="18"/>
                <w:color w:val="auto"/>
              </w:rPr>
              <w:t>75</w:t>
            </w:r>
          </w:p>
        </w:tc>
        <w:tc>
          <w:tcPr>
            <w:tcW w:w="84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680" w:type="dxa"/>
            <w:vAlign w:val="bottom"/>
            <w:tcBorders>
              <w:bottom w:val="single" w:sz="8" w:color="auto"/>
            </w:tcBorders>
          </w:tcPr>
          <w:p>
            <w:pPr>
              <w:spacing w:after="0"/>
              <w:rPr>
                <w:sz w:val="24"/>
                <w:szCs w:val="24"/>
                <w:color w:val="auto"/>
              </w:rPr>
            </w:pPr>
          </w:p>
        </w:tc>
        <w:tc>
          <w:tcPr>
            <w:tcW w:w="3300" w:type="dxa"/>
            <w:vAlign w:val="bottom"/>
            <w:tcBorders>
              <w:bottom w:val="single" w:sz="8" w:color="auto"/>
            </w:tcBorders>
            <w:vMerge w:val="continue"/>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78" w:name="page79"/>
    <w:bookmarkEnd w:id="78"/>
    <w:p>
      <w:pPr>
        <w:spacing w:after="0"/>
        <w:rPr>
          <w:sz w:val="20"/>
          <w:szCs w:val="20"/>
          <w:color w:val="auto"/>
        </w:rPr>
      </w:pPr>
      <w:r>
        <w:rPr>
          <w:rFonts w:ascii="Arial" w:cs="Arial" w:eastAsia="Arial" w:hAnsi="Arial"/>
          <w:sz w:val="18"/>
          <w:szCs w:val="18"/>
          <w:i w:val="1"/>
          <w:iCs w:val="1"/>
          <w:color w:val="auto"/>
        </w:rPr>
        <w:t>Short-Term Borrowings and Debt, and Repos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enters into financing transactions under repurchase agreements (“Repos”) with international banks from time to time, utilizing its investment securities portfolio as collateral to secure cost-effective funding. Repos are reported as secured financings in the financial statements. As of December 31, 2020, the Bank had outstanding Repos for $11 million, compared to outstanding Repos for $41 million as of December 31, 2019 and $40 million as of December 31, 2018.</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short-term borrowings and debt consist of borrowings from banks and debt instruments from notes issued under the Bank’s Euro Medium-Term Note Program that have maturities of up to 365 days.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Europe and multilateral organizations.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short-term borrowings and debt totaled $381 million, a 76% decrease compared to $1,596 million as of December 31, 2019, as the Bank relied more on deposits and longer tenor funding transactions. The average term remaining to maturity of short-term borrowings and debt as of December 31, 2020 was 177 days, compared to 76 days as of December 31, 2019.</w:t>
      </w:r>
    </w:p>
    <w:p>
      <w:pPr>
        <w:spacing w:after="0" w:line="18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presents information regarding the amounts outstanding under, and interest rates on, the Bank’s short-term borrowings and Repos at the dates and during the periods indicated.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8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4380" w:type="dxa"/>
            <w:vAlign w:val="bottom"/>
            <w:gridSpan w:val="10"/>
          </w:tcPr>
          <w:p>
            <w:pPr>
              <w:jc w:val="center"/>
              <w:ind w:right="16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10"/>
        </w:trPr>
        <w:tc>
          <w:tcPr>
            <w:tcW w:w="578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420" w:type="dxa"/>
            <w:vAlign w:val="bottom"/>
            <w:tcBorders>
              <w:top w:val="single" w:sz="8" w:color="auto"/>
              <w:bottom w:val="single" w:sz="8" w:color="auto"/>
            </w:tcBorders>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260" w:type="dxa"/>
            <w:vAlign w:val="bottom"/>
            <w:tcBorders>
              <w:top w:val="single" w:sz="8" w:color="auto"/>
              <w:bottom w:val="single" w:sz="8" w:color="auto"/>
            </w:tcBorders>
          </w:tcPr>
          <w:p>
            <w:pPr>
              <w:spacing w:after="0"/>
              <w:rPr>
                <w:sz w:val="18"/>
                <w:szCs w:val="18"/>
                <w:color w:val="auto"/>
              </w:rPr>
            </w:pPr>
          </w:p>
        </w:tc>
        <w:tc>
          <w:tcPr>
            <w:tcW w:w="960" w:type="dxa"/>
            <w:vAlign w:val="bottom"/>
            <w:tcBorders>
              <w:top w:val="single" w:sz="8" w:color="auto"/>
              <w:bottom w:val="single" w:sz="8" w:color="auto"/>
            </w:tcBorders>
          </w:tcPr>
          <w:p>
            <w:pPr>
              <w:jc w:val="center"/>
              <w:ind w:right="19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Borders>
              <w:top w:val="single" w:sz="8" w:color="auto"/>
            </w:tcBorders>
          </w:tcPr>
          <w:p>
            <w:pPr>
              <w:spacing w:after="0"/>
              <w:rPr>
                <w:sz w:val="18"/>
                <w:szCs w:val="18"/>
                <w:color w:val="auto"/>
              </w:rPr>
            </w:pPr>
          </w:p>
        </w:tc>
        <w:tc>
          <w:tcPr>
            <w:tcW w:w="60" w:type="dxa"/>
            <w:vAlign w:val="bottom"/>
            <w:tcBorders>
              <w:top w:val="single" w:sz="8" w:color="auto"/>
            </w:tcBorders>
          </w:tcPr>
          <w:p>
            <w:pPr>
              <w:spacing w:after="0"/>
              <w:rPr>
                <w:sz w:val="18"/>
                <w:szCs w:val="18"/>
                <w:color w:val="auto"/>
              </w:rPr>
            </w:pPr>
          </w:p>
        </w:tc>
        <w:tc>
          <w:tcPr>
            <w:tcW w:w="4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94"/>
              </w:rPr>
              <w:t>2018</w:t>
            </w:r>
          </w:p>
        </w:tc>
        <w:tc>
          <w:tcPr>
            <w:tcW w:w="160" w:type="dxa"/>
            <w:vAlign w:val="bottom"/>
          </w:tcPr>
          <w:p>
            <w:pPr>
              <w:spacing w:after="0"/>
              <w:rPr>
                <w:sz w:val="18"/>
                <w:szCs w:val="18"/>
                <w:color w:val="auto"/>
              </w:rPr>
            </w:pPr>
          </w:p>
        </w:tc>
      </w:tr>
      <w:tr>
        <w:trPr>
          <w:trHeight w:val="223"/>
        </w:trPr>
        <w:tc>
          <w:tcPr>
            <w:tcW w:w="578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580" w:type="dxa"/>
            <w:vAlign w:val="bottom"/>
            <w:gridSpan w:val="7"/>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84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 debt and Repos</w:t>
            </w:r>
          </w:p>
        </w:tc>
        <w:tc>
          <w:tcPr>
            <w:tcW w:w="10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Advances from banks and financial institutions</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rPr>
              <w:t>381</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1,596</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2,021</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0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11</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w:t>
            </w: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40</w:t>
            </w:r>
          </w:p>
        </w:tc>
      </w:tr>
      <w:tr>
        <w:trPr>
          <w:trHeight w:val="216"/>
        </w:trPr>
        <w:tc>
          <w:tcPr>
            <w:tcW w:w="5780" w:type="dxa"/>
            <w:vAlign w:val="bottom"/>
          </w:tcPr>
          <w:p>
            <w:pPr>
              <w:ind w:left="180"/>
              <w:spacing w:after="0"/>
              <w:rPr>
                <w:sz w:val="20"/>
                <w:szCs w:val="20"/>
                <w:color w:val="auto"/>
              </w:rPr>
            </w:pPr>
            <w:r>
              <w:rPr>
                <w:rFonts w:ascii="Arial" w:cs="Arial" w:eastAsia="Arial" w:hAnsi="Arial"/>
                <w:sz w:val="18"/>
                <w:szCs w:val="18"/>
                <w:color w:val="auto"/>
              </w:rPr>
              <w:t>Total short-term borrowings, debt and Repos</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b w:val="1"/>
                <w:bCs w:val="1"/>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392</w:t>
            </w:r>
          </w:p>
        </w:tc>
        <w:tc>
          <w:tcPr>
            <w:tcW w:w="260" w:type="dxa"/>
            <w:vAlign w:val="bottom"/>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1,637</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2,061</w:t>
            </w:r>
          </w:p>
        </w:tc>
      </w:tr>
      <w:tr>
        <w:trPr>
          <w:trHeight w:val="216"/>
        </w:trPr>
        <w:tc>
          <w:tcPr>
            <w:tcW w:w="578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Maximum amount outstanding at any month-end</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1,776</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1,637</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2,061</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Amount outstanding at year-end</w:t>
            </w:r>
          </w:p>
        </w:tc>
        <w:tc>
          <w:tcPr>
            <w:tcW w:w="1880" w:type="dxa"/>
            <w:vAlign w:val="bottom"/>
            <w:gridSpan w:val="2"/>
            <w:shd w:val="clear" w:color="auto" w:fill="CCEEFF"/>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392</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1,637</w:t>
            </w:r>
          </w:p>
        </w:tc>
        <w:tc>
          <w:tcPr>
            <w:tcW w:w="4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2,061</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Average amount outstanding during the year</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1,061</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1,117</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1,123</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10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2.22%</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3.44%</w:t>
            </w: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2.98%</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10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rPr>
              <w:t>2.25%</w:t>
            </w:r>
          </w:p>
        </w:tc>
        <w:tc>
          <w:tcPr>
            <w:tcW w:w="260" w:type="dxa"/>
            <w:vAlign w:val="bottom"/>
          </w:tcPr>
          <w:p>
            <w:pPr>
              <w:spacing w:after="0"/>
              <w:rPr>
                <w:sz w:val="18"/>
                <w:szCs w:val="18"/>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2.32%</w:t>
            </w:r>
          </w:p>
        </w:tc>
        <w:tc>
          <w:tcPr>
            <w:tcW w:w="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2.93%</w:t>
            </w:r>
          </w:p>
        </w:tc>
      </w:tr>
      <w:tr>
        <w:trPr>
          <w:trHeight w:val="20"/>
        </w:trPr>
        <w:tc>
          <w:tcPr>
            <w:tcW w:w="578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Long-term borrowings and debt</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Long-term borrowings consist of long-term bilateral and syndicated loans obtained from international banks. Debt instruments currently consist of private issuances under the Bank’s Euro Medium-Term Note Program, as well as public issuances in Mexico.</w:t>
      </w:r>
    </w:p>
    <w:p>
      <w:pPr>
        <w:spacing w:after="0" w:line="170"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As of December 31, 2020, gross long-term borrowings and debt increased 4% to $1,593 million, from $1,526 million as of December 31, 2019, as a result of the Bank’s commercial lending origination activities and its liquidity position management. As of December 31, 2020, the average term remaining to maturity of the Bank’s medium and long-term borrowing and debt was 2 years and 9 months (1,011 days), compared to one year and seven months (580 days) as of December 31, 2019.</w:t>
      </w: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79" w:name="page80"/>
    <w:bookmarkEnd w:id="79"/>
    <w:p>
      <w:pPr>
        <w:spacing w:after="0" w:line="277" w:lineRule="auto"/>
        <w:rPr>
          <w:sz w:val="20"/>
          <w:szCs w:val="20"/>
          <w:color w:val="auto"/>
        </w:rPr>
      </w:pPr>
      <w:r>
        <w:rPr>
          <w:rFonts w:ascii="Arial" w:cs="Arial" w:eastAsia="Arial" w:hAnsi="Arial"/>
          <w:sz w:val="18"/>
          <w:szCs w:val="18"/>
          <w:color w:val="auto"/>
        </w:rPr>
        <w:t>The following table presents information regarding the gross amounts outstanding under, and interest rates on, the Bank’s long-term borrowings and debt at the dates and during the periods indicated.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8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4380" w:type="dxa"/>
            <w:vAlign w:val="bottom"/>
            <w:gridSpan w:val="10"/>
          </w:tcPr>
          <w:p>
            <w:pPr>
              <w:jc w:val="center"/>
              <w:ind w:right="160"/>
              <w:spacing w:after="0"/>
              <w:rPr>
                <w:sz w:val="20"/>
                <w:szCs w:val="20"/>
                <w:color w:val="auto"/>
              </w:rPr>
            </w:pPr>
            <w:r>
              <w:rPr>
                <w:rFonts w:ascii="Arial" w:cs="Arial" w:eastAsia="Arial" w:hAnsi="Arial"/>
                <w:sz w:val="18"/>
                <w:szCs w:val="18"/>
                <w:b w:val="1"/>
                <w:bCs w:val="1"/>
                <w:color w:val="auto"/>
                <w:w w:val="90"/>
              </w:rPr>
              <w:t>As of and for the Year Ended December 31,</w:t>
            </w:r>
          </w:p>
        </w:tc>
      </w:tr>
      <w:tr>
        <w:trPr>
          <w:trHeight w:val="223"/>
        </w:trPr>
        <w:tc>
          <w:tcPr>
            <w:tcW w:w="578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420" w:type="dxa"/>
            <w:vAlign w:val="bottom"/>
            <w:tcBorders>
              <w:top w:val="single" w:sz="8" w:color="auto"/>
              <w:bottom w:val="single" w:sz="8" w:color="auto"/>
            </w:tcBorders>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center"/>
              <w:ind w:right="190"/>
              <w:spacing w:after="0"/>
              <w:rPr>
                <w:sz w:val="20"/>
                <w:szCs w:val="20"/>
                <w:color w:val="auto"/>
              </w:rPr>
            </w:pPr>
            <w:r>
              <w:rPr>
                <w:rFonts w:ascii="Arial" w:cs="Arial" w:eastAsia="Arial" w:hAnsi="Arial"/>
                <w:sz w:val="18"/>
                <w:szCs w:val="18"/>
                <w:b w:val="1"/>
                <w:bCs w:val="1"/>
                <w:color w:val="auto"/>
                <w:w w:val="89"/>
              </w:rPr>
              <w:t>2019</w:t>
            </w:r>
          </w:p>
        </w:tc>
        <w:tc>
          <w:tcPr>
            <w:tcW w:w="200" w:type="dxa"/>
            <w:vAlign w:val="bottom"/>
            <w:tcBorders>
              <w:top w:val="single" w:sz="8" w:color="auto"/>
            </w:tcBorders>
          </w:tcPr>
          <w:p>
            <w:pPr>
              <w:spacing w:after="0"/>
              <w:rPr>
                <w:sz w:val="19"/>
                <w:szCs w:val="19"/>
                <w:color w:val="auto"/>
              </w:rPr>
            </w:pPr>
          </w:p>
        </w:tc>
        <w:tc>
          <w:tcPr>
            <w:tcW w:w="60" w:type="dxa"/>
            <w:vAlign w:val="bottom"/>
            <w:tcBorders>
              <w:top w:val="single" w:sz="8" w:color="auto"/>
            </w:tcBorders>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8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94"/>
              </w:rPr>
              <w:t>2018</w:t>
            </w:r>
          </w:p>
        </w:tc>
        <w:tc>
          <w:tcPr>
            <w:tcW w:w="160" w:type="dxa"/>
            <w:vAlign w:val="bottom"/>
          </w:tcPr>
          <w:p>
            <w:pPr>
              <w:spacing w:after="0"/>
              <w:rPr>
                <w:sz w:val="19"/>
                <w:szCs w:val="19"/>
                <w:color w:val="auto"/>
              </w:rPr>
            </w:pPr>
          </w:p>
        </w:tc>
      </w:tr>
      <w:tr>
        <w:trPr>
          <w:trHeight w:val="223"/>
        </w:trPr>
        <w:tc>
          <w:tcPr>
            <w:tcW w:w="578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580" w:type="dxa"/>
            <w:vAlign w:val="bottom"/>
            <w:gridSpan w:val="7"/>
          </w:tcPr>
          <w:p>
            <w:pPr>
              <w:jc w:val="center"/>
              <w:spacing w:after="0"/>
              <w:rPr>
                <w:sz w:val="20"/>
                <w:szCs w:val="20"/>
                <w:color w:val="auto"/>
              </w:rPr>
            </w:pPr>
            <w:r>
              <w:rPr>
                <w:rFonts w:ascii="Arial" w:cs="Arial" w:eastAsia="Arial" w:hAnsi="Arial"/>
                <w:sz w:val="18"/>
                <w:szCs w:val="18"/>
                <w:color w:val="auto"/>
                <w:w w:val="90"/>
              </w:rPr>
              <w:t>(in $ millions, except percentages)</w:t>
            </w:r>
          </w:p>
        </w:tc>
        <w:tc>
          <w:tcPr>
            <w:tcW w:w="840" w:type="dxa"/>
            <w:vAlign w:val="bottom"/>
          </w:tcPr>
          <w:p>
            <w:pPr>
              <w:spacing w:after="0"/>
              <w:rPr>
                <w:sz w:val="19"/>
                <w:szCs w:val="19"/>
                <w:color w:val="auto"/>
              </w:rPr>
            </w:pPr>
          </w:p>
        </w:tc>
        <w:tc>
          <w:tcPr>
            <w:tcW w:w="160" w:type="dxa"/>
            <w:vAlign w:val="bottom"/>
          </w:tcPr>
          <w:p>
            <w:pPr>
              <w:spacing w:after="0"/>
              <w:rPr>
                <w:sz w:val="19"/>
                <w:szCs w:val="19"/>
                <w:color w:val="auto"/>
              </w:rPr>
            </w:pPr>
          </w:p>
        </w:tc>
      </w:tr>
      <w:tr>
        <w:trPr>
          <w:trHeight w:val="257"/>
        </w:trPr>
        <w:tc>
          <w:tcPr>
            <w:tcW w:w="5780" w:type="dxa"/>
            <w:vAlign w:val="bottom"/>
            <w:shd w:val="clear" w:color="auto" w:fill="CCEEFF"/>
          </w:tcPr>
          <w:p>
            <w:pPr>
              <w:spacing w:after="0" w:line="256" w:lineRule="exact"/>
              <w:rPr>
                <w:sz w:val="20"/>
                <w:szCs w:val="20"/>
                <w:color w:val="auto"/>
              </w:rPr>
            </w:pPr>
            <w:r>
              <w:rPr>
                <w:rFonts w:ascii="Arial" w:cs="Arial" w:eastAsia="Arial" w:hAnsi="Arial"/>
                <w:sz w:val="18"/>
                <w:szCs w:val="18"/>
                <w:b w:val="1"/>
                <w:bCs w:val="1"/>
                <w:color w:val="auto"/>
              </w:rPr>
              <w:t xml:space="preserve">Long-term borrowings and debt </w:t>
            </w:r>
            <w:r>
              <w:rPr>
                <w:rFonts w:ascii="Arial" w:cs="Arial" w:eastAsia="Arial" w:hAnsi="Arial"/>
                <w:sz w:val="29"/>
                <w:szCs w:val="29"/>
                <w:b w:val="1"/>
                <w:bCs w:val="1"/>
                <w:color w:val="auto"/>
                <w:vertAlign w:val="superscript"/>
              </w:rPr>
              <w:t>(*)</w:t>
            </w:r>
          </w:p>
        </w:tc>
        <w:tc>
          <w:tcPr>
            <w:tcW w:w="1080" w:type="dxa"/>
            <w:vAlign w:val="bottom"/>
            <w:shd w:val="clear" w:color="auto" w:fill="CCEEFF"/>
          </w:tcPr>
          <w:p>
            <w:pPr>
              <w:spacing w:after="0"/>
              <w:rPr>
                <w:sz w:val="22"/>
                <w:szCs w:val="22"/>
                <w:color w:val="auto"/>
              </w:rPr>
            </w:pPr>
          </w:p>
        </w:tc>
        <w:tc>
          <w:tcPr>
            <w:tcW w:w="800" w:type="dxa"/>
            <w:vAlign w:val="bottom"/>
            <w:shd w:val="clear" w:color="auto" w:fill="CCEEFF"/>
          </w:tcPr>
          <w:p>
            <w:pPr>
              <w:spacing w:after="0"/>
              <w:rPr>
                <w:sz w:val="22"/>
                <w:szCs w:val="22"/>
                <w:color w:val="auto"/>
              </w:rPr>
            </w:pPr>
          </w:p>
        </w:tc>
        <w:tc>
          <w:tcPr>
            <w:tcW w:w="420" w:type="dxa"/>
            <w:vAlign w:val="bottom"/>
            <w:shd w:val="clear" w:color="auto" w:fill="CCEEFF"/>
          </w:tcPr>
          <w:p>
            <w:pPr>
              <w:spacing w:after="0"/>
              <w:rPr>
                <w:sz w:val="22"/>
                <w:szCs w:val="22"/>
                <w:color w:val="auto"/>
              </w:rPr>
            </w:pPr>
          </w:p>
        </w:tc>
        <w:tc>
          <w:tcPr>
            <w:tcW w:w="28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9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60" w:type="dxa"/>
            <w:vAlign w:val="bottom"/>
            <w:shd w:val="clear" w:color="auto" w:fill="CCEEFF"/>
          </w:tcPr>
          <w:p>
            <w:pPr>
              <w:spacing w:after="0"/>
              <w:rPr>
                <w:sz w:val="22"/>
                <w:szCs w:val="22"/>
                <w:color w:val="auto"/>
              </w:rPr>
            </w:pPr>
          </w:p>
        </w:tc>
        <w:tc>
          <w:tcPr>
            <w:tcW w:w="400" w:type="dxa"/>
            <w:vAlign w:val="bottom"/>
            <w:shd w:val="clear" w:color="auto" w:fill="CCEEFF"/>
          </w:tcPr>
          <w:p>
            <w:pPr>
              <w:spacing w:after="0"/>
              <w:rPr>
                <w:sz w:val="22"/>
                <w:szCs w:val="22"/>
                <w:color w:val="auto"/>
              </w:rPr>
            </w:pPr>
          </w:p>
        </w:tc>
        <w:tc>
          <w:tcPr>
            <w:tcW w:w="84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Amount outstanding at year-end</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1,593</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1,526</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1,501</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Maximum amount outstanding at any month-end</w:t>
            </w:r>
          </w:p>
        </w:tc>
        <w:tc>
          <w:tcPr>
            <w:tcW w:w="1880" w:type="dxa"/>
            <w:vAlign w:val="bottom"/>
            <w:gridSpan w:val="2"/>
            <w:shd w:val="clear" w:color="auto" w:fill="CCEEFF"/>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w w:val="88"/>
              </w:rPr>
              <w:t>1,630</w:t>
            </w:r>
          </w:p>
        </w:tc>
        <w:tc>
          <w:tcPr>
            <w:tcW w:w="260" w:type="dxa"/>
            <w:vAlign w:val="bottom"/>
            <w:shd w:val="clear" w:color="auto" w:fill="CCEEFF"/>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1,527</w:t>
            </w:r>
          </w:p>
        </w:tc>
        <w:tc>
          <w:tcPr>
            <w:tcW w:w="46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1,501</w:t>
            </w:r>
          </w:p>
        </w:tc>
      </w:tr>
      <w:tr>
        <w:trPr>
          <w:trHeight w:val="216"/>
        </w:trPr>
        <w:tc>
          <w:tcPr>
            <w:tcW w:w="5780" w:type="dxa"/>
            <w:vAlign w:val="bottom"/>
          </w:tcPr>
          <w:p>
            <w:pPr>
              <w:spacing w:after="0"/>
              <w:rPr>
                <w:sz w:val="20"/>
                <w:szCs w:val="20"/>
                <w:color w:val="auto"/>
              </w:rPr>
            </w:pPr>
            <w:r>
              <w:rPr>
                <w:rFonts w:ascii="Arial" w:cs="Arial" w:eastAsia="Arial" w:hAnsi="Arial"/>
                <w:sz w:val="18"/>
                <w:szCs w:val="18"/>
                <w:color w:val="auto"/>
              </w:rPr>
              <w:t>Net average amount outstanding during the year</w:t>
            </w:r>
          </w:p>
        </w:tc>
        <w:tc>
          <w:tcPr>
            <w:tcW w:w="1880" w:type="dxa"/>
            <w:vAlign w:val="bottom"/>
            <w:gridSpan w:val="2"/>
          </w:tcPr>
          <w:p>
            <w:pPr>
              <w:jc w:val="right"/>
              <w:ind w:right="630"/>
              <w:spacing w:after="0"/>
              <w:rPr>
                <w:sz w:val="20"/>
                <w:szCs w:val="20"/>
                <w:color w:val="auto"/>
              </w:rPr>
            </w:pPr>
            <w:r>
              <w:rPr>
                <w:rFonts w:ascii="Arial" w:cs="Arial" w:eastAsia="Arial" w:hAnsi="Arial"/>
                <w:sz w:val="18"/>
                <w:szCs w:val="18"/>
                <w:color w:val="auto"/>
              </w:rPr>
              <w:t>$</w:t>
            </w:r>
          </w:p>
        </w:tc>
        <w:tc>
          <w:tcPr>
            <w:tcW w:w="700" w:type="dxa"/>
            <w:vAlign w:val="bottom"/>
            <w:gridSpan w:val="2"/>
          </w:tcPr>
          <w:p>
            <w:pPr>
              <w:jc w:val="right"/>
              <w:ind w:right="280"/>
              <w:spacing w:after="0"/>
              <w:rPr>
                <w:sz w:val="20"/>
                <w:szCs w:val="20"/>
                <w:color w:val="auto"/>
              </w:rPr>
            </w:pPr>
            <w:r>
              <w:rPr>
                <w:rFonts w:ascii="Arial" w:cs="Arial" w:eastAsia="Arial" w:hAnsi="Arial"/>
                <w:sz w:val="18"/>
                <w:szCs w:val="18"/>
                <w:color w:val="auto"/>
                <w:w w:val="88"/>
              </w:rPr>
              <w:t>1,440</w:t>
            </w:r>
          </w:p>
        </w:tc>
        <w:tc>
          <w:tcPr>
            <w:tcW w:w="260" w:type="dxa"/>
            <w:vAlign w:val="bottom"/>
          </w:tcPr>
          <w:p>
            <w:pPr>
              <w:jc w:val="right"/>
              <w:ind w:right="107"/>
              <w:spacing w:after="0"/>
              <w:rPr>
                <w:sz w:val="20"/>
                <w:szCs w:val="20"/>
                <w:color w:val="auto"/>
              </w:rPr>
            </w:pPr>
            <w:r>
              <w:rPr>
                <w:rFonts w:ascii="Arial" w:cs="Arial" w:eastAsia="Arial" w:hAnsi="Arial"/>
                <w:sz w:val="15"/>
                <w:szCs w:val="15"/>
                <w:color w:val="auto"/>
                <w:w w:val="71"/>
              </w:rPr>
              <w:t>$</w:t>
            </w:r>
          </w:p>
        </w:tc>
        <w:tc>
          <w:tcPr>
            <w:tcW w:w="1160" w:type="dxa"/>
            <w:vAlign w:val="bottom"/>
            <w:gridSpan w:val="2"/>
          </w:tcPr>
          <w:p>
            <w:pPr>
              <w:jc w:val="right"/>
              <w:ind w:right="200"/>
              <w:spacing w:after="0"/>
              <w:rPr>
                <w:sz w:val="20"/>
                <w:szCs w:val="20"/>
                <w:color w:val="auto"/>
              </w:rPr>
            </w:pPr>
            <w:r>
              <w:rPr>
                <w:rFonts w:ascii="Arial" w:cs="Arial" w:eastAsia="Arial" w:hAnsi="Arial"/>
                <w:sz w:val="18"/>
                <w:szCs w:val="18"/>
                <w:color w:val="auto"/>
              </w:rPr>
              <w:t>1,388</w:t>
            </w:r>
          </w:p>
        </w:tc>
        <w:tc>
          <w:tcPr>
            <w:tcW w:w="46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60"/>
              <w:spacing w:after="0"/>
              <w:rPr>
                <w:sz w:val="20"/>
                <w:szCs w:val="20"/>
                <w:color w:val="auto"/>
              </w:rPr>
            </w:pPr>
            <w:r>
              <w:rPr>
                <w:rFonts w:ascii="Arial" w:cs="Arial" w:eastAsia="Arial" w:hAnsi="Arial"/>
                <w:sz w:val="18"/>
                <w:szCs w:val="18"/>
                <w:color w:val="auto"/>
              </w:rPr>
              <w:t>1,245</w:t>
            </w:r>
          </w:p>
        </w:tc>
      </w:tr>
      <w:tr>
        <w:trPr>
          <w:trHeight w:val="216"/>
        </w:trPr>
        <w:tc>
          <w:tcPr>
            <w:tcW w:w="578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interest rate on average amount outstanding</w:t>
            </w:r>
          </w:p>
        </w:tc>
        <w:tc>
          <w:tcPr>
            <w:tcW w:w="10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2.65%</w:t>
            </w:r>
          </w:p>
        </w:tc>
        <w:tc>
          <w:tcPr>
            <w:tcW w:w="26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4.11%</w:t>
            </w:r>
          </w:p>
        </w:tc>
        <w:tc>
          <w:tcPr>
            <w:tcW w:w="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4.09%</w:t>
            </w:r>
          </w:p>
        </w:tc>
      </w:tr>
      <w:tr>
        <w:trPr>
          <w:trHeight w:val="230"/>
        </w:trPr>
        <w:tc>
          <w:tcPr>
            <w:tcW w:w="5780" w:type="dxa"/>
            <w:vAlign w:val="bottom"/>
          </w:tcPr>
          <w:p>
            <w:pPr>
              <w:spacing w:after="0"/>
              <w:rPr>
                <w:sz w:val="20"/>
                <w:szCs w:val="20"/>
                <w:color w:val="auto"/>
              </w:rPr>
            </w:pPr>
            <w:r>
              <w:rPr>
                <w:rFonts w:ascii="Arial" w:cs="Arial" w:eastAsia="Arial" w:hAnsi="Arial"/>
                <w:sz w:val="18"/>
                <w:szCs w:val="18"/>
                <w:color w:val="auto"/>
              </w:rPr>
              <w:t>Weighted average interest rate on amount outstanding at year end</w:t>
            </w:r>
          </w:p>
        </w:tc>
        <w:tc>
          <w:tcPr>
            <w:tcW w:w="10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8"/>
                <w:szCs w:val="18"/>
                <w:color w:val="auto"/>
              </w:rPr>
              <w:t>2.08%</w:t>
            </w:r>
          </w:p>
        </w:tc>
        <w:tc>
          <w:tcPr>
            <w:tcW w:w="260" w:type="dxa"/>
            <w:vAlign w:val="bottom"/>
          </w:tcPr>
          <w:p>
            <w:pPr>
              <w:spacing w:after="0"/>
              <w:rPr>
                <w:sz w:val="20"/>
                <w:szCs w:val="20"/>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8"/>
                <w:szCs w:val="18"/>
                <w:color w:val="auto"/>
              </w:rPr>
              <w:t>3.56%</w:t>
            </w: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4.35%</w:t>
            </w:r>
          </w:p>
        </w:tc>
      </w:tr>
    </w:tbl>
    <w:p>
      <w:pPr>
        <w:spacing w:after="0" w:line="113" w:lineRule="exact"/>
        <w:rPr>
          <w:sz w:val="20"/>
          <w:szCs w:val="20"/>
          <w:color w:val="auto"/>
        </w:rPr>
      </w:pPr>
    </w:p>
    <w:p>
      <w:pPr>
        <w:ind w:left="220" w:hanging="212"/>
        <w:spacing w:after="0"/>
        <w:tabs>
          <w:tab w:leader="none" w:pos="220" w:val="left"/>
        </w:tabs>
        <w:numPr>
          <w:ilvl w:val="0"/>
          <w:numId w:val="49"/>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$7.7 million, $3.4 million and $3.5 million as of December 31, 2020, 2019 and 2018, respectively.</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Global syndicated loans continue to provide a vehicle to access new sources of financing. As of December 31, 2020, the Bank has two outstanding syndicated loans:</w:t>
      </w:r>
    </w:p>
    <w:p>
      <w:pPr>
        <w:spacing w:after="0" w:line="170" w:lineRule="exact"/>
        <w:rPr>
          <w:sz w:val="20"/>
          <w:szCs w:val="20"/>
          <w:color w:val="auto"/>
        </w:rPr>
      </w:pPr>
    </w:p>
    <w:p>
      <w:pPr>
        <w:ind w:left="660" w:hanging="328"/>
        <w:spacing w:after="0" w:line="277" w:lineRule="auto"/>
        <w:tabs>
          <w:tab w:leader="none" w:pos="660" w:val="left"/>
        </w:tabs>
        <w:numPr>
          <w:ilvl w:val="0"/>
          <w:numId w:val="50"/>
        </w:numPr>
        <w:rPr>
          <w:rFonts w:ascii="Arial" w:cs="Arial" w:eastAsia="Arial" w:hAnsi="Arial"/>
          <w:sz w:val="18"/>
          <w:szCs w:val="18"/>
          <w:color w:val="auto"/>
        </w:rPr>
      </w:pPr>
      <w:r>
        <w:rPr>
          <w:rFonts w:ascii="Arial" w:cs="Arial" w:eastAsia="Arial" w:hAnsi="Arial"/>
          <w:sz w:val="18"/>
          <w:szCs w:val="18"/>
          <w:color w:val="auto"/>
        </w:rPr>
        <w:t>In August 2018, the Bank increased a syndicated loan previously launched in February 2016 to $175 million, from $156 million, and the maturity of the syndicated loan was extended to August 2021.</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0"/>
          <w:numId w:val="50"/>
        </w:numPr>
        <w:rPr>
          <w:rFonts w:ascii="Arial" w:cs="Arial" w:eastAsia="Arial" w:hAnsi="Arial"/>
          <w:sz w:val="18"/>
          <w:szCs w:val="18"/>
          <w:color w:val="auto"/>
        </w:rPr>
      </w:pPr>
      <w:r>
        <w:rPr>
          <w:rFonts w:ascii="Arial" w:cs="Arial" w:eastAsia="Arial" w:hAnsi="Arial"/>
          <w:sz w:val="18"/>
          <w:szCs w:val="18"/>
          <w:color w:val="auto"/>
        </w:rPr>
        <w:t>In August 2020, the Bank closed a $150 million syndicated loan. Wells Fargo Bank, National Association and BNP Paribas Securities Corp. acted as Joint Lead Arrangers and Bookrunners. The syndicated loan was structured with dual tranches; Tranche A, with a maturity in August 2021, for $100MM, and Tranche B, with a maturity in August 2022, for $50MM. The lenders on the syndicated loan were a mix of the Bank’s existing lenders and new lenders from the U.S., Asia and Europe.</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31, 2020, the Bank was in compliance with all covenants.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Debt Capital Markets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Program in Mexico</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 xml:space="preserve">In 2019, the Bank reestablished its short- and long-term notes program (the “Mexico Program”) in the Mexican local market, previously established in 2012, and registered with Mexican National Registry of Securities </w:t>
      </w:r>
      <w:r>
        <w:rPr>
          <w:rFonts w:ascii="Arial" w:cs="Arial" w:eastAsia="Arial" w:hAnsi="Arial"/>
          <w:sz w:val="18"/>
          <w:szCs w:val="18"/>
          <w:i w:val="1"/>
          <w:iCs w:val="1"/>
          <w:color w:val="auto"/>
        </w:rPr>
        <w:t>(Registro Nacional de Valores)</w:t>
      </w:r>
      <w:r>
        <w:rPr>
          <w:rFonts w:ascii="Arial" w:cs="Arial" w:eastAsia="Arial" w:hAnsi="Arial"/>
          <w:sz w:val="18"/>
          <w:szCs w:val="18"/>
          <w:color w:val="auto"/>
        </w:rPr>
        <w:t xml:space="preserve"> maintained by the National Banking and Securities Commission </w:t>
      </w:r>
      <w:r>
        <w:rPr>
          <w:rFonts w:ascii="Arial" w:cs="Arial" w:eastAsia="Arial" w:hAnsi="Arial"/>
          <w:sz w:val="18"/>
          <w:szCs w:val="18"/>
          <w:i w:val="1"/>
          <w:iCs w:val="1"/>
          <w:color w:val="auto"/>
        </w:rPr>
        <w:t>(Comisión Nacional Bancaria y de Valores),</w:t>
      </w:r>
      <w:r>
        <w:rPr>
          <w:rFonts w:ascii="Arial" w:cs="Arial" w:eastAsia="Arial" w:hAnsi="Arial"/>
          <w:sz w:val="18"/>
          <w:szCs w:val="18"/>
          <w:color w:val="auto"/>
        </w:rPr>
        <w:t xml:space="preserve"> for an authorized aggregate principal amount of 10 billion Mexican Pesos or its equivalent in Investment Units </w:t>
      </w:r>
      <w:r>
        <w:rPr>
          <w:rFonts w:ascii="Arial" w:cs="Arial" w:eastAsia="Arial" w:hAnsi="Arial"/>
          <w:sz w:val="18"/>
          <w:szCs w:val="18"/>
          <w:i w:val="1"/>
          <w:iCs w:val="1"/>
          <w:color w:val="auto"/>
        </w:rPr>
        <w:t>(Unidades de Inversión),</w:t>
      </w:r>
      <w:r>
        <w:rPr>
          <w:rFonts w:ascii="Arial" w:cs="Arial" w:eastAsia="Arial" w:hAnsi="Arial"/>
          <w:sz w:val="18"/>
          <w:szCs w:val="18"/>
          <w:color w:val="auto"/>
        </w:rPr>
        <w:t xml:space="preserve"> U.S. dollars or Euros and with maturities from one day to 30 years. The Mexico Program had an effective duration of five years.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the total principal amount outstanding of issuances of “certificados bursátiles” in the Mexican capital markets under this Mexico Program was MXN10.0 billion (ten billion Mexican Pesos) equivalent to $502 million. The program consists of three issuances: Series Bladex 19 in the principal amount of MXN5 billion (five billion Mexican pesos) which matures in August, 2022; Series Bladex 20 in the principal amount of MXN915 million (nine hundred fifteen million Mexican pesos) which matures in June, 2023; and Series Bladex 20-2 in the principal amount of MXN4,085 million (four billion, eighty-five million Mexican pesos) which matures in May, 2025.</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0" w:name="page81"/>
    <w:bookmarkEnd w:id="80"/>
    <w:p>
      <w:pPr>
        <w:spacing w:after="0"/>
        <w:rPr>
          <w:sz w:val="20"/>
          <w:szCs w:val="20"/>
          <w:color w:val="auto"/>
        </w:rPr>
      </w:pPr>
      <w:r>
        <w:rPr>
          <w:rFonts w:ascii="Arial" w:cs="Arial" w:eastAsia="Arial" w:hAnsi="Arial"/>
          <w:sz w:val="18"/>
          <w:szCs w:val="18"/>
          <w:i w:val="1"/>
          <w:iCs w:val="1"/>
          <w:color w:val="auto"/>
        </w:rPr>
        <w:t>Euro Medium Term Note Program</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renewed its Euro Medium-Term Note Program in July 16, 2020, which is primarily targeted at non-bank institutional investors and includes multiple placements with short-, medium-, and long-term tenors.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During 2020, the Bank issued $85.6 million in new private placements; and as of December 31, 2020, private issuances through its Euro Medium-Term Note Program amounted to $258 million, placed in Asia, Europe and Latin America. In addition, the Bank has one outstanding bond due in September 2025 issued in 2020 pursuant to Rule 144A/Regulation S with a total principal amount of $400 million as of December 31, 2020.</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Tokyo Pro-Bond Program</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In October 2020, the listing of our Euro Medium-Term Note Program was updated on the Tokyo Stock Exchange under the Tokyo Pro-Bond Market. This market offers the possibility of flexible and timely issuances of bonds to a broad base of Japanese investors. The Bank successfully placed its first public issuance listed on this market on June 9, 2016 in a principal amount of JPY8 billion, equivalent to $73 million, which matured on June 10, 2019, and replaced it with a three-year term private issuance for a principal amount of JPY7.4 billion, equivalent to $69 million which matured in June 2020.</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Cost and Maturity Profile</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sets forth certain information regarding the weighted average cost and the remaining maturities of the Bank’s gross borrowed funds, including Repos, and placements at fixed and floating interest rate as of December 31, 2020:</w:t>
      </w:r>
    </w:p>
    <w:p>
      <w:pPr>
        <w:spacing w:after="0" w:line="108" w:lineRule="exact"/>
        <w:rPr>
          <w:sz w:val="20"/>
          <w:szCs w:val="20"/>
          <w:color w:val="auto"/>
        </w:rPr>
      </w:pPr>
    </w:p>
    <w:tbl>
      <w:tblPr>
        <w:tblLayout w:type="fixed"/>
        <w:tblInd w:w="0" w:type="dxa"/>
        <w:tblCellMar>
          <w:top w:w="0" w:type="dxa"/>
          <w:left w:w="0" w:type="dxa"/>
          <w:bottom w:w="0" w:type="dxa"/>
          <w:right w:w="0" w:type="dxa"/>
        </w:tblCellMar>
      </w:tblPr>
      <w:tr>
        <w:trPr>
          <w:trHeight w:val="353"/>
        </w:trPr>
        <w:tc>
          <w:tcPr>
            <w:tcW w:w="488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29"/>
                <w:szCs w:val="29"/>
                <w:b w:val="1"/>
                <w:bCs w:val="1"/>
                <w:color w:val="auto"/>
                <w:vertAlign w:val="superscript"/>
              </w:rPr>
              <w:t>(*)</w:t>
            </w:r>
          </w:p>
        </w:tc>
        <w:tc>
          <w:tcPr>
            <w:tcW w:w="3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82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w w:val="89"/>
              </w:rPr>
              <w:t>Weighted Average Cost</w:t>
            </w: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9"/>
        </w:trPr>
        <w:tc>
          <w:tcPr>
            <w:tcW w:w="4880" w:type="dxa"/>
            <w:vAlign w:val="bottom"/>
          </w:tcPr>
          <w:p>
            <w:pPr>
              <w:spacing w:after="0"/>
              <w:rPr>
                <w:sz w:val="16"/>
                <w:szCs w:val="16"/>
                <w:color w:val="auto"/>
              </w:rPr>
            </w:pPr>
          </w:p>
        </w:tc>
        <w:tc>
          <w:tcPr>
            <w:tcW w:w="2500" w:type="dxa"/>
            <w:vAlign w:val="bottom"/>
          </w:tcPr>
          <w:p>
            <w:pPr>
              <w:spacing w:after="0"/>
              <w:rPr>
                <w:sz w:val="16"/>
                <w:szCs w:val="16"/>
                <w:color w:val="auto"/>
              </w:rPr>
            </w:pPr>
          </w:p>
        </w:tc>
        <w:tc>
          <w:tcPr>
            <w:tcW w:w="1640" w:type="dxa"/>
            <w:vAlign w:val="bottom"/>
            <w:gridSpan w:val="2"/>
          </w:tcPr>
          <w:p>
            <w:pPr>
              <w:jc w:val="right"/>
              <w:spacing w:after="0" w:line="189" w:lineRule="exact"/>
              <w:rPr>
                <w:sz w:val="20"/>
                <w:szCs w:val="20"/>
                <w:color w:val="auto"/>
              </w:rPr>
            </w:pPr>
            <w:r>
              <w:rPr>
                <w:rFonts w:ascii="Arial" w:cs="Arial" w:eastAsia="Arial" w:hAnsi="Arial"/>
                <w:sz w:val="18"/>
                <w:szCs w:val="18"/>
                <w:color w:val="auto"/>
              </w:rPr>
              <w:t>(in $ millions,</w:t>
            </w:r>
          </w:p>
        </w:tc>
        <w:tc>
          <w:tcPr>
            <w:tcW w:w="2040" w:type="dxa"/>
            <w:vAlign w:val="bottom"/>
            <w:gridSpan w:val="2"/>
          </w:tcPr>
          <w:p>
            <w:pPr>
              <w:ind w:left="40"/>
              <w:spacing w:after="0" w:line="189" w:lineRule="exact"/>
              <w:rPr>
                <w:sz w:val="20"/>
                <w:szCs w:val="20"/>
                <w:color w:val="auto"/>
              </w:rPr>
            </w:pPr>
            <w:r>
              <w:rPr>
                <w:rFonts w:ascii="Arial" w:cs="Arial" w:eastAsia="Arial" w:hAnsi="Arial"/>
                <w:sz w:val="18"/>
                <w:szCs w:val="18"/>
                <w:color w:val="auto"/>
              </w:rPr>
              <w:t>except percentage)</w:t>
            </w: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Short-term Repos and borrowings at fixed interest rate</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0 to 30 days</w:t>
            </w:r>
          </w:p>
        </w:tc>
        <w:tc>
          <w:tcPr>
            <w:tcW w:w="3820" w:type="dxa"/>
            <w:vAlign w:val="bottom"/>
            <w:gridSpan w:val="2"/>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50</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0.45%</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11</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1.17%</w:t>
            </w:r>
          </w:p>
        </w:tc>
        <w:tc>
          <w:tcPr>
            <w:tcW w:w="0" w:type="dxa"/>
            <w:vAlign w:val="bottom"/>
          </w:tcPr>
          <w:p>
            <w:pPr>
              <w:spacing w:after="0"/>
              <w:rPr>
                <w:sz w:val="1"/>
                <w:szCs w:val="1"/>
                <w:color w:val="auto"/>
              </w:rPr>
            </w:pPr>
          </w:p>
        </w:tc>
      </w:tr>
      <w:tr>
        <w:trPr>
          <w:trHeight w:val="229"/>
        </w:trPr>
        <w:tc>
          <w:tcPr>
            <w:tcW w:w="48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250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5</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0.85%</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820" w:type="dxa"/>
            <w:vAlign w:val="bottom"/>
            <w:gridSpan w:val="2"/>
            <w:shd w:val="clear" w:color="auto" w:fill="CCEEFF"/>
          </w:tcPr>
          <w:p>
            <w:pPr>
              <w:jc w:val="right"/>
              <w:ind w:right="1156"/>
              <w:spacing w:after="0"/>
              <w:rPr>
                <w:sz w:val="20"/>
                <w:szCs w:val="20"/>
                <w:color w:val="auto"/>
              </w:rPr>
            </w:pPr>
            <w:r>
              <w:rPr>
                <w:rFonts w:ascii="Arial" w:cs="Arial" w:eastAsia="Arial" w:hAnsi="Arial"/>
                <w:sz w:val="18"/>
                <w:szCs w:val="18"/>
                <w:b w:val="1"/>
                <w:bCs w:val="1"/>
                <w:color w:val="auto"/>
              </w:rPr>
              <w:t>$</w:t>
            </w: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66</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b w:val="1"/>
                <w:bCs w:val="1"/>
                <w:color w:val="auto"/>
                <w:w w:val="93"/>
              </w:rPr>
              <w:t>0.60%</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at floating interest rate</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0 to 30 days</w:t>
            </w:r>
          </w:p>
        </w:tc>
        <w:tc>
          <w:tcPr>
            <w:tcW w:w="3820" w:type="dxa"/>
            <w:vAlign w:val="bottom"/>
            <w:gridSpan w:val="2"/>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20</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0.80%</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32</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4.98%</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91 to 180 days</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25</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0.80%</w:t>
            </w:r>
          </w:p>
        </w:tc>
        <w:tc>
          <w:tcPr>
            <w:tcW w:w="0" w:type="dxa"/>
            <w:vAlign w:val="bottom"/>
          </w:tcPr>
          <w:p>
            <w:pPr>
              <w:spacing w:after="0"/>
              <w:rPr>
                <w:sz w:val="1"/>
                <w:szCs w:val="1"/>
                <w:color w:val="auto"/>
              </w:rPr>
            </w:pPr>
          </w:p>
        </w:tc>
      </w:tr>
      <w:tr>
        <w:trPr>
          <w:trHeight w:val="230"/>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25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w w:val="99"/>
              </w:rPr>
              <w:t>200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1.06%</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3820" w:type="dxa"/>
            <w:vAlign w:val="bottom"/>
            <w:gridSpan w:val="2"/>
          </w:tcPr>
          <w:p>
            <w:pPr>
              <w:jc w:val="right"/>
              <w:ind w:right="1156"/>
              <w:spacing w:after="0"/>
              <w:rPr>
                <w:sz w:val="20"/>
                <w:szCs w:val="20"/>
                <w:color w:val="auto"/>
              </w:rPr>
            </w:pPr>
            <w:r>
              <w:rPr>
                <w:rFonts w:ascii="Arial" w:cs="Arial" w:eastAsia="Arial" w:hAnsi="Arial"/>
                <w:sz w:val="18"/>
                <w:szCs w:val="18"/>
                <w:b w:val="1"/>
                <w:bCs w:val="1"/>
                <w:color w:val="auto"/>
              </w:rPr>
              <w:t>$</w:t>
            </w:r>
          </w:p>
        </w:tc>
        <w:tc>
          <w:tcPr>
            <w:tcW w:w="54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w w:val="99"/>
              </w:rPr>
              <w:t>277</w:t>
            </w: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1.47%</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18"/>
                <w:szCs w:val="18"/>
                <w:color w:val="auto"/>
              </w:rPr>
            </w:pP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Short-term placements at fixed interest rate</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0 to 30 days</w:t>
            </w:r>
          </w:p>
        </w:tc>
        <w:tc>
          <w:tcPr>
            <w:tcW w:w="3820" w:type="dxa"/>
            <w:vAlign w:val="bottom"/>
            <w:gridSpan w:val="2"/>
            <w:shd w:val="clear" w:color="auto" w:fill="CCEEFF"/>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0.00%</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3820" w:type="dxa"/>
            <w:vAlign w:val="bottom"/>
            <w:gridSpan w:val="2"/>
          </w:tcPr>
          <w:p>
            <w:pPr>
              <w:jc w:val="right"/>
              <w:ind w:right="1156"/>
              <w:spacing w:after="0"/>
              <w:rPr>
                <w:sz w:val="20"/>
                <w:szCs w:val="20"/>
                <w:color w:val="auto"/>
              </w:rPr>
            </w:pPr>
            <w:r>
              <w:rPr>
                <w:rFonts w:ascii="Arial" w:cs="Arial" w:eastAsia="Arial" w:hAnsi="Arial"/>
                <w:sz w:val="18"/>
                <w:szCs w:val="18"/>
                <w:b w:val="1"/>
                <w:bCs w:val="1"/>
                <w:color w:val="auto"/>
              </w:rPr>
              <w:t>$</w:t>
            </w:r>
          </w:p>
        </w:tc>
        <w:tc>
          <w:tcPr>
            <w:tcW w:w="54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0</w:t>
            </w: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0.00%</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18"/>
                <w:szCs w:val="18"/>
                <w:color w:val="auto"/>
              </w:rPr>
            </w:pP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Short-term placements at floating interest rate</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31 to 90 days</w:t>
            </w:r>
          </w:p>
        </w:tc>
        <w:tc>
          <w:tcPr>
            <w:tcW w:w="3820" w:type="dxa"/>
            <w:vAlign w:val="bottom"/>
            <w:gridSpan w:val="2"/>
            <w:shd w:val="clear" w:color="auto" w:fill="CCEEFF"/>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49</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5.05%</w:t>
            </w:r>
          </w:p>
        </w:tc>
        <w:tc>
          <w:tcPr>
            <w:tcW w:w="0" w:type="dxa"/>
            <w:vAlign w:val="bottom"/>
          </w:tcPr>
          <w:p>
            <w:pPr>
              <w:spacing w:after="0"/>
              <w:rPr>
                <w:sz w:val="1"/>
                <w:szCs w:val="1"/>
                <w:color w:val="auto"/>
              </w:rPr>
            </w:pPr>
          </w:p>
        </w:tc>
      </w:tr>
      <w:tr>
        <w:trPr>
          <w:trHeight w:val="20"/>
        </w:trPr>
        <w:tc>
          <w:tcPr>
            <w:tcW w:w="488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2500" w:type="dxa"/>
            <w:vAlign w:val="bottom"/>
            <w:vMerge w:val="restart"/>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8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4880" w:type="dxa"/>
            <w:vAlign w:val="bottom"/>
            <w:vMerge w:val="continue"/>
          </w:tcPr>
          <w:p>
            <w:pPr>
              <w:spacing w:after="0"/>
              <w:rPr>
                <w:sz w:val="18"/>
                <w:szCs w:val="18"/>
                <w:color w:val="auto"/>
              </w:rPr>
            </w:pPr>
          </w:p>
        </w:tc>
        <w:tc>
          <w:tcPr>
            <w:tcW w:w="2500" w:type="dxa"/>
            <w:vAlign w:val="bottom"/>
            <w:vMerge w:val="continue"/>
          </w:tcPr>
          <w:p>
            <w:pPr>
              <w:spacing w:after="0"/>
              <w:rPr>
                <w:sz w:val="18"/>
                <w:szCs w:val="18"/>
                <w:color w:val="auto"/>
              </w:rPr>
            </w:pPr>
          </w:p>
        </w:tc>
        <w:tc>
          <w:tcPr>
            <w:tcW w:w="1320" w:type="dxa"/>
            <w:vAlign w:val="bottom"/>
          </w:tcPr>
          <w:p>
            <w:pPr>
              <w:jc w:val="right"/>
              <w:ind w:right="1156"/>
              <w:spacing w:after="0"/>
              <w:rPr>
                <w:sz w:val="20"/>
                <w:szCs w:val="20"/>
                <w:color w:val="auto"/>
              </w:rPr>
            </w:pPr>
            <w:r>
              <w:rPr>
                <w:rFonts w:ascii="Arial" w:cs="Arial" w:eastAsia="Arial" w:hAnsi="Arial"/>
                <w:sz w:val="15"/>
                <w:szCs w:val="15"/>
                <w:b w:val="1"/>
                <w:bCs w:val="1"/>
                <w:color w:val="auto"/>
                <w:w w:val="71"/>
              </w:rPr>
              <w:t>$</w:t>
            </w:r>
          </w:p>
        </w:tc>
        <w:tc>
          <w:tcPr>
            <w:tcW w:w="320" w:type="dxa"/>
            <w:vAlign w:val="bottom"/>
          </w:tcPr>
          <w:p>
            <w:pPr>
              <w:jc w:val="right"/>
              <w:spacing w:after="0"/>
              <w:rPr>
                <w:sz w:val="20"/>
                <w:szCs w:val="20"/>
                <w:color w:val="auto"/>
              </w:rPr>
            </w:pPr>
            <w:r>
              <w:rPr>
                <w:rFonts w:ascii="Arial" w:cs="Arial" w:eastAsia="Arial" w:hAnsi="Arial"/>
                <w:sz w:val="18"/>
                <w:szCs w:val="18"/>
                <w:b w:val="1"/>
                <w:bCs w:val="1"/>
                <w:color w:val="auto"/>
              </w:rPr>
              <w:t>49</w:t>
            </w:r>
          </w:p>
        </w:tc>
        <w:tc>
          <w:tcPr>
            <w:tcW w:w="220" w:type="dxa"/>
            <w:vAlign w:val="bottom"/>
            <w:vMerge w:val="continue"/>
          </w:tcPr>
          <w:p>
            <w:pPr>
              <w:spacing w:after="0"/>
              <w:rPr>
                <w:sz w:val="18"/>
                <w:szCs w:val="18"/>
                <w:color w:val="auto"/>
              </w:rPr>
            </w:pP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5.05%</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18"/>
                <w:szCs w:val="18"/>
                <w:color w:val="auto"/>
              </w:rPr>
            </w:pP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Medium and long-term borrowings at fixed interest rate</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0 to 30 days</w:t>
            </w:r>
          </w:p>
        </w:tc>
        <w:tc>
          <w:tcPr>
            <w:tcW w:w="3820" w:type="dxa"/>
            <w:vAlign w:val="bottom"/>
            <w:gridSpan w:val="2"/>
            <w:shd w:val="clear" w:color="auto" w:fill="CCEEFF"/>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7.83%</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31 to 90 days</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1</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7.83%</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16</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3.26%</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11</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3.27%</w:t>
            </w:r>
          </w:p>
        </w:tc>
        <w:tc>
          <w:tcPr>
            <w:tcW w:w="0" w:type="dxa"/>
            <w:vAlign w:val="bottom"/>
          </w:tcPr>
          <w:p>
            <w:pPr>
              <w:spacing w:after="0"/>
              <w:rPr>
                <w:sz w:val="1"/>
                <w:szCs w:val="1"/>
                <w:color w:val="auto"/>
              </w:rPr>
            </w:pPr>
          </w:p>
        </w:tc>
      </w:tr>
      <w:tr>
        <w:trPr>
          <w:trHeight w:val="229"/>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250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40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2.05%</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3820" w:type="dxa"/>
            <w:vAlign w:val="bottom"/>
            <w:gridSpan w:val="2"/>
          </w:tcPr>
          <w:p>
            <w:pPr>
              <w:jc w:val="right"/>
              <w:ind w:right="1156"/>
              <w:spacing w:after="0"/>
              <w:rPr>
                <w:sz w:val="20"/>
                <w:szCs w:val="20"/>
                <w:color w:val="auto"/>
              </w:rPr>
            </w:pPr>
            <w:r>
              <w:rPr>
                <w:rFonts w:ascii="Arial" w:cs="Arial" w:eastAsia="Arial" w:hAnsi="Arial"/>
                <w:sz w:val="18"/>
                <w:szCs w:val="18"/>
                <w:b w:val="1"/>
                <w:bCs w:val="1"/>
                <w:color w:val="auto"/>
              </w:rPr>
              <w:t>$</w:t>
            </w:r>
          </w:p>
        </w:tc>
        <w:tc>
          <w:tcPr>
            <w:tcW w:w="54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68</w:t>
            </w: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2.60%</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18"/>
                <w:szCs w:val="18"/>
                <w:color w:val="auto"/>
              </w:rPr>
            </w:pP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Medium and long-term borrowings at floating interest rate</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0 to 30 days</w:t>
            </w:r>
          </w:p>
        </w:tc>
        <w:tc>
          <w:tcPr>
            <w:tcW w:w="3820" w:type="dxa"/>
            <w:vAlign w:val="bottom"/>
            <w:gridSpan w:val="2"/>
            <w:shd w:val="clear" w:color="auto" w:fill="CCEEFF"/>
          </w:tcPr>
          <w:p>
            <w:pPr>
              <w:jc w:val="right"/>
              <w:ind w:right="1156"/>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5.74%</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Due in 31 to 90 days</w:t>
            </w:r>
          </w:p>
        </w:tc>
        <w:tc>
          <w:tcPr>
            <w:tcW w:w="25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rPr>
              <w:t>0</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5.67%</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Due in 91 to 180 days</w:t>
            </w:r>
          </w:p>
        </w:tc>
        <w:tc>
          <w:tcPr>
            <w:tcW w:w="25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5.72%</w:t>
            </w:r>
          </w:p>
        </w:tc>
        <w:tc>
          <w:tcPr>
            <w:tcW w:w="0" w:type="dxa"/>
            <w:vAlign w:val="bottom"/>
          </w:tcPr>
          <w:p>
            <w:pPr>
              <w:spacing w:after="0"/>
              <w:rPr>
                <w:sz w:val="1"/>
                <w:szCs w:val="1"/>
                <w:color w:val="auto"/>
              </w:rPr>
            </w:pPr>
          </w:p>
        </w:tc>
      </w:tr>
      <w:tr>
        <w:trPr>
          <w:trHeight w:val="230"/>
        </w:trPr>
        <w:tc>
          <w:tcPr>
            <w:tcW w:w="4880" w:type="dxa"/>
            <w:vAlign w:val="bottom"/>
          </w:tcPr>
          <w:p>
            <w:pPr>
              <w:spacing w:after="0"/>
              <w:rPr>
                <w:sz w:val="20"/>
                <w:szCs w:val="20"/>
                <w:color w:val="auto"/>
              </w:rPr>
            </w:pPr>
            <w:r>
              <w:rPr>
                <w:rFonts w:ascii="Arial" w:cs="Arial" w:eastAsia="Arial" w:hAnsi="Arial"/>
                <w:sz w:val="18"/>
                <w:szCs w:val="18"/>
                <w:color w:val="auto"/>
              </w:rPr>
              <w:t>Due in 181 to 365 days</w:t>
            </w:r>
          </w:p>
        </w:tc>
        <w:tc>
          <w:tcPr>
            <w:tcW w:w="25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540" w:type="dxa"/>
            <w:vAlign w:val="bottom"/>
            <w:gridSpan w:val="2"/>
          </w:tcPr>
          <w:p>
            <w:pPr>
              <w:jc w:val="right"/>
              <w:ind w:right="130"/>
              <w:spacing w:after="0"/>
              <w:rPr>
                <w:sz w:val="20"/>
                <w:szCs w:val="20"/>
                <w:color w:val="auto"/>
              </w:rPr>
            </w:pPr>
            <w:r>
              <w:rPr>
                <w:rFonts w:ascii="Arial" w:cs="Arial" w:eastAsia="Arial" w:hAnsi="Arial"/>
                <w:sz w:val="18"/>
                <w:szCs w:val="18"/>
                <w:color w:val="auto"/>
                <w:w w:val="99"/>
              </w:rPr>
              <w:t>218</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1.29%</w:t>
            </w:r>
          </w:p>
        </w:tc>
        <w:tc>
          <w:tcPr>
            <w:tcW w:w="0" w:type="dxa"/>
            <w:vAlign w:val="bottom"/>
          </w:tcPr>
          <w:p>
            <w:pPr>
              <w:spacing w:after="0"/>
              <w:rPr>
                <w:sz w:val="1"/>
                <w:szCs w:val="1"/>
                <w:color w:val="auto"/>
              </w:rPr>
            </w:pPr>
          </w:p>
        </w:tc>
      </w:tr>
      <w:tr>
        <w:trPr>
          <w:trHeight w:val="634"/>
        </w:trPr>
        <w:tc>
          <w:tcPr>
            <w:tcW w:w="488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tcPr>
          <w:p>
            <w:pPr>
              <w:jc w:val="right"/>
              <w:ind w:right="1570"/>
              <w:spacing w:after="0"/>
              <w:rPr>
                <w:sz w:val="20"/>
                <w:szCs w:val="20"/>
                <w:color w:val="auto"/>
              </w:rPr>
            </w:pPr>
            <w:r>
              <w:rPr>
                <w:rFonts w:ascii="Arial" w:cs="Arial" w:eastAsia="Arial" w:hAnsi="Arial"/>
                <w:sz w:val="18"/>
                <w:szCs w:val="18"/>
                <w:color w:val="auto"/>
              </w:rPr>
              <w:t>78</w:t>
            </w:r>
          </w:p>
        </w:tc>
        <w:tc>
          <w:tcPr>
            <w:tcW w:w="13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8" w:right="339" w:bottom="1440" w:gutter="0" w:footer="0" w:header="0"/>
        </w:sectPr>
      </w:pPr>
    </w:p>
    <w:bookmarkStart w:id="81" w:name="page82"/>
    <w:bookmarkEnd w:id="8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33"/>
        </w:trPr>
        <w:tc>
          <w:tcPr>
            <w:tcW w:w="7380" w:type="dxa"/>
            <w:vAlign w:val="bottom"/>
          </w:tcPr>
          <w:p>
            <w:pPr>
              <w:spacing w:after="0"/>
              <w:rPr>
                <w:sz w:val="24"/>
                <w:szCs w:val="24"/>
                <w:color w:val="auto"/>
              </w:rPr>
            </w:pPr>
          </w:p>
        </w:tc>
        <w:tc>
          <w:tcPr>
            <w:tcW w:w="1640" w:type="dxa"/>
            <w:vAlign w:val="bottom"/>
            <w:tcBorders>
              <w:bottom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 xml:space="preserve">Amount </w:t>
            </w:r>
            <w:r>
              <w:rPr>
                <w:rFonts w:ascii="Arial" w:cs="Arial" w:eastAsia="Arial" w:hAnsi="Arial"/>
                <w:sz w:val="29"/>
                <w:szCs w:val="29"/>
                <w:b w:val="1"/>
                <w:bCs w:val="1"/>
                <w:color w:val="auto"/>
                <w:vertAlign w:val="superscript"/>
              </w:rPr>
              <w:t>(*)</w:t>
            </w:r>
          </w:p>
        </w:tc>
        <w:tc>
          <w:tcPr>
            <w:tcW w:w="220" w:type="dxa"/>
            <w:vAlign w:val="bottom"/>
          </w:tcPr>
          <w:p>
            <w:pPr>
              <w:spacing w:after="0"/>
              <w:rPr>
                <w:sz w:val="24"/>
                <w:szCs w:val="24"/>
                <w:color w:val="auto"/>
              </w:rPr>
            </w:pPr>
          </w:p>
        </w:tc>
        <w:tc>
          <w:tcPr>
            <w:tcW w:w="182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w w:val="89"/>
              </w:rPr>
              <w:t>Weighted Average Cost</w:t>
            </w:r>
          </w:p>
        </w:tc>
        <w:tc>
          <w:tcPr>
            <w:tcW w:w="180" w:type="dxa"/>
            <w:vAlign w:val="bottom"/>
          </w:tcPr>
          <w:p>
            <w:pPr>
              <w:spacing w:after="0"/>
              <w:rPr>
                <w:sz w:val="24"/>
                <w:szCs w:val="24"/>
                <w:color w:val="auto"/>
              </w:rPr>
            </w:pPr>
          </w:p>
        </w:tc>
      </w:tr>
      <w:tr>
        <w:trPr>
          <w:trHeight w:val="223"/>
        </w:trPr>
        <w:tc>
          <w:tcPr>
            <w:tcW w:w="738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(in $</w:t>
            </w:r>
          </w:p>
        </w:tc>
        <w:tc>
          <w:tcPr>
            <w:tcW w:w="2700" w:type="dxa"/>
            <w:vAlign w:val="bottom"/>
            <w:gridSpan w:val="3"/>
          </w:tcPr>
          <w:p>
            <w:pPr>
              <w:ind w:left="20"/>
              <w:spacing w:after="0"/>
              <w:rPr>
                <w:sz w:val="20"/>
                <w:szCs w:val="20"/>
                <w:color w:val="auto"/>
              </w:rPr>
            </w:pPr>
            <w:r>
              <w:rPr>
                <w:rFonts w:ascii="Arial" w:cs="Arial" w:eastAsia="Arial" w:hAnsi="Arial"/>
                <w:sz w:val="18"/>
                <w:szCs w:val="18"/>
                <w:color w:val="auto"/>
              </w:rPr>
              <w:t>millions, except percentage)</w:t>
            </w:r>
          </w:p>
        </w:tc>
        <w:tc>
          <w:tcPr>
            <w:tcW w:w="180" w:type="dxa"/>
            <w:vAlign w:val="bottom"/>
          </w:tcPr>
          <w:p>
            <w:pPr>
              <w:spacing w:after="0"/>
              <w:rPr>
                <w:sz w:val="19"/>
                <w:szCs w:val="19"/>
                <w:color w:val="auto"/>
              </w:rPr>
            </w:pPr>
          </w:p>
        </w:tc>
      </w:tr>
      <w:tr>
        <w:trPr>
          <w:trHeight w:val="230"/>
        </w:trPr>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Due in 1 through 6 years</w:t>
            </w:r>
          </w:p>
        </w:tc>
        <w:tc>
          <w:tcPr>
            <w:tcW w:w="980" w:type="dxa"/>
            <w:vAlign w:val="bottom"/>
            <w:shd w:val="clear" w:color="auto" w:fill="CCEEFF"/>
          </w:tcPr>
          <w:p>
            <w:pPr>
              <w:spacing w:after="0"/>
              <w:rPr>
                <w:sz w:val="19"/>
                <w:szCs w:val="19"/>
                <w:color w:val="auto"/>
              </w:rPr>
            </w:pP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1.58%</w:t>
            </w:r>
          </w:p>
        </w:tc>
      </w:tr>
      <w:tr>
        <w:trPr>
          <w:trHeight w:val="216"/>
        </w:trPr>
        <w:tc>
          <w:tcPr>
            <w:tcW w:w="73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980" w:type="dxa"/>
            <w:vAlign w:val="bottom"/>
          </w:tcPr>
          <w:p>
            <w:pPr>
              <w:jc w:val="right"/>
              <w:ind w:right="823"/>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409</w:t>
            </w: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1.43%</w:t>
            </w:r>
          </w:p>
        </w:tc>
      </w:tr>
      <w:tr>
        <w:trPr>
          <w:trHeight w:val="216"/>
        </w:trPr>
        <w:tc>
          <w:tcPr>
            <w:tcW w:w="738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16"/>
        </w:trPr>
        <w:tc>
          <w:tcPr>
            <w:tcW w:w="7380" w:type="dxa"/>
            <w:vAlign w:val="bottom"/>
          </w:tcPr>
          <w:p>
            <w:pPr>
              <w:spacing w:after="0"/>
              <w:rPr>
                <w:sz w:val="20"/>
                <w:szCs w:val="20"/>
                <w:color w:val="auto"/>
              </w:rPr>
            </w:pPr>
            <w:r>
              <w:rPr>
                <w:rFonts w:ascii="Arial" w:cs="Arial" w:eastAsia="Arial" w:hAnsi="Arial"/>
                <w:sz w:val="18"/>
                <w:szCs w:val="18"/>
                <w:color w:val="auto"/>
              </w:rPr>
              <w:t>Medium and long-term placements at fixed interest rate</w:t>
            </w:r>
          </w:p>
        </w:tc>
        <w:tc>
          <w:tcPr>
            <w:tcW w:w="9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Due in 181 to 365 days</w:t>
            </w:r>
          </w:p>
        </w:tc>
        <w:tc>
          <w:tcPr>
            <w:tcW w:w="980" w:type="dxa"/>
            <w:vAlign w:val="bottom"/>
            <w:shd w:val="clear" w:color="auto" w:fill="CCEEFF"/>
          </w:tcPr>
          <w:p>
            <w:pPr>
              <w:jc w:val="right"/>
              <w:ind w:right="823"/>
              <w:spacing w:after="0"/>
              <w:rPr>
                <w:sz w:val="20"/>
                <w:szCs w:val="20"/>
                <w:color w:val="auto"/>
              </w:rPr>
            </w:pPr>
            <w:r>
              <w:rPr>
                <w:rFonts w:ascii="Arial" w:cs="Arial" w:eastAsia="Arial" w:hAnsi="Arial"/>
                <w:sz w:val="15"/>
                <w:szCs w:val="15"/>
                <w:color w:val="auto"/>
                <w:w w:val="71"/>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color w:val="auto"/>
                <w:w w:val="93"/>
              </w:rPr>
              <w:t>2.83%</w:t>
            </w:r>
          </w:p>
        </w:tc>
      </w:tr>
      <w:tr>
        <w:trPr>
          <w:trHeight w:val="229"/>
        </w:trPr>
        <w:tc>
          <w:tcPr>
            <w:tcW w:w="73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980" w:type="dxa"/>
            <w:vAlign w:val="bottom"/>
          </w:tcPr>
          <w:p>
            <w:pPr>
              <w:spacing w:after="0"/>
              <w:rPr>
                <w:sz w:val="19"/>
                <w:szCs w:val="19"/>
                <w:color w:val="auto"/>
              </w:rPr>
            </w:pP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779</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3.44%</w:t>
            </w:r>
          </w:p>
        </w:tc>
      </w:tr>
      <w:tr>
        <w:trPr>
          <w:trHeight w:val="216"/>
        </w:trPr>
        <w:tc>
          <w:tcPr>
            <w:tcW w:w="7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80" w:type="dxa"/>
            <w:vAlign w:val="bottom"/>
            <w:shd w:val="clear" w:color="auto" w:fill="CCEEFF"/>
          </w:tcPr>
          <w:p>
            <w:pPr>
              <w:jc w:val="right"/>
              <w:ind w:right="823"/>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784</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b w:val="1"/>
                <w:bCs w:val="1"/>
                <w:color w:val="auto"/>
                <w:w w:val="93"/>
              </w:rPr>
              <w:t>3.44%</w:t>
            </w:r>
          </w:p>
        </w:tc>
      </w:tr>
      <w:tr>
        <w:trPr>
          <w:trHeight w:val="216"/>
        </w:trPr>
        <w:tc>
          <w:tcPr>
            <w:tcW w:w="73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7380" w:type="dxa"/>
            <w:vAlign w:val="bottom"/>
            <w:shd w:val="clear" w:color="auto" w:fill="CCEEFF"/>
          </w:tcPr>
          <w:p>
            <w:pPr>
              <w:spacing w:after="0"/>
              <w:rPr>
                <w:sz w:val="20"/>
                <w:szCs w:val="20"/>
                <w:color w:val="auto"/>
              </w:rPr>
            </w:pPr>
            <w:r>
              <w:rPr>
                <w:rFonts w:ascii="Arial" w:cs="Arial" w:eastAsia="Arial" w:hAnsi="Arial"/>
                <w:sz w:val="18"/>
                <w:szCs w:val="18"/>
                <w:color w:val="auto"/>
              </w:rPr>
              <w:t>Medium and long-term placements at floating interest rate</w:t>
            </w:r>
          </w:p>
        </w:tc>
        <w:tc>
          <w:tcPr>
            <w:tcW w:w="98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r>
      <w:tr>
        <w:trPr>
          <w:trHeight w:val="230"/>
        </w:trPr>
        <w:tc>
          <w:tcPr>
            <w:tcW w:w="7380" w:type="dxa"/>
            <w:vAlign w:val="bottom"/>
          </w:tcPr>
          <w:p>
            <w:pPr>
              <w:spacing w:after="0"/>
              <w:rPr>
                <w:sz w:val="20"/>
                <w:szCs w:val="20"/>
                <w:color w:val="auto"/>
              </w:rPr>
            </w:pPr>
            <w:r>
              <w:rPr>
                <w:rFonts w:ascii="Arial" w:cs="Arial" w:eastAsia="Arial" w:hAnsi="Arial"/>
                <w:sz w:val="18"/>
                <w:szCs w:val="18"/>
                <w:color w:val="auto"/>
              </w:rPr>
              <w:t>Due in 1 through 6 years</w:t>
            </w:r>
          </w:p>
        </w:tc>
        <w:tc>
          <w:tcPr>
            <w:tcW w:w="980" w:type="dxa"/>
            <w:vAlign w:val="bottom"/>
          </w:tcPr>
          <w:p>
            <w:pPr>
              <w:jc w:val="right"/>
              <w:ind w:right="823"/>
              <w:spacing w:after="0"/>
              <w:rPr>
                <w:sz w:val="20"/>
                <w:szCs w:val="20"/>
                <w:color w:val="auto"/>
              </w:rPr>
            </w:pPr>
            <w:r>
              <w:rPr>
                <w:rFonts w:ascii="Arial" w:cs="Arial" w:eastAsia="Arial" w:hAnsi="Arial"/>
                <w:sz w:val="15"/>
                <w:szCs w:val="15"/>
                <w:color w:val="auto"/>
                <w:w w:val="71"/>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color w:val="auto"/>
              </w:rPr>
              <w:t>332</w:t>
            </w:r>
          </w:p>
        </w:tc>
        <w:tc>
          <w:tcPr>
            <w:tcW w:w="2000" w:type="dxa"/>
            <w:vAlign w:val="bottom"/>
            <w:gridSpan w:val="2"/>
          </w:tcPr>
          <w:p>
            <w:pPr>
              <w:ind w:left="1500"/>
              <w:spacing w:after="0"/>
              <w:rPr>
                <w:sz w:val="20"/>
                <w:szCs w:val="20"/>
                <w:color w:val="auto"/>
              </w:rPr>
            </w:pPr>
            <w:r>
              <w:rPr>
                <w:rFonts w:ascii="Arial" w:cs="Arial" w:eastAsia="Arial" w:hAnsi="Arial"/>
                <w:sz w:val="18"/>
                <w:szCs w:val="18"/>
                <w:color w:val="auto"/>
                <w:w w:val="93"/>
              </w:rPr>
              <w:t>4.52%</w:t>
            </w:r>
          </w:p>
        </w:tc>
      </w:tr>
      <w:tr>
        <w:trPr>
          <w:trHeight w:val="216"/>
        </w:trPr>
        <w:tc>
          <w:tcPr>
            <w:tcW w:w="7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80" w:type="dxa"/>
            <w:vAlign w:val="bottom"/>
            <w:shd w:val="clear" w:color="auto" w:fill="CCEEFF"/>
          </w:tcPr>
          <w:p>
            <w:pPr>
              <w:jc w:val="right"/>
              <w:ind w:right="823"/>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332</w:t>
            </w:r>
          </w:p>
        </w:tc>
        <w:tc>
          <w:tcPr>
            <w:tcW w:w="2000" w:type="dxa"/>
            <w:vAlign w:val="bottom"/>
            <w:gridSpan w:val="2"/>
            <w:shd w:val="clear" w:color="auto" w:fill="CCEEFF"/>
          </w:tcPr>
          <w:p>
            <w:pPr>
              <w:ind w:left="1500"/>
              <w:spacing w:after="0"/>
              <w:rPr>
                <w:sz w:val="20"/>
                <w:szCs w:val="20"/>
                <w:color w:val="auto"/>
              </w:rPr>
            </w:pPr>
            <w:r>
              <w:rPr>
                <w:rFonts w:ascii="Arial" w:cs="Arial" w:eastAsia="Arial" w:hAnsi="Arial"/>
                <w:sz w:val="18"/>
                <w:szCs w:val="18"/>
                <w:b w:val="1"/>
                <w:bCs w:val="1"/>
                <w:color w:val="auto"/>
                <w:w w:val="93"/>
              </w:rPr>
              <w:t>4.52%</w:t>
            </w:r>
          </w:p>
        </w:tc>
      </w:tr>
      <w:tr>
        <w:trPr>
          <w:trHeight w:val="234"/>
        </w:trPr>
        <w:tc>
          <w:tcPr>
            <w:tcW w:w="7380" w:type="dxa"/>
            <w:vAlign w:val="bottom"/>
          </w:tcPr>
          <w:p>
            <w:pPr>
              <w:spacing w:after="0"/>
              <w:rPr>
                <w:sz w:val="20"/>
                <w:szCs w:val="20"/>
                <w:color w:val="auto"/>
              </w:rPr>
            </w:pPr>
            <w:r>
              <w:rPr>
                <w:rFonts w:ascii="Arial" w:cs="Arial" w:eastAsia="Arial" w:hAnsi="Arial"/>
                <w:sz w:val="18"/>
                <w:szCs w:val="18"/>
                <w:b w:val="1"/>
                <w:bCs w:val="1"/>
                <w:color w:val="auto"/>
              </w:rPr>
              <w:t>Grand Total</w:t>
            </w:r>
          </w:p>
        </w:tc>
        <w:tc>
          <w:tcPr>
            <w:tcW w:w="980" w:type="dxa"/>
            <w:vAlign w:val="bottom"/>
          </w:tcPr>
          <w:p>
            <w:pPr>
              <w:jc w:val="right"/>
              <w:ind w:right="823"/>
              <w:spacing w:after="0"/>
              <w:rPr>
                <w:sz w:val="20"/>
                <w:szCs w:val="20"/>
                <w:color w:val="auto"/>
              </w:rPr>
            </w:pPr>
            <w:r>
              <w:rPr>
                <w:rFonts w:ascii="Arial" w:cs="Arial" w:eastAsia="Arial" w:hAnsi="Arial"/>
                <w:sz w:val="15"/>
                <w:szCs w:val="15"/>
                <w:b w:val="1"/>
                <w:bCs w:val="1"/>
                <w:color w:val="auto"/>
                <w:w w:val="71"/>
              </w:rPr>
              <w:t>$</w:t>
            </w:r>
          </w:p>
        </w:tc>
        <w:tc>
          <w:tcPr>
            <w:tcW w:w="8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1,985</w:t>
            </w:r>
          </w:p>
        </w:tc>
        <w:tc>
          <w:tcPr>
            <w:tcW w:w="2000" w:type="dxa"/>
            <w:vAlign w:val="bottom"/>
            <w:gridSpan w:val="2"/>
          </w:tcPr>
          <w:p>
            <w:pPr>
              <w:ind w:left="1500"/>
              <w:spacing w:after="0"/>
              <w:rPr>
                <w:sz w:val="20"/>
                <w:szCs w:val="20"/>
                <w:color w:val="auto"/>
              </w:rPr>
            </w:pPr>
            <w:r>
              <w:rPr>
                <w:rFonts w:ascii="Arial" w:cs="Arial" w:eastAsia="Arial" w:hAnsi="Arial"/>
                <w:sz w:val="18"/>
                <w:szCs w:val="18"/>
                <w:b w:val="1"/>
                <w:bCs w:val="1"/>
                <w:color w:val="auto"/>
                <w:w w:val="93"/>
              </w:rPr>
              <w:t>2.85%</w:t>
            </w:r>
          </w:p>
        </w:tc>
      </w:tr>
    </w:tbl>
    <w:p>
      <w:pPr>
        <w:spacing w:after="0" w:line="96" w:lineRule="exact"/>
        <w:rPr>
          <w:sz w:val="20"/>
          <w:szCs w:val="20"/>
          <w:color w:val="auto"/>
        </w:rPr>
      </w:pPr>
    </w:p>
    <w:p>
      <w:pPr>
        <w:ind w:left="220" w:hanging="212"/>
        <w:spacing w:after="0"/>
        <w:tabs>
          <w:tab w:leader="none" w:pos="220" w:val="left"/>
        </w:tabs>
        <w:numPr>
          <w:ilvl w:val="0"/>
          <w:numId w:val="51"/>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$7.7 million as of December 31, 2020.</w:t>
      </w:r>
    </w:p>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See Item 3.D., “Key Information--Risk Factors—Risks Relating to the Bank’s Business--The effects of the COVID-19 pandemic have adversely affected, and are expected to continue to adversely affect, the Bank’s businesses and results of operations, and its duration and future impacts on the economy in the Region and on its businesses, results of operations and financial condition remain uncertain,” and Item 5.D., “Operating and Financial Review and Prospects—Trend Information.”</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Cash flows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following discussion highlights the major activities and transactions that affected the Bank’s cash flows during 2020, 2019 and 2018.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operating activities</w:t>
      </w:r>
    </w:p>
    <w:p>
      <w:pPr>
        <w:spacing w:after="0" w:line="200" w:lineRule="exact"/>
        <w:rPr>
          <w:sz w:val="20"/>
          <w:szCs w:val="20"/>
          <w:color w:val="auto"/>
        </w:rPr>
      </w:pPr>
    </w:p>
    <w:p>
      <w:pPr>
        <w:spacing w:after="0" w:line="24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Bank’s operating activities mainly include cash generated by profit for the year, adjustments to reconcile profit for the year to net cash provided by or used in operating activities, net changes in operating assets, which predominantly include loans originated by the Bank, and net changes in operating liabilities, primarily from raising deposits from central banks as well as state-owned and private banks and corporations in the Region.</w:t>
      </w:r>
    </w:p>
    <w:p>
      <w:pPr>
        <w:spacing w:after="0" w:line="16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For the year ended December 31, 2020, net cash provided by operating activities was $1,247 million, mainly attributable to a net decrease of $911 million in loans and a net increase of $251 million in operating liabilities due to depositors.</w:t>
      </w:r>
    </w:p>
    <w:p>
      <w:pPr>
        <w:spacing w:after="0" w:line="170" w:lineRule="exact"/>
        <w:rPr>
          <w:sz w:val="20"/>
          <w:szCs w:val="20"/>
          <w:color w:val="auto"/>
        </w:rPr>
      </w:pPr>
    </w:p>
    <w:p>
      <w:pPr>
        <w:spacing w:after="0"/>
        <w:rPr>
          <w:sz w:val="20"/>
          <w:szCs w:val="20"/>
          <w:color w:val="auto"/>
        </w:rPr>
      </w:pPr>
      <w:r>
        <w:rPr>
          <w:rFonts w:ascii="Arial" w:cs="Arial" w:eastAsia="Arial" w:hAnsi="Arial"/>
          <w:sz w:val="16"/>
          <w:szCs w:val="16"/>
          <w:color w:val="auto"/>
        </w:rPr>
        <w:t>For the year ended December 31, 2019, net cash used by operating activities was $92 million, mainly attributable to a net increase of $112 million in loans.</w:t>
      </w:r>
    </w:p>
    <w:p>
      <w:pPr>
        <w:spacing w:after="0" w:line="248"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For the year ended December 31, 2018, net cash used by operating activities was $174 million, mainly attributable to a net increase of $305 million in loans, and partially offset by the cash provided from the $104 million net difference from the interest the Bank received and paid during the year.</w:t>
      </w: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846" w:right="339" w:bottom="1440" w:gutter="0" w:footer="0" w:header="0"/>
        </w:sectPr>
      </w:pPr>
    </w:p>
    <w:bookmarkStart w:id="82" w:name="page83"/>
    <w:bookmarkEnd w:id="82"/>
    <w:p>
      <w:pPr>
        <w:spacing w:after="0"/>
        <w:rPr>
          <w:sz w:val="20"/>
          <w:szCs w:val="20"/>
          <w:color w:val="auto"/>
        </w:rPr>
      </w:pPr>
      <w:r>
        <w:rPr>
          <w:rFonts w:ascii="Arial" w:cs="Arial" w:eastAsia="Arial" w:hAnsi="Arial"/>
          <w:sz w:val="18"/>
          <w:szCs w:val="18"/>
          <w:i w:val="1"/>
          <w:iCs w:val="1"/>
          <w:color w:val="auto"/>
        </w:rPr>
        <w:t>Cash flows from investing activities</w:t>
      </w:r>
    </w:p>
    <w:p>
      <w:pPr>
        <w:spacing w:after="0" w:line="22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Bank’s investing activities include the portfolio of securities at FVOCI and at amortized cost, as well as the cash used on acquisition or proceeds from disposal of equipment and leasehold improvements, and intangible assets. Investing activities can vary significantly in the normal course of business due to the amount and timing of cash flows, which are affected by client-driven activities and demand, market conditions, and business strategies.</w:t>
      </w:r>
    </w:p>
    <w:p>
      <w:pPr>
        <w:spacing w:after="0" w:line="14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For the year ended December 31, 2020, net cash used in investing activities was $320 million, primarily as a result of the $227 million in purchases of securities at fair value through OCI and $144 million in purchases of securities at amortized cost.</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net cash provided by investing activities was $31 million, primarily as a result of the $28 million in net proceeds from maturities of securities at amortized cost, along with $22 million in net proceeds from the sale and redemption of securities at fair value through OCI, which was partially offset by the $18 million cash used in the purchases of securities at amortized cost.</w:t>
      </w:r>
    </w:p>
    <w:p>
      <w:pPr>
        <w:spacing w:after="0" w:line="184"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For the year ended December 31, 2018, net cash used in investing activities was $22 million, primarily as a result of the $37 million cash used in the purchases of securities at FVOCI and amortized cost, which was partially offset by the $10 million proceeds from securities maturing during 2018.</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Cash flows from financing activities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financing activities primarily reflect cash flows related to raising funds from short-term borrowings and debt from international correspondent banks, and proceeds from, and repayments of, long-term borrowings and debt through bilateral or syndicated borrowing facilities, as well as issuances in the capital markets.</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For the year ended December 31, 2020, the net cash used in financing activities was $1,241 million, which was primarily the result of a $1,212 million net decrease in short-term borrowings and debt and a $30 million decrease in securities sold under repurchase agreements, along with repayments from long-term borrowings and debt of $781 million and $45 million paid as cash dividends, partially offset by the $828 million in proceeds from long-term borrowings and debt.</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2019, the net cash used in financing activities was $485 million, which was primarily the result of a $429 million net decrease in short-term borrowings and debt, along with the repayments of $369 million in long-term borrowings and debt, and $59 million paid as cash dividends, partially offset by the $372 million in proceeds from long-term borrowings and debt.</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year ended December 31, 2018, the net cash provided by financing activities was $1,282 million, which was primarily the result of the $950 million net increase in short-term borrowings and debt and $609 million in proceeds from long-term borrowings and debt, which was partially offset by the repayment of $256 million in long-term borrowings and debt, and $62 million paid as cash dividends.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Asset/Liability Management</w:t>
      </w:r>
    </w:p>
    <w:p>
      <w:pPr>
        <w:spacing w:after="0" w:line="225"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w:t>
      </w: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3" w:name="page84"/>
    <w:bookmarkEnd w:id="83"/>
    <w:p>
      <w:pPr>
        <w:spacing w:after="0"/>
        <w:rPr>
          <w:sz w:val="20"/>
          <w:szCs w:val="20"/>
          <w:color w:val="auto"/>
        </w:rPr>
      </w:pPr>
      <w:r>
        <w:rPr>
          <w:rFonts w:ascii="Arial" w:cs="Arial" w:eastAsia="Arial" w:hAnsi="Arial"/>
          <w:sz w:val="18"/>
          <w:szCs w:val="18"/>
          <w:i w:val="1"/>
          <w:iCs w:val="1"/>
          <w:color w:val="auto"/>
        </w:rPr>
        <w:t>Interest Rate Sensitivity</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following table presents the projected maturities and interest rate adjustment periods of the Bank’s total assets, liabilities and equity based upon the contractual maturities and rate-adjustment (repricing) dates as of December 31, 2020. The Bank’s interest-earning assets and interest-bearing liabilities and the related interest rate sensitivity gap shown in the following table may not reflect positions in subsequent periods.</w:t>
      </w:r>
    </w:p>
    <w:p>
      <w:pPr>
        <w:spacing w:after="0" w:line="16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Non-</w:t>
            </w:r>
          </w:p>
        </w:tc>
        <w:tc>
          <w:tcPr>
            <w:tcW w:w="0" w:type="dxa"/>
            <w:vAlign w:val="bottom"/>
          </w:tcPr>
          <w:p>
            <w:pPr>
              <w:spacing w:after="0"/>
              <w:rPr>
                <w:sz w:val="1"/>
                <w:szCs w:val="1"/>
                <w:color w:val="auto"/>
              </w:rPr>
            </w:pPr>
          </w:p>
        </w:tc>
      </w:tr>
      <w:tr>
        <w:trPr>
          <w:trHeight w:val="216"/>
        </w:trPr>
        <w:tc>
          <w:tcPr>
            <w:tcW w:w="33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Interest</w:t>
            </w:r>
          </w:p>
        </w:tc>
        <w:tc>
          <w:tcPr>
            <w:tcW w:w="0" w:type="dxa"/>
            <w:vAlign w:val="bottom"/>
          </w:tcPr>
          <w:p>
            <w:pPr>
              <w:spacing w:after="0"/>
              <w:rPr>
                <w:sz w:val="1"/>
                <w:szCs w:val="1"/>
                <w:color w:val="auto"/>
              </w:rPr>
            </w:pPr>
          </w:p>
        </w:tc>
      </w:tr>
      <w:tr>
        <w:trPr>
          <w:trHeight w:val="216"/>
        </w:trPr>
        <w:tc>
          <w:tcPr>
            <w:tcW w:w="33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6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7"/>
              </w:rPr>
              <w:t>Sensitive /</w:t>
            </w:r>
          </w:p>
        </w:tc>
        <w:tc>
          <w:tcPr>
            <w:tcW w:w="0" w:type="dxa"/>
            <w:vAlign w:val="bottom"/>
          </w:tcPr>
          <w:p>
            <w:pPr>
              <w:spacing w:after="0"/>
              <w:rPr>
                <w:sz w:val="1"/>
                <w:szCs w:val="1"/>
                <w:color w:val="auto"/>
              </w:rPr>
            </w:pPr>
          </w:p>
        </w:tc>
      </w:tr>
      <w:tr>
        <w:trPr>
          <w:trHeight w:val="216"/>
        </w:trPr>
        <w:tc>
          <w:tcPr>
            <w:tcW w:w="33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jc w:val="right"/>
              <w:ind w:right="93"/>
              <w:spacing w:after="0"/>
              <w:rPr>
                <w:sz w:val="20"/>
                <w:szCs w:val="20"/>
                <w:color w:val="auto"/>
              </w:rPr>
            </w:pPr>
            <w:r>
              <w:rPr>
                <w:rFonts w:ascii="Arial" w:cs="Arial" w:eastAsia="Arial" w:hAnsi="Arial"/>
                <w:sz w:val="18"/>
                <w:szCs w:val="18"/>
                <w:b w:val="1"/>
                <w:bCs w:val="1"/>
                <w:color w:val="auto"/>
                <w:w w:val="96"/>
              </w:rPr>
              <w:t>91-180</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tcPr>
          <w:p>
            <w:pPr>
              <w:jc w:val="right"/>
              <w:ind w:right="33"/>
              <w:spacing w:after="0"/>
              <w:rPr>
                <w:sz w:val="20"/>
                <w:szCs w:val="20"/>
                <w:color w:val="auto"/>
              </w:rPr>
            </w:pPr>
            <w:r>
              <w:rPr>
                <w:rFonts w:ascii="Arial" w:cs="Arial" w:eastAsia="Arial" w:hAnsi="Arial"/>
                <w:sz w:val="18"/>
                <w:szCs w:val="18"/>
                <w:b w:val="1"/>
                <w:bCs w:val="1"/>
                <w:color w:val="auto"/>
                <w:w w:val="93"/>
              </w:rPr>
              <w:t>181-365</w:t>
            </w:r>
          </w:p>
        </w:tc>
        <w:tc>
          <w:tcPr>
            <w:tcW w:w="280" w:type="dxa"/>
            <w:vAlign w:val="bottom"/>
          </w:tcPr>
          <w:p>
            <w:pPr>
              <w:spacing w:after="0"/>
              <w:rPr>
                <w:sz w:val="18"/>
                <w:szCs w:val="18"/>
                <w:color w:val="auto"/>
              </w:rPr>
            </w:pPr>
          </w:p>
        </w:tc>
        <w:tc>
          <w:tcPr>
            <w:tcW w:w="114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w w:val="95"/>
              </w:rPr>
              <w:t>More than</w:t>
            </w:r>
          </w:p>
        </w:tc>
        <w:tc>
          <w:tcPr>
            <w:tcW w:w="100" w:type="dxa"/>
            <w:vAlign w:val="bottom"/>
          </w:tcPr>
          <w:p>
            <w:pPr>
              <w:spacing w:after="0"/>
              <w:rPr>
                <w:sz w:val="18"/>
                <w:szCs w:val="18"/>
                <w:color w:val="auto"/>
              </w:rPr>
            </w:pPr>
          </w:p>
        </w:tc>
        <w:tc>
          <w:tcPr>
            <w:tcW w:w="9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without</w:t>
            </w:r>
          </w:p>
        </w:tc>
        <w:tc>
          <w:tcPr>
            <w:tcW w:w="0" w:type="dxa"/>
            <w:vAlign w:val="bottom"/>
          </w:tcPr>
          <w:p>
            <w:pPr>
              <w:spacing w:after="0"/>
              <w:rPr>
                <w:sz w:val="1"/>
                <w:szCs w:val="1"/>
                <w:color w:val="auto"/>
              </w:rPr>
            </w:pPr>
          </w:p>
        </w:tc>
      </w:tr>
      <w:tr>
        <w:trPr>
          <w:trHeight w:val="234"/>
        </w:trPr>
        <w:tc>
          <w:tcPr>
            <w:tcW w:w="336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720" w:type="dxa"/>
            <w:vAlign w:val="bottom"/>
            <w:tcBorders>
              <w:bottom w:val="single" w:sz="8" w:color="auto"/>
            </w:tcBorders>
          </w:tcPr>
          <w:p>
            <w:pPr>
              <w:jc w:val="right"/>
              <w:ind w:right="154"/>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Borders>
              <w:bottom w:val="single" w:sz="8" w:color="auto"/>
            </w:tcBorders>
            <w:gridSpan w:val="2"/>
          </w:tcPr>
          <w:p>
            <w:pPr>
              <w:spacing w:after="0"/>
              <w:rPr>
                <w:sz w:val="20"/>
                <w:szCs w:val="20"/>
                <w:color w:val="auto"/>
              </w:rPr>
            </w:pPr>
            <w:r>
              <w:rPr>
                <w:rFonts w:ascii="Arial" w:cs="Arial" w:eastAsia="Arial" w:hAnsi="Arial"/>
                <w:sz w:val="18"/>
                <w:szCs w:val="18"/>
                <w:b w:val="1"/>
                <w:bCs w:val="1"/>
                <w:color w:val="auto"/>
              </w:rPr>
              <w:t>0-30 Days</w:t>
            </w:r>
          </w:p>
        </w:tc>
        <w:tc>
          <w:tcPr>
            <w:tcW w:w="280" w:type="dxa"/>
            <w:vAlign w:val="bottom"/>
          </w:tcPr>
          <w:p>
            <w:pPr>
              <w:spacing w:after="0"/>
              <w:rPr>
                <w:sz w:val="20"/>
                <w:szCs w:val="20"/>
                <w:color w:val="auto"/>
              </w:rPr>
            </w:pPr>
          </w:p>
        </w:tc>
        <w:tc>
          <w:tcPr>
            <w:tcW w:w="8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87"/>
              </w:rPr>
              <w:t>31-90 Days</w:t>
            </w:r>
          </w:p>
        </w:tc>
        <w:tc>
          <w:tcPr>
            <w:tcW w:w="260" w:type="dxa"/>
            <w:vAlign w:val="bottom"/>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tcPr>
          <w:p>
            <w:pPr>
              <w:jc w:val="right"/>
              <w:ind w:right="153"/>
              <w:spacing w:after="0"/>
              <w:rPr>
                <w:sz w:val="20"/>
                <w:szCs w:val="20"/>
                <w:color w:val="auto"/>
              </w:rPr>
            </w:pPr>
            <w:r>
              <w:rPr>
                <w:rFonts w:ascii="Arial" w:cs="Arial" w:eastAsia="Arial" w:hAnsi="Arial"/>
                <w:sz w:val="18"/>
                <w:szCs w:val="18"/>
                <w:b w:val="1"/>
                <w:bCs w:val="1"/>
                <w:color w:val="auto"/>
              </w:rPr>
              <w:t>Days</w:t>
            </w:r>
          </w:p>
        </w:tc>
        <w:tc>
          <w:tcPr>
            <w:tcW w:w="28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760" w:type="dxa"/>
            <w:vAlign w:val="bottom"/>
            <w:tcBorders>
              <w:bottom w:val="single" w:sz="8" w:color="auto"/>
            </w:tcBorders>
          </w:tcPr>
          <w:p>
            <w:pPr>
              <w:jc w:val="right"/>
              <w:ind w:right="153"/>
              <w:spacing w:after="0"/>
              <w:rPr>
                <w:sz w:val="20"/>
                <w:szCs w:val="20"/>
                <w:color w:val="auto"/>
              </w:rPr>
            </w:pPr>
            <w:r>
              <w:rPr>
                <w:rFonts w:ascii="Arial" w:cs="Arial" w:eastAsia="Arial" w:hAnsi="Arial"/>
                <w:sz w:val="18"/>
                <w:szCs w:val="18"/>
                <w:b w:val="1"/>
                <w:bCs w:val="1"/>
                <w:color w:val="auto"/>
              </w:rPr>
              <w:t>Days</w:t>
            </w:r>
          </w:p>
        </w:tc>
        <w:tc>
          <w:tcPr>
            <w:tcW w:w="28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jc w:val="right"/>
              <w:ind w:right="14"/>
              <w:spacing w:after="0"/>
              <w:rPr>
                <w:sz w:val="20"/>
                <w:szCs w:val="20"/>
                <w:color w:val="auto"/>
              </w:rPr>
            </w:pPr>
            <w:r>
              <w:rPr>
                <w:rFonts w:ascii="Arial" w:cs="Arial" w:eastAsia="Arial" w:hAnsi="Arial"/>
                <w:sz w:val="18"/>
                <w:szCs w:val="18"/>
                <w:b w:val="1"/>
                <w:bCs w:val="1"/>
                <w:color w:val="auto"/>
                <w:w w:val="84"/>
              </w:rPr>
              <w:t>365 Days</w:t>
            </w:r>
          </w:p>
        </w:tc>
        <w:tc>
          <w:tcPr>
            <w:tcW w:w="26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8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5"/>
              </w:rPr>
              <w:t>maturity</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3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920" w:type="dxa"/>
            <w:vAlign w:val="bottom"/>
            <w:gridSpan w:val="7"/>
          </w:tcPr>
          <w:p>
            <w:pPr>
              <w:jc w:val="right"/>
              <w:ind w:right="213"/>
              <w:spacing w:after="0"/>
              <w:rPr>
                <w:sz w:val="20"/>
                <w:szCs w:val="20"/>
                <w:color w:val="auto"/>
              </w:rPr>
            </w:pPr>
            <w:r>
              <w:rPr>
                <w:rFonts w:ascii="Arial" w:cs="Arial" w:eastAsia="Arial" w:hAnsi="Arial"/>
                <w:sz w:val="18"/>
                <w:szCs w:val="18"/>
                <w:color w:val="auto"/>
                <w:w w:val="95"/>
              </w:rPr>
              <w:t>(in $ millions, except percentages)</w:t>
            </w:r>
          </w:p>
        </w:tc>
        <w:tc>
          <w:tcPr>
            <w:tcW w:w="2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Interest-earning assets</w:t>
            </w: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6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864</w:t>
            </w:r>
          </w:p>
        </w:tc>
        <w:tc>
          <w:tcPr>
            <w:tcW w:w="40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860</w:t>
            </w:r>
          </w:p>
        </w:tc>
        <w:tc>
          <w:tcPr>
            <w:tcW w:w="240" w:type="dxa"/>
            <w:vAlign w:val="bottom"/>
          </w:tcPr>
          <w:p>
            <w:pPr>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57"/>
        </w:trPr>
        <w:tc>
          <w:tcPr>
            <w:tcW w:w="33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Investment Portfolio </w:t>
            </w:r>
            <w:r>
              <w:rPr>
                <w:rFonts w:ascii="Arial" w:cs="Arial" w:eastAsia="Arial" w:hAnsi="Arial"/>
                <w:sz w:val="29"/>
                <w:szCs w:val="29"/>
                <w:color w:val="auto"/>
                <w:vertAlign w:val="superscript"/>
              </w:rPr>
              <w:t>(1)</w:t>
            </w:r>
          </w:p>
        </w:tc>
        <w:tc>
          <w:tcPr>
            <w:tcW w:w="160" w:type="dxa"/>
            <w:vAlign w:val="bottom"/>
            <w:shd w:val="clear" w:color="auto" w:fill="CCEEFF"/>
          </w:tcPr>
          <w:p>
            <w:pPr>
              <w:spacing w:after="0"/>
              <w:rPr>
                <w:sz w:val="22"/>
                <w:szCs w:val="22"/>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396</w:t>
            </w:r>
          </w:p>
        </w:tc>
        <w:tc>
          <w:tcPr>
            <w:tcW w:w="100" w:type="dxa"/>
            <w:vAlign w:val="bottom"/>
            <w:shd w:val="clear" w:color="auto" w:fill="CCEEFF"/>
          </w:tcPr>
          <w:p>
            <w:pPr>
              <w:spacing w:after="0"/>
              <w:rPr>
                <w:sz w:val="22"/>
                <w:szCs w:val="22"/>
                <w:color w:val="auto"/>
              </w:rPr>
            </w:pPr>
          </w:p>
        </w:tc>
        <w:tc>
          <w:tcPr>
            <w:tcW w:w="300" w:type="dxa"/>
            <w:vAlign w:val="bottom"/>
            <w:shd w:val="clear" w:color="auto" w:fill="CCEEFF"/>
          </w:tcPr>
          <w:p>
            <w:pPr>
              <w:spacing w:after="0"/>
              <w:rPr>
                <w:sz w:val="22"/>
                <w:szCs w:val="22"/>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w:t>
            </w:r>
          </w:p>
        </w:tc>
        <w:tc>
          <w:tcPr>
            <w:tcW w:w="240" w:type="dxa"/>
            <w:vAlign w:val="bottom"/>
            <w:shd w:val="clear" w:color="auto" w:fill="CCEEFF"/>
          </w:tcPr>
          <w:p>
            <w:pPr>
              <w:spacing w:after="0"/>
              <w:rPr>
                <w:sz w:val="22"/>
                <w:szCs w:val="22"/>
                <w:color w:val="auto"/>
              </w:rPr>
            </w:pPr>
          </w:p>
        </w:tc>
        <w:tc>
          <w:tcPr>
            <w:tcW w:w="90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w:t>
            </w:r>
          </w:p>
        </w:tc>
        <w:tc>
          <w:tcPr>
            <w:tcW w:w="14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w:t>
            </w:r>
          </w:p>
        </w:tc>
        <w:tc>
          <w:tcPr>
            <w:tcW w:w="100" w:type="dxa"/>
            <w:vAlign w:val="bottom"/>
            <w:shd w:val="clear" w:color="auto" w:fill="CCEEFF"/>
          </w:tcPr>
          <w:p>
            <w:pPr>
              <w:spacing w:after="0"/>
              <w:rPr>
                <w:sz w:val="22"/>
                <w:szCs w:val="22"/>
                <w:color w:val="auto"/>
              </w:rPr>
            </w:pP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321</w:t>
            </w:r>
          </w:p>
        </w:tc>
        <w:tc>
          <w:tcPr>
            <w:tcW w:w="1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3360" w:type="dxa"/>
            <w:vAlign w:val="bottom"/>
          </w:tcPr>
          <w:p>
            <w:pPr>
              <w:spacing w:after="0" w:line="270" w:lineRule="exact"/>
              <w:rPr>
                <w:sz w:val="20"/>
                <w:szCs w:val="20"/>
                <w:color w:val="auto"/>
              </w:rPr>
            </w:pPr>
            <w:r>
              <w:rPr>
                <w:rFonts w:ascii="Arial" w:cs="Arial" w:eastAsia="Arial" w:hAnsi="Arial"/>
                <w:sz w:val="18"/>
                <w:szCs w:val="18"/>
                <w:color w:val="auto"/>
              </w:rPr>
              <w:t>Loans</w:t>
            </w:r>
            <w:r>
              <w:rPr>
                <w:rFonts w:ascii="Arial" w:cs="Arial" w:eastAsia="Arial" w:hAnsi="Arial"/>
                <w:sz w:val="29"/>
                <w:szCs w:val="29"/>
                <w:color w:val="auto"/>
                <w:vertAlign w:val="superscript"/>
              </w:rPr>
              <w:t>(1)</w:t>
            </w:r>
          </w:p>
        </w:tc>
        <w:tc>
          <w:tcPr>
            <w:tcW w:w="160" w:type="dxa"/>
            <w:vAlign w:val="bottom"/>
          </w:tcPr>
          <w:p>
            <w:pPr>
              <w:spacing w:after="0"/>
              <w:rPr>
                <w:sz w:val="23"/>
                <w:szCs w:val="23"/>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4,916</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6"/>
                <w:szCs w:val="16"/>
                <w:color w:val="auto"/>
              </w:rPr>
              <w:t>1,861</w:t>
            </w:r>
          </w:p>
        </w:tc>
        <w:tc>
          <w:tcPr>
            <w:tcW w:w="240" w:type="dxa"/>
            <w:vAlign w:val="bottom"/>
          </w:tcPr>
          <w:p>
            <w:pPr>
              <w:spacing w:after="0"/>
              <w:rPr>
                <w:sz w:val="23"/>
                <w:szCs w:val="23"/>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1,607</w:t>
            </w:r>
          </w:p>
        </w:tc>
        <w:tc>
          <w:tcPr>
            <w:tcW w:w="26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6"/>
                <w:szCs w:val="16"/>
                <w:color w:val="auto"/>
              </w:rPr>
              <w:t>896</w:t>
            </w:r>
          </w:p>
        </w:tc>
        <w:tc>
          <w:tcPr>
            <w:tcW w:w="100" w:type="dxa"/>
            <w:vAlign w:val="bottom"/>
          </w:tcPr>
          <w:p>
            <w:pPr>
              <w:spacing w:after="0"/>
              <w:rPr>
                <w:sz w:val="23"/>
                <w:szCs w:val="23"/>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435</w:t>
            </w:r>
          </w:p>
        </w:tc>
        <w:tc>
          <w:tcPr>
            <w:tcW w:w="2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6"/>
                <w:szCs w:val="16"/>
                <w:color w:val="auto"/>
              </w:rPr>
              <w:t>117</w:t>
            </w:r>
          </w:p>
        </w:tc>
        <w:tc>
          <w:tcPr>
            <w:tcW w:w="100" w:type="dxa"/>
            <w:vAlign w:val="bottom"/>
          </w:tcPr>
          <w:p>
            <w:pPr>
              <w:spacing w:after="0"/>
              <w:rPr>
                <w:sz w:val="23"/>
                <w:szCs w:val="23"/>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09"/>
        </w:trPr>
        <w:tc>
          <w:tcPr>
            <w:tcW w:w="33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interest-earning assets</w:t>
            </w:r>
          </w:p>
        </w:tc>
        <w:tc>
          <w:tcPr>
            <w:tcW w:w="16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6,176</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2,726</w:t>
            </w:r>
          </w:p>
        </w:tc>
        <w:tc>
          <w:tcPr>
            <w:tcW w:w="2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6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1,612</w:t>
            </w:r>
          </w:p>
        </w:tc>
        <w:tc>
          <w:tcPr>
            <w:tcW w:w="260" w:type="dxa"/>
            <w:vAlign w:val="bottom"/>
            <w:tcBorders>
              <w:top w:val="single" w:sz="8" w:color="CCEEFF"/>
              <w:right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905</w:t>
            </w:r>
          </w:p>
        </w:tc>
        <w:tc>
          <w:tcPr>
            <w:tcW w:w="2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w:t>
            </w:r>
          </w:p>
        </w:tc>
        <w:tc>
          <w:tcPr>
            <w:tcW w:w="280" w:type="dxa"/>
            <w:vAlign w:val="bottom"/>
            <w:tcBorders>
              <w:top w:val="single" w:sz="8" w:color="CCEEFF"/>
              <w:right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438</w:t>
            </w: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w:t>
            </w: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360" w:type="dxa"/>
            <w:vAlign w:val="bottom"/>
          </w:tcPr>
          <w:p>
            <w:pPr>
              <w:spacing w:after="0" w:line="201" w:lineRule="exact"/>
              <w:rPr>
                <w:sz w:val="20"/>
                <w:szCs w:val="20"/>
                <w:color w:val="auto"/>
              </w:rPr>
            </w:pPr>
            <w:r>
              <w:rPr>
                <w:rFonts w:ascii="Arial" w:cs="Arial" w:eastAsia="Arial" w:hAnsi="Arial"/>
                <w:sz w:val="18"/>
                <w:szCs w:val="18"/>
                <w:color w:val="auto"/>
                <w:w w:val="99"/>
              </w:rPr>
              <w:t>Non-interest earning assets, allowance for</w:t>
            </w: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3360" w:type="dxa"/>
            <w:vAlign w:val="bottom"/>
          </w:tcPr>
          <w:p>
            <w:pPr>
              <w:spacing w:after="0"/>
              <w:rPr>
                <w:sz w:val="20"/>
                <w:szCs w:val="20"/>
                <w:color w:val="auto"/>
              </w:rPr>
            </w:pPr>
            <w:r>
              <w:rPr>
                <w:rFonts w:ascii="Arial" w:cs="Arial" w:eastAsia="Arial" w:hAnsi="Arial"/>
                <w:sz w:val="18"/>
                <w:szCs w:val="18"/>
                <w:color w:val="auto"/>
              </w:rPr>
              <w:t>credit losses and other asset</w:t>
            </w:r>
          </w:p>
        </w:tc>
        <w:tc>
          <w:tcPr>
            <w:tcW w:w="16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113</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20"/>
                <w:szCs w:val="20"/>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0</w:t>
            </w: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0</w:t>
            </w: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20"/>
                <w:szCs w:val="20"/>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6"/>
                <w:szCs w:val="16"/>
                <w:color w:val="auto"/>
              </w:rPr>
              <w:t>113</w:t>
            </w:r>
          </w:p>
        </w:tc>
        <w:tc>
          <w:tcPr>
            <w:tcW w:w="0" w:type="dxa"/>
            <w:vAlign w:val="bottom"/>
          </w:tcPr>
          <w:p>
            <w:pPr>
              <w:spacing w:after="0"/>
              <w:rPr>
                <w:sz w:val="1"/>
                <w:szCs w:val="1"/>
                <w:color w:val="auto"/>
              </w:rPr>
            </w:pPr>
          </w:p>
        </w:tc>
      </w:tr>
      <w:tr>
        <w:trPr>
          <w:trHeight w:val="20"/>
        </w:trPr>
        <w:tc>
          <w:tcPr>
            <w:tcW w:w="33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60" w:type="dxa"/>
            <w:vAlign w:val="bottom"/>
            <w:tcBorders>
              <w:right w:val="single" w:sz="8" w:color="CCEEFF"/>
            </w:tcBorders>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80" w:type="dxa"/>
            <w:vAlign w:val="bottom"/>
            <w:tcBorders>
              <w:right w:val="single" w:sz="8" w:color="CCEEFF"/>
            </w:tcBorders>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9"/>
        </w:trPr>
        <w:tc>
          <w:tcPr>
            <w:tcW w:w="3360" w:type="dxa"/>
            <w:vAlign w:val="bottom"/>
            <w:vMerge w:val="continue"/>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6,289</w:t>
            </w:r>
          </w:p>
        </w:tc>
        <w:tc>
          <w:tcPr>
            <w:tcW w:w="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2,726</w:t>
            </w:r>
          </w:p>
        </w:tc>
        <w:tc>
          <w:tcPr>
            <w:tcW w:w="2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1,612</w:t>
            </w:r>
          </w:p>
        </w:tc>
        <w:tc>
          <w:tcPr>
            <w:tcW w:w="260" w:type="dxa"/>
            <w:vAlign w:val="bottom"/>
            <w:tcBorders>
              <w:right w:val="single" w:sz="8" w:color="CCEEFF"/>
            </w:tcBorders>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905</w:t>
            </w: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491</w:t>
            </w:r>
          </w:p>
        </w:tc>
        <w:tc>
          <w:tcPr>
            <w:tcW w:w="280" w:type="dxa"/>
            <w:vAlign w:val="bottom"/>
            <w:tcBorders>
              <w:right w:val="single" w:sz="8" w:color="CCEEFF"/>
            </w:tcBorders>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b w:val="1"/>
                <w:bCs w:val="1"/>
                <w:color w:val="auto"/>
              </w:rPr>
              <w:t>438</w:t>
            </w: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b w:val="1"/>
                <w:bCs w:val="1"/>
                <w:color w:val="auto"/>
              </w:rPr>
              <w:t>117</w:t>
            </w:r>
          </w:p>
        </w:tc>
        <w:tc>
          <w:tcPr>
            <w:tcW w:w="0" w:type="dxa"/>
            <w:vAlign w:val="bottom"/>
          </w:tcPr>
          <w:p>
            <w:pPr>
              <w:spacing w:after="0"/>
              <w:rPr>
                <w:sz w:val="1"/>
                <w:szCs w:val="1"/>
                <w:color w:val="auto"/>
              </w:rPr>
            </w:pPr>
          </w:p>
        </w:tc>
      </w:tr>
      <w:tr>
        <w:trPr>
          <w:trHeight w:val="203"/>
        </w:trPr>
        <w:tc>
          <w:tcPr>
            <w:tcW w:w="33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Interest-bearing liabilities</w:t>
            </w: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40" w:type="dxa"/>
            <w:vAlign w:val="bottom"/>
            <w:shd w:val="clear" w:color="auto" w:fill="CCEEFF"/>
          </w:tcPr>
          <w:p>
            <w:pPr>
              <w:spacing w:after="0"/>
              <w:rPr>
                <w:sz w:val="18"/>
                <w:szCs w:val="18"/>
                <w:color w:val="auto"/>
              </w:rPr>
            </w:pPr>
          </w:p>
        </w:tc>
        <w:tc>
          <w:tcPr>
            <w:tcW w:w="260" w:type="dxa"/>
            <w:vAlign w:val="bottom"/>
            <w:tcBorders>
              <w:right w:val="single" w:sz="8" w:color="CCEEFF"/>
            </w:tcBorders>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80" w:type="dxa"/>
            <w:vAlign w:val="bottom"/>
            <w:tcBorders>
              <w:right w:val="single" w:sz="8" w:color="CCEEFF"/>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60" w:type="dxa"/>
            <w:vAlign w:val="bottom"/>
          </w:tcPr>
          <w:p>
            <w:pPr>
              <w:spacing w:after="0"/>
              <w:rPr>
                <w:sz w:val="20"/>
                <w:szCs w:val="20"/>
                <w:color w:val="auto"/>
              </w:rPr>
            </w:pPr>
            <w:r>
              <w:rPr>
                <w:rFonts w:ascii="Arial" w:cs="Arial" w:eastAsia="Arial" w:hAnsi="Arial"/>
                <w:sz w:val="18"/>
                <w:szCs w:val="18"/>
                <w:color w:val="auto"/>
              </w:rPr>
              <w:t>Deposits</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3,139</w:t>
            </w:r>
          </w:p>
        </w:tc>
        <w:tc>
          <w:tcPr>
            <w:tcW w:w="400" w:type="dxa"/>
            <w:vAlign w:val="bottom"/>
            <w:gridSpan w:val="2"/>
          </w:tcPr>
          <w:p>
            <w:pPr>
              <w:ind w:left="100"/>
              <w:spacing w:after="0"/>
              <w:rPr>
                <w:sz w:val="20"/>
                <w:szCs w:val="20"/>
                <w:color w:val="auto"/>
              </w:rPr>
            </w:pPr>
            <w:r>
              <w:rPr>
                <w:rFonts w:ascii="Arial" w:cs="Arial" w:eastAsia="Arial" w:hAnsi="Arial"/>
                <w:sz w:val="18"/>
                <w:szCs w:val="18"/>
                <w:color w:val="auto"/>
              </w:rPr>
              <w:t>$</w:t>
            </w: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1,678</w:t>
            </w:r>
          </w:p>
        </w:tc>
        <w:tc>
          <w:tcPr>
            <w:tcW w:w="240" w:type="dxa"/>
            <w:vAlign w:val="bottom"/>
          </w:tcPr>
          <w:p>
            <w:pPr>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260"/>
              <w:spacing w:after="0"/>
              <w:rPr>
                <w:sz w:val="20"/>
                <w:szCs w:val="20"/>
                <w:color w:val="auto"/>
              </w:rPr>
            </w:pPr>
            <w:r>
              <w:rPr>
                <w:rFonts w:ascii="Arial" w:cs="Arial" w:eastAsia="Arial" w:hAnsi="Arial"/>
                <w:sz w:val="18"/>
                <w:szCs w:val="18"/>
                <w:color w:val="auto"/>
              </w:rPr>
              <w:t>998</w:t>
            </w:r>
          </w:p>
        </w:tc>
        <w:tc>
          <w:tcPr>
            <w:tcW w:w="140" w:type="dxa"/>
            <w:vAlign w:val="bottom"/>
          </w:tcPr>
          <w:p>
            <w:pPr>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80"/>
              <w:spacing w:after="0"/>
              <w:rPr>
                <w:sz w:val="20"/>
                <w:szCs w:val="20"/>
                <w:color w:val="auto"/>
              </w:rPr>
            </w:pPr>
            <w:r>
              <w:rPr>
                <w:rFonts w:ascii="Arial" w:cs="Arial" w:eastAsia="Arial" w:hAnsi="Arial"/>
                <w:sz w:val="18"/>
                <w:szCs w:val="18"/>
                <w:color w:val="auto"/>
              </w:rPr>
              <w:t>166</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290</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7</w:t>
            </w:r>
          </w:p>
        </w:tc>
        <w:tc>
          <w:tcPr>
            <w:tcW w:w="100" w:type="dxa"/>
            <w:vAlign w:val="bottom"/>
          </w:tcPr>
          <w:p>
            <w:pPr>
              <w:spacing w:after="0"/>
              <w:rPr>
                <w:sz w:val="20"/>
                <w:szCs w:val="20"/>
                <w:color w:val="auto"/>
              </w:rPr>
            </w:pPr>
            <w:r>
              <w:rPr>
                <w:rFonts w:ascii="Arial" w:cs="Arial" w:eastAsia="Arial" w:hAnsi="Arial"/>
                <w:sz w:val="18"/>
                <w:szCs w:val="18"/>
                <w:color w:val="auto"/>
                <w:w w:val="79"/>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w w:val="91"/>
              </w:rPr>
              <w:t>Securities sold under repurchase agreements</w:t>
            </w:r>
          </w:p>
        </w:tc>
        <w:tc>
          <w:tcPr>
            <w:tcW w:w="1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240" w:type="dxa"/>
            <w:vAlign w:val="bottom"/>
            <w:shd w:val="clear" w:color="auto" w:fill="CCEEFF"/>
          </w:tcPr>
          <w:p>
            <w:pPr>
              <w:spacing w:after="0"/>
              <w:rPr>
                <w:sz w:val="18"/>
                <w:szCs w:val="18"/>
                <w:color w:val="auto"/>
              </w:rPr>
            </w:pPr>
          </w:p>
        </w:tc>
        <w:tc>
          <w:tcPr>
            <w:tcW w:w="90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6</w:t>
            </w:r>
          </w:p>
        </w:tc>
        <w:tc>
          <w:tcPr>
            <w:tcW w:w="10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70"/>
        </w:trPr>
        <w:tc>
          <w:tcPr>
            <w:tcW w:w="3360" w:type="dxa"/>
            <w:vAlign w:val="bottom"/>
          </w:tcPr>
          <w:p>
            <w:pPr>
              <w:spacing w:after="0" w:line="270"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29"/>
                <w:szCs w:val="29"/>
                <w:color w:val="auto"/>
                <w:vertAlign w:val="superscript"/>
              </w:rPr>
              <w:t>(2)</w:t>
            </w:r>
          </w:p>
        </w:tc>
        <w:tc>
          <w:tcPr>
            <w:tcW w:w="160" w:type="dxa"/>
            <w:vAlign w:val="bottom"/>
          </w:tcPr>
          <w:p>
            <w:pPr>
              <w:spacing w:after="0"/>
              <w:rPr>
                <w:sz w:val="23"/>
                <w:szCs w:val="23"/>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1,985</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6"/>
                <w:szCs w:val="16"/>
                <w:color w:val="auto"/>
              </w:rPr>
              <w:t>842</w:t>
            </w:r>
          </w:p>
        </w:tc>
        <w:tc>
          <w:tcPr>
            <w:tcW w:w="240" w:type="dxa"/>
            <w:vAlign w:val="bottom"/>
          </w:tcPr>
          <w:p>
            <w:pPr>
              <w:spacing w:after="0"/>
              <w:rPr>
                <w:sz w:val="23"/>
                <w:szCs w:val="23"/>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262</w:t>
            </w:r>
          </w:p>
        </w:tc>
        <w:tc>
          <w:tcPr>
            <w:tcW w:w="26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6"/>
                <w:szCs w:val="16"/>
                <w:color w:val="auto"/>
              </w:rPr>
              <w:t>46</w:t>
            </w:r>
          </w:p>
        </w:tc>
        <w:tc>
          <w:tcPr>
            <w:tcW w:w="100" w:type="dxa"/>
            <w:vAlign w:val="bottom"/>
          </w:tcPr>
          <w:p>
            <w:pPr>
              <w:spacing w:after="0"/>
              <w:rPr>
                <w:sz w:val="23"/>
                <w:szCs w:val="23"/>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16</w:t>
            </w:r>
          </w:p>
        </w:tc>
        <w:tc>
          <w:tcPr>
            <w:tcW w:w="2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6"/>
                <w:szCs w:val="16"/>
                <w:color w:val="auto"/>
              </w:rPr>
              <w:t>819</w:t>
            </w:r>
          </w:p>
        </w:tc>
        <w:tc>
          <w:tcPr>
            <w:tcW w:w="100" w:type="dxa"/>
            <w:vAlign w:val="bottom"/>
          </w:tcPr>
          <w:p>
            <w:pPr>
              <w:spacing w:after="0"/>
              <w:rPr>
                <w:sz w:val="23"/>
                <w:szCs w:val="23"/>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interest-bearing liabilities</w:t>
            </w:r>
          </w:p>
        </w:tc>
        <w:tc>
          <w:tcPr>
            <w:tcW w:w="1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5,135</w:t>
            </w: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2,520</w:t>
            </w:r>
          </w:p>
        </w:tc>
        <w:tc>
          <w:tcPr>
            <w:tcW w:w="240" w:type="dxa"/>
            <w:vAlign w:val="bottom"/>
            <w:shd w:val="clear" w:color="auto" w:fill="CCEEFF"/>
          </w:tcPr>
          <w:p>
            <w:pPr>
              <w:spacing w:after="0"/>
              <w:rPr>
                <w:sz w:val="18"/>
                <w:szCs w:val="18"/>
                <w:color w:val="auto"/>
              </w:rPr>
            </w:pPr>
          </w:p>
        </w:tc>
        <w:tc>
          <w:tcPr>
            <w:tcW w:w="90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1,260</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218</w:t>
            </w:r>
          </w:p>
        </w:tc>
        <w:tc>
          <w:tcPr>
            <w:tcW w:w="10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311</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826</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w:t>
            </w:r>
          </w:p>
        </w:tc>
        <w:tc>
          <w:tcPr>
            <w:tcW w:w="0" w:type="dxa"/>
            <w:vAlign w:val="bottom"/>
          </w:tcPr>
          <w:p>
            <w:pPr>
              <w:spacing w:after="0"/>
              <w:rPr>
                <w:sz w:val="1"/>
                <w:szCs w:val="1"/>
                <w:color w:val="auto"/>
              </w:rPr>
            </w:pPr>
          </w:p>
        </w:tc>
      </w:tr>
      <w:tr>
        <w:trPr>
          <w:trHeight w:val="202"/>
        </w:trPr>
        <w:tc>
          <w:tcPr>
            <w:tcW w:w="3360" w:type="dxa"/>
            <w:vAlign w:val="bottom"/>
          </w:tcPr>
          <w:p>
            <w:pPr>
              <w:spacing w:after="0" w:line="201" w:lineRule="exact"/>
              <w:rPr>
                <w:sz w:val="20"/>
                <w:szCs w:val="20"/>
                <w:color w:val="auto"/>
              </w:rPr>
            </w:pPr>
            <w:r>
              <w:rPr>
                <w:rFonts w:ascii="Arial" w:cs="Arial" w:eastAsia="Arial" w:hAnsi="Arial"/>
                <w:sz w:val="18"/>
                <w:szCs w:val="18"/>
                <w:color w:val="auto"/>
              </w:rPr>
              <w:t>Non-interest-bearing liabilities and other</w:t>
            </w: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3360" w:type="dxa"/>
            <w:vAlign w:val="bottom"/>
          </w:tcPr>
          <w:p>
            <w:pPr>
              <w:spacing w:after="0"/>
              <w:rPr>
                <w:sz w:val="20"/>
                <w:szCs w:val="20"/>
                <w:color w:val="auto"/>
              </w:rPr>
            </w:pPr>
            <w:r>
              <w:rPr>
                <w:rFonts w:ascii="Arial" w:cs="Arial" w:eastAsia="Arial" w:hAnsi="Arial"/>
                <w:sz w:val="18"/>
                <w:szCs w:val="18"/>
                <w:color w:val="auto"/>
              </w:rPr>
              <w:t>liabilities</w:t>
            </w:r>
          </w:p>
        </w:tc>
        <w:tc>
          <w:tcPr>
            <w:tcW w:w="160" w:type="dxa"/>
            <w:vAlign w:val="bottom"/>
          </w:tcPr>
          <w:p>
            <w:pPr>
              <w:spacing w:after="0"/>
              <w:rPr>
                <w:sz w:val="20"/>
                <w:szCs w:val="20"/>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6"/>
                <w:szCs w:val="16"/>
                <w:color w:val="auto"/>
              </w:rPr>
              <w:t>116</w:t>
            </w: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20"/>
                <w:szCs w:val="20"/>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0</w:t>
            </w:r>
          </w:p>
        </w:tc>
        <w:tc>
          <w:tcPr>
            <w:tcW w:w="2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0</w:t>
            </w: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20"/>
                <w:szCs w:val="20"/>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6"/>
                <w:szCs w:val="16"/>
                <w:color w:val="auto"/>
              </w:rPr>
              <w:t>116</w:t>
            </w:r>
          </w:p>
        </w:tc>
        <w:tc>
          <w:tcPr>
            <w:tcW w:w="0" w:type="dxa"/>
            <w:vAlign w:val="bottom"/>
          </w:tcPr>
          <w:p>
            <w:pPr>
              <w:spacing w:after="0"/>
              <w:rPr>
                <w:sz w:val="1"/>
                <w:szCs w:val="1"/>
                <w:color w:val="auto"/>
              </w:rPr>
            </w:pPr>
          </w:p>
        </w:tc>
      </w:tr>
      <w:tr>
        <w:trPr>
          <w:trHeight w:val="219"/>
        </w:trPr>
        <w:tc>
          <w:tcPr>
            <w:tcW w:w="3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5,521</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2,520</w:t>
            </w:r>
          </w:p>
        </w:tc>
        <w:tc>
          <w:tcPr>
            <w:tcW w:w="240" w:type="dxa"/>
            <w:vAlign w:val="bottom"/>
            <w:shd w:val="clear" w:color="auto" w:fill="CCEEFF"/>
          </w:tcPr>
          <w:p>
            <w:pPr>
              <w:spacing w:after="0"/>
              <w:rPr>
                <w:sz w:val="19"/>
                <w:szCs w:val="19"/>
                <w:color w:val="auto"/>
              </w:rPr>
            </w:pPr>
          </w:p>
        </w:tc>
        <w:tc>
          <w:tcPr>
            <w:tcW w:w="90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1,260</w:t>
            </w:r>
          </w:p>
        </w:tc>
        <w:tc>
          <w:tcPr>
            <w:tcW w:w="14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218</w:t>
            </w:r>
          </w:p>
        </w:tc>
        <w:tc>
          <w:tcPr>
            <w:tcW w:w="100" w:type="dxa"/>
            <w:vAlign w:val="bottom"/>
            <w:shd w:val="clear" w:color="auto" w:fill="CCEEFF"/>
          </w:tcPr>
          <w:p>
            <w:pPr>
              <w:spacing w:after="0"/>
              <w:rPr>
                <w:sz w:val="19"/>
                <w:szCs w:val="19"/>
                <w:color w:val="auto"/>
              </w:rPr>
            </w:pP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b w:val="1"/>
                <w:bCs w:val="1"/>
                <w:color w:val="auto"/>
              </w:rPr>
              <w:t>311</w:t>
            </w: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826</w:t>
            </w:r>
          </w:p>
        </w:tc>
        <w:tc>
          <w:tcPr>
            <w:tcW w:w="1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116</w:t>
            </w:r>
          </w:p>
        </w:tc>
        <w:tc>
          <w:tcPr>
            <w:tcW w:w="0" w:type="dxa"/>
            <w:vAlign w:val="bottom"/>
          </w:tcPr>
          <w:p>
            <w:pPr>
              <w:spacing w:after="0"/>
              <w:rPr>
                <w:sz w:val="1"/>
                <w:szCs w:val="1"/>
                <w:color w:val="auto"/>
              </w:rPr>
            </w:pPr>
          </w:p>
        </w:tc>
      </w:tr>
      <w:tr>
        <w:trPr>
          <w:trHeight w:val="230"/>
        </w:trPr>
        <w:tc>
          <w:tcPr>
            <w:tcW w:w="3360" w:type="dxa"/>
            <w:vAlign w:val="bottom"/>
          </w:tcPr>
          <w:p>
            <w:pPr>
              <w:spacing w:after="0"/>
              <w:rPr>
                <w:sz w:val="20"/>
                <w:szCs w:val="20"/>
                <w:color w:val="auto"/>
              </w:rPr>
            </w:pPr>
            <w:r>
              <w:rPr>
                <w:rFonts w:ascii="Arial" w:cs="Arial" w:eastAsia="Arial" w:hAnsi="Arial"/>
                <w:sz w:val="18"/>
                <w:szCs w:val="18"/>
                <w:color w:val="auto"/>
              </w:rPr>
              <w:t>Total Stockholders’ equity</w:t>
            </w:r>
          </w:p>
        </w:tc>
        <w:tc>
          <w:tcPr>
            <w:tcW w:w="16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Arial" w:cs="Arial" w:eastAsia="Arial" w:hAnsi="Arial"/>
                <w:sz w:val="16"/>
                <w:szCs w:val="16"/>
                <w:color w:val="auto"/>
              </w:rPr>
              <w:t>1,038</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240" w:type="dxa"/>
            <w:vAlign w:val="bottom"/>
          </w:tcPr>
          <w:p>
            <w:pPr>
              <w:spacing w:after="0"/>
              <w:rPr>
                <w:sz w:val="19"/>
                <w:szCs w:val="19"/>
                <w:color w:val="auto"/>
              </w:rPr>
            </w:pPr>
          </w:p>
        </w:tc>
        <w:tc>
          <w:tcPr>
            <w:tcW w:w="640" w:type="dxa"/>
            <w:vAlign w:val="bottom"/>
          </w:tcPr>
          <w:p>
            <w:pPr>
              <w:jc w:val="right"/>
              <w:spacing w:after="0"/>
              <w:rPr>
                <w:sz w:val="20"/>
                <w:szCs w:val="20"/>
                <w:color w:val="auto"/>
              </w:rPr>
            </w:pPr>
            <w:r>
              <w:rPr>
                <w:rFonts w:ascii="Arial" w:cs="Arial" w:eastAsia="Arial" w:hAnsi="Arial"/>
                <w:sz w:val="16"/>
                <w:szCs w:val="16"/>
                <w:color w:val="auto"/>
              </w:rPr>
              <w:t>0</w:t>
            </w:r>
          </w:p>
        </w:tc>
        <w:tc>
          <w:tcPr>
            <w:tcW w:w="2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0</w:t>
            </w:r>
          </w:p>
        </w:tc>
        <w:tc>
          <w:tcPr>
            <w:tcW w:w="2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gridSpan w:val="2"/>
          </w:tcPr>
          <w:p>
            <w:pPr>
              <w:jc w:val="right"/>
              <w:ind w:right="26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9"/>
                <w:szCs w:val="19"/>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6"/>
                <w:szCs w:val="16"/>
                <w:color w:val="auto"/>
              </w:rPr>
              <w:t>1,038</w:t>
            </w:r>
          </w:p>
        </w:tc>
        <w:tc>
          <w:tcPr>
            <w:tcW w:w="0" w:type="dxa"/>
            <w:vAlign w:val="bottom"/>
          </w:tcPr>
          <w:p>
            <w:pPr>
              <w:spacing w:after="0"/>
              <w:rPr>
                <w:sz w:val="1"/>
                <w:szCs w:val="1"/>
                <w:color w:val="auto"/>
              </w:rPr>
            </w:pPr>
          </w:p>
        </w:tc>
      </w:tr>
      <w:tr>
        <w:trPr>
          <w:trHeight w:val="20"/>
        </w:trPr>
        <w:tc>
          <w:tcPr>
            <w:tcW w:w="33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w w:val="97"/>
              </w:rPr>
              <w:t>Total liabilities and stockholders’ equity</w:t>
            </w:r>
          </w:p>
        </w:tc>
        <w:tc>
          <w:tcPr>
            <w:tcW w:w="16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60" w:type="dxa"/>
            <w:vAlign w:val="bottom"/>
            <w:tcBorders>
              <w:right w:val="single" w:sz="8" w:color="CCEEFF"/>
            </w:tcBorders>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80" w:type="dxa"/>
            <w:vAlign w:val="bottom"/>
            <w:tcBorders>
              <w:right w:val="single" w:sz="8" w:color="CCEEFF"/>
            </w:tcBorders>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360" w:type="dxa"/>
            <w:vAlign w:val="bottom"/>
            <w:vMerge w:val="continue"/>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6,289</w:t>
            </w:r>
          </w:p>
        </w:tc>
        <w:tc>
          <w:tcPr>
            <w:tcW w:w="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2,520</w:t>
            </w:r>
          </w:p>
        </w:tc>
        <w:tc>
          <w:tcPr>
            <w:tcW w:w="2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6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1,260</w:t>
            </w:r>
          </w:p>
        </w:tc>
        <w:tc>
          <w:tcPr>
            <w:tcW w:w="260" w:type="dxa"/>
            <w:vAlign w:val="bottom"/>
            <w:tcBorders>
              <w:right w:val="single" w:sz="8" w:color="CCEEFF"/>
            </w:tcBorders>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218</w:t>
            </w: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6"/>
                <w:szCs w:val="16"/>
                <w:b w:val="1"/>
                <w:bCs w:val="1"/>
                <w:color w:val="auto"/>
              </w:rPr>
              <w:t>311</w:t>
            </w: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b w:val="1"/>
                <w:bCs w:val="1"/>
                <w:color w:val="auto"/>
              </w:rPr>
              <w:t>826</w:t>
            </w:r>
          </w:p>
        </w:tc>
        <w:tc>
          <w:tcPr>
            <w:tcW w:w="10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b w:val="1"/>
                <w:bCs w:val="1"/>
                <w:color w:val="auto"/>
              </w:rPr>
              <w:t>1,154</w:t>
            </w:r>
          </w:p>
        </w:tc>
        <w:tc>
          <w:tcPr>
            <w:tcW w:w="0" w:type="dxa"/>
            <w:vAlign w:val="bottom"/>
          </w:tcPr>
          <w:p>
            <w:pPr>
              <w:spacing w:after="0"/>
              <w:rPr>
                <w:sz w:val="1"/>
                <w:szCs w:val="1"/>
                <w:color w:val="auto"/>
              </w:rPr>
            </w:pPr>
          </w:p>
        </w:tc>
      </w:tr>
      <w:tr>
        <w:trPr>
          <w:trHeight w:val="216"/>
        </w:trPr>
        <w:tc>
          <w:tcPr>
            <w:tcW w:w="3360" w:type="dxa"/>
            <w:vAlign w:val="bottom"/>
          </w:tcPr>
          <w:p>
            <w:pPr>
              <w:spacing w:after="0"/>
              <w:rPr>
                <w:sz w:val="20"/>
                <w:szCs w:val="20"/>
                <w:color w:val="auto"/>
              </w:rPr>
            </w:pPr>
            <w:r>
              <w:rPr>
                <w:rFonts w:ascii="Arial" w:cs="Arial" w:eastAsia="Arial" w:hAnsi="Arial"/>
                <w:sz w:val="18"/>
                <w:szCs w:val="18"/>
                <w:color w:val="auto"/>
              </w:rPr>
              <w:t>Interest rate sensitivity gap</w:t>
            </w:r>
          </w:p>
        </w:tc>
        <w:tc>
          <w:tcPr>
            <w:tcW w:w="16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60" w:type="dxa"/>
            <w:vAlign w:val="bottom"/>
            <w:gridSpan w:val="2"/>
          </w:tcPr>
          <w:p>
            <w:pPr>
              <w:jc w:val="right"/>
              <w:ind w:right="280"/>
              <w:spacing w:after="0"/>
              <w:rPr>
                <w:sz w:val="20"/>
                <w:szCs w:val="20"/>
                <w:color w:val="auto"/>
              </w:rPr>
            </w:pPr>
            <w:r>
              <w:rPr>
                <w:rFonts w:ascii="Arial" w:cs="Arial" w:eastAsia="Arial" w:hAnsi="Arial"/>
                <w:sz w:val="18"/>
                <w:szCs w:val="18"/>
                <w:color w:val="auto"/>
              </w:rPr>
              <w:t>206</w:t>
            </w:r>
          </w:p>
        </w:tc>
        <w:tc>
          <w:tcPr>
            <w:tcW w:w="240" w:type="dxa"/>
            <w:vAlign w:val="bottom"/>
          </w:tcPr>
          <w:p>
            <w:pPr>
              <w:spacing w:after="0"/>
              <w:rPr>
                <w:sz w:val="18"/>
                <w:szCs w:val="18"/>
                <w:color w:val="auto"/>
              </w:rPr>
            </w:pPr>
          </w:p>
        </w:tc>
        <w:tc>
          <w:tcPr>
            <w:tcW w:w="900" w:type="dxa"/>
            <w:vAlign w:val="bottom"/>
            <w:gridSpan w:val="2"/>
          </w:tcPr>
          <w:p>
            <w:pPr>
              <w:jc w:val="right"/>
              <w:ind w:right="260"/>
              <w:spacing w:after="0"/>
              <w:rPr>
                <w:sz w:val="20"/>
                <w:szCs w:val="20"/>
                <w:color w:val="auto"/>
              </w:rPr>
            </w:pPr>
            <w:r>
              <w:rPr>
                <w:rFonts w:ascii="Arial" w:cs="Arial" w:eastAsia="Arial" w:hAnsi="Arial"/>
                <w:sz w:val="18"/>
                <w:szCs w:val="18"/>
                <w:color w:val="auto"/>
              </w:rPr>
              <w:t>352</w:t>
            </w:r>
          </w:p>
        </w:tc>
        <w:tc>
          <w:tcPr>
            <w:tcW w:w="140" w:type="dxa"/>
            <w:vAlign w:val="bottom"/>
          </w:tcPr>
          <w:p>
            <w:pPr>
              <w:spacing w:after="0"/>
              <w:rPr>
                <w:sz w:val="18"/>
                <w:szCs w:val="18"/>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8"/>
                <w:szCs w:val="18"/>
                <w:color w:val="auto"/>
              </w:rPr>
              <w:t>687</w:t>
            </w:r>
          </w:p>
        </w:tc>
        <w:tc>
          <w:tcPr>
            <w:tcW w:w="100" w:type="dxa"/>
            <w:vAlign w:val="bottom"/>
          </w:tcPr>
          <w:p>
            <w:pPr>
              <w:spacing w:after="0"/>
              <w:rPr>
                <w:sz w:val="18"/>
                <w:szCs w:val="18"/>
                <w:color w:val="auto"/>
              </w:rPr>
            </w:pPr>
          </w:p>
        </w:tc>
        <w:tc>
          <w:tcPr>
            <w:tcW w:w="1040" w:type="dxa"/>
            <w:vAlign w:val="bottom"/>
            <w:gridSpan w:val="2"/>
          </w:tcPr>
          <w:p>
            <w:pPr>
              <w:jc w:val="right"/>
              <w:ind w:right="280"/>
              <w:spacing w:after="0"/>
              <w:rPr>
                <w:sz w:val="20"/>
                <w:szCs w:val="20"/>
                <w:color w:val="auto"/>
              </w:rPr>
            </w:pPr>
            <w:r>
              <w:rPr>
                <w:rFonts w:ascii="Arial" w:cs="Arial" w:eastAsia="Arial" w:hAnsi="Arial"/>
                <w:sz w:val="18"/>
                <w:szCs w:val="18"/>
                <w:color w:val="auto"/>
              </w:rPr>
              <w:t>180</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(388)</w:t>
            </w:r>
          </w:p>
        </w:tc>
        <w:tc>
          <w:tcPr>
            <w:tcW w:w="100" w:type="dxa"/>
            <w:vAlign w:val="bottom"/>
          </w:tcPr>
          <w:p>
            <w:pPr>
              <w:spacing w:after="0"/>
              <w:rPr>
                <w:sz w:val="18"/>
                <w:szCs w:val="18"/>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(1,037)</w:t>
            </w:r>
          </w:p>
        </w:tc>
        <w:tc>
          <w:tcPr>
            <w:tcW w:w="0" w:type="dxa"/>
            <w:vAlign w:val="bottom"/>
          </w:tcPr>
          <w:p>
            <w:pPr>
              <w:spacing w:after="0"/>
              <w:rPr>
                <w:sz w:val="1"/>
                <w:szCs w:val="1"/>
                <w:color w:val="auto"/>
              </w:rPr>
            </w:pPr>
          </w:p>
        </w:tc>
      </w:tr>
      <w:tr>
        <w:trPr>
          <w:trHeight w:val="216"/>
        </w:trPr>
        <w:tc>
          <w:tcPr>
            <w:tcW w:w="3360" w:type="dxa"/>
            <w:vAlign w:val="bottom"/>
            <w:shd w:val="clear" w:color="auto" w:fill="CCEEFF"/>
          </w:tcPr>
          <w:p>
            <w:pPr>
              <w:spacing w:after="0"/>
              <w:rPr>
                <w:sz w:val="20"/>
                <w:szCs w:val="20"/>
                <w:color w:val="auto"/>
              </w:rPr>
            </w:pPr>
            <w:r>
              <w:rPr>
                <w:rFonts w:ascii="Arial" w:cs="Arial" w:eastAsia="Arial" w:hAnsi="Arial"/>
                <w:sz w:val="18"/>
                <w:szCs w:val="18"/>
                <w:color w:val="auto"/>
              </w:rPr>
              <w:t>Cumulative interest rate sensitivity gap</w:t>
            </w:r>
          </w:p>
        </w:tc>
        <w:tc>
          <w:tcPr>
            <w:tcW w:w="1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206</w:t>
            </w:r>
          </w:p>
        </w:tc>
        <w:tc>
          <w:tcPr>
            <w:tcW w:w="240" w:type="dxa"/>
            <w:vAlign w:val="bottom"/>
            <w:shd w:val="clear" w:color="auto" w:fill="CCEEFF"/>
          </w:tcPr>
          <w:p>
            <w:pPr>
              <w:spacing w:after="0"/>
              <w:rPr>
                <w:sz w:val="18"/>
                <w:szCs w:val="18"/>
                <w:color w:val="auto"/>
              </w:rPr>
            </w:pPr>
          </w:p>
        </w:tc>
        <w:tc>
          <w:tcPr>
            <w:tcW w:w="900" w:type="dxa"/>
            <w:vAlign w:val="bottom"/>
            <w:tcBorders>
              <w:right w:val="single" w:sz="8" w:color="CCEEFF"/>
            </w:tcBorders>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558</w:t>
            </w:r>
          </w:p>
        </w:tc>
        <w:tc>
          <w:tcPr>
            <w:tcW w:w="14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1,245</w:t>
            </w:r>
          </w:p>
        </w:tc>
        <w:tc>
          <w:tcPr>
            <w:tcW w:w="100" w:type="dxa"/>
            <w:vAlign w:val="bottom"/>
            <w:shd w:val="clear" w:color="auto" w:fill="CCEEFF"/>
          </w:tcPr>
          <w:p>
            <w:pPr>
              <w:spacing w:after="0"/>
              <w:rPr>
                <w:sz w:val="18"/>
                <w:szCs w:val="18"/>
                <w:color w:val="auto"/>
              </w:rPr>
            </w:pPr>
          </w:p>
        </w:tc>
        <w:tc>
          <w:tcPr>
            <w:tcW w:w="1040" w:type="dxa"/>
            <w:vAlign w:val="bottom"/>
            <w:tcBorders>
              <w:right w:val="single" w:sz="8" w:color="CCEEFF"/>
            </w:tcBorders>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1,425</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1,037</w:t>
            </w:r>
          </w:p>
        </w:tc>
        <w:tc>
          <w:tcPr>
            <w:tcW w:w="1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2"/>
        </w:trPr>
        <w:tc>
          <w:tcPr>
            <w:tcW w:w="3360" w:type="dxa"/>
            <w:vAlign w:val="bottom"/>
          </w:tcPr>
          <w:p>
            <w:pPr>
              <w:spacing w:after="0" w:line="201" w:lineRule="exact"/>
              <w:rPr>
                <w:sz w:val="20"/>
                <w:szCs w:val="20"/>
                <w:color w:val="auto"/>
              </w:rPr>
            </w:pPr>
            <w:r>
              <w:rPr>
                <w:rFonts w:ascii="Arial" w:cs="Arial" w:eastAsia="Arial" w:hAnsi="Arial"/>
                <w:sz w:val="18"/>
                <w:szCs w:val="18"/>
                <w:color w:val="auto"/>
              </w:rPr>
              <w:t>Cumulative gap as a % of total interest-</w:t>
            </w: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360" w:type="dxa"/>
            <w:vAlign w:val="bottom"/>
          </w:tcPr>
          <w:p>
            <w:pPr>
              <w:ind w:left="180"/>
              <w:spacing w:after="0"/>
              <w:rPr>
                <w:sz w:val="20"/>
                <w:szCs w:val="20"/>
                <w:color w:val="auto"/>
              </w:rPr>
            </w:pPr>
            <w:r>
              <w:rPr>
                <w:rFonts w:ascii="Arial" w:cs="Arial" w:eastAsia="Arial" w:hAnsi="Arial"/>
                <w:sz w:val="18"/>
                <w:szCs w:val="18"/>
                <w:color w:val="auto"/>
              </w:rPr>
              <w:t>earning assets</w:t>
            </w:r>
          </w:p>
        </w:tc>
        <w:tc>
          <w:tcPr>
            <w:tcW w:w="160" w:type="dxa"/>
            <w:vAlign w:val="bottom"/>
          </w:tcPr>
          <w:p>
            <w:pPr>
              <w:spacing w:after="0"/>
              <w:rPr>
                <w:sz w:val="20"/>
                <w:szCs w:val="20"/>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8"/>
                <w:szCs w:val="18"/>
                <w:color w:val="auto"/>
              </w:rPr>
              <w:t>3%</w:t>
            </w:r>
          </w:p>
        </w:tc>
        <w:tc>
          <w:tcPr>
            <w:tcW w:w="240" w:type="dxa"/>
            <w:vAlign w:val="bottom"/>
          </w:tcPr>
          <w:p>
            <w:pPr>
              <w:spacing w:after="0"/>
              <w:rPr>
                <w:sz w:val="20"/>
                <w:szCs w:val="20"/>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8"/>
                <w:szCs w:val="18"/>
                <w:color w:val="auto"/>
              </w:rPr>
              <w:t>9%</w:t>
            </w:r>
          </w:p>
        </w:tc>
        <w:tc>
          <w:tcPr>
            <w:tcW w:w="140" w:type="dxa"/>
            <w:vAlign w:val="bottom"/>
          </w:tcPr>
          <w:p>
            <w:pPr>
              <w:spacing w:after="0"/>
              <w:rPr>
                <w:sz w:val="20"/>
                <w:szCs w:val="20"/>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20%</w:t>
            </w:r>
          </w:p>
        </w:tc>
        <w:tc>
          <w:tcPr>
            <w:tcW w:w="100" w:type="dxa"/>
            <w:vAlign w:val="bottom"/>
          </w:tcPr>
          <w:p>
            <w:pPr>
              <w:spacing w:after="0"/>
              <w:rPr>
                <w:sz w:val="20"/>
                <w:szCs w:val="20"/>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20"/>
                <w:szCs w:val="20"/>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00" w:type="dxa"/>
            <w:vAlign w:val="bottom"/>
          </w:tcPr>
          <w:p>
            <w:pPr>
              <w:spacing w:after="0"/>
              <w:rPr>
                <w:sz w:val="20"/>
                <w:szCs w:val="20"/>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bl>
    <w:p>
      <w:pPr>
        <w:spacing w:after="0" w:line="179" w:lineRule="exact"/>
        <w:rPr>
          <w:sz w:val="20"/>
          <w:szCs w:val="20"/>
          <w:color w:val="auto"/>
        </w:rPr>
      </w:pPr>
    </w:p>
    <w:p>
      <w:pPr>
        <w:ind w:left="240" w:hanging="187"/>
        <w:spacing w:after="0"/>
        <w:tabs>
          <w:tab w:leader="none" w:pos="240" w:val="left"/>
        </w:tabs>
        <w:numPr>
          <w:ilvl w:val="0"/>
          <w:numId w:val="52"/>
        </w:numPr>
        <w:rPr>
          <w:rFonts w:ascii="Arial" w:cs="Arial" w:eastAsia="Arial" w:hAnsi="Arial"/>
          <w:sz w:val="22"/>
          <w:szCs w:val="22"/>
          <w:color w:val="auto"/>
          <w:vertAlign w:val="superscript"/>
        </w:rPr>
      </w:pPr>
      <w:r>
        <w:rPr>
          <w:rFonts w:ascii="Arial" w:cs="Arial" w:eastAsia="Arial" w:hAnsi="Arial"/>
          <w:sz w:val="14"/>
          <w:szCs w:val="14"/>
          <w:color w:val="auto"/>
        </w:rPr>
        <w:t>Gross of interest receivable and allowance for losses.</w:t>
      </w:r>
    </w:p>
    <w:p>
      <w:pPr>
        <w:spacing w:after="0" w:line="242" w:lineRule="exact"/>
        <w:rPr>
          <w:sz w:val="20"/>
          <w:szCs w:val="20"/>
          <w:color w:val="auto"/>
        </w:rPr>
      </w:pPr>
    </w:p>
    <w:p>
      <w:pPr>
        <w:spacing w:after="0"/>
        <w:rPr>
          <w:sz w:val="20"/>
          <w:szCs w:val="20"/>
          <w:color w:val="auto"/>
        </w:rPr>
      </w:pPr>
      <w:r>
        <w:rPr>
          <w:rFonts w:ascii="Arial" w:cs="Arial" w:eastAsia="Arial" w:hAnsi="Arial"/>
          <w:sz w:val="29"/>
          <w:szCs w:val="29"/>
          <w:color w:val="auto"/>
          <w:vertAlign w:val="superscript"/>
        </w:rPr>
        <w:t>(2)</w:t>
      </w:r>
      <w:r>
        <w:rPr>
          <w:rFonts w:ascii="Arial" w:cs="Arial" w:eastAsia="Arial" w:hAnsi="Arial"/>
          <w:sz w:val="18"/>
          <w:szCs w:val="18"/>
          <w:color w:val="auto"/>
        </w:rPr>
        <w:t>Gross of prepaid commissions.</w:t>
      </w:r>
    </w:p>
    <w:p>
      <w:pPr>
        <w:spacing w:after="0" w:line="99"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color w:val="auto"/>
        </w:rPr>
        <w:t>See Item 11, “Quantitative and Qualitative Disclosure About Market Risk.”</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4" w:name="page85"/>
    <w:bookmarkEnd w:id="84"/>
    <w:tbl>
      <w:tblPr>
        <w:tblLayout w:type="fixed"/>
        <w:tblInd w:w="0" w:type="dxa"/>
        <w:tblCellMar>
          <w:top w:w="0" w:type="dxa"/>
          <w:left w:w="0" w:type="dxa"/>
          <w:bottom w:w="0" w:type="dxa"/>
          <w:right w:w="0" w:type="dxa"/>
        </w:tblCellMar>
      </w:tblPr>
      <w:tr>
        <w:trPr>
          <w:trHeight w:val="230"/>
        </w:trPr>
        <w:tc>
          <w:tcPr>
            <w:tcW w:w="6060" w:type="dxa"/>
            <w:vAlign w:val="bottom"/>
          </w:tcPr>
          <w:p>
            <w:pPr>
              <w:spacing w:after="0"/>
              <w:rPr>
                <w:sz w:val="20"/>
                <w:szCs w:val="20"/>
                <w:color w:val="auto"/>
              </w:rPr>
            </w:pPr>
            <w:r>
              <w:rPr>
                <w:rFonts w:ascii="Arial" w:cs="Arial" w:eastAsia="Arial" w:hAnsi="Arial"/>
                <w:sz w:val="18"/>
                <w:szCs w:val="18"/>
                <w:b w:val="1"/>
                <w:bCs w:val="1"/>
                <w:i w:val="1"/>
                <w:iCs w:val="1"/>
                <w:color w:val="auto"/>
              </w:rPr>
              <w:t>Equity</w:t>
            </w:r>
          </w:p>
        </w:tc>
        <w:tc>
          <w:tcPr>
            <w:tcW w:w="9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300" w:type="dxa"/>
            <w:vAlign w:val="bottom"/>
            <w:gridSpan w:val="5"/>
          </w:tcPr>
          <w:p>
            <w:pPr>
              <w:spacing w:after="0"/>
              <w:rPr>
                <w:sz w:val="20"/>
                <w:szCs w:val="20"/>
                <w:color w:val="auto"/>
              </w:rPr>
            </w:pPr>
            <w:r>
              <w:rPr>
                <w:rFonts w:ascii="Arial" w:cs="Arial" w:eastAsia="Arial" w:hAnsi="Arial"/>
                <w:sz w:val="18"/>
                <w:szCs w:val="18"/>
                <w:color w:val="auto"/>
              </w:rPr>
              <w:t>The following table presents information regarding the Bank’s capital position as of the dates indicated:</w:t>
            </w:r>
          </w:p>
        </w:tc>
        <w:tc>
          <w:tcPr>
            <w:tcW w:w="1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60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8"/>
                <w:szCs w:val="18"/>
                <w:b w:val="1"/>
                <w:bCs w:val="1"/>
                <w:color w:val="auto"/>
                <w:w w:val="88"/>
              </w:rPr>
              <w:t>As of December 31,</w:t>
            </w:r>
          </w:p>
        </w:tc>
        <w:tc>
          <w:tcPr>
            <w:tcW w:w="26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09"/>
        </w:trPr>
        <w:tc>
          <w:tcPr>
            <w:tcW w:w="60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8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8"/>
                <w:szCs w:val="18"/>
                <w:color w:val="auto"/>
              </w:rPr>
            </w:pPr>
          </w:p>
        </w:tc>
      </w:tr>
      <w:tr>
        <w:trPr>
          <w:trHeight w:val="223"/>
        </w:trPr>
        <w:tc>
          <w:tcPr>
            <w:tcW w:w="606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20" w:type="dxa"/>
            <w:vAlign w:val="bottom"/>
            <w:gridSpan w:val="2"/>
          </w:tcPr>
          <w:p>
            <w:pPr>
              <w:ind w:left="20"/>
              <w:spacing w:after="0"/>
              <w:rPr>
                <w:sz w:val="20"/>
                <w:szCs w:val="20"/>
                <w:color w:val="auto"/>
              </w:rPr>
            </w:pPr>
            <w:r>
              <w:rPr>
                <w:rFonts w:ascii="Arial" w:cs="Arial" w:eastAsia="Arial" w:hAnsi="Arial"/>
                <w:sz w:val="18"/>
                <w:szCs w:val="18"/>
                <w:color w:val="auto"/>
                <w:w w:val="91"/>
              </w:rPr>
              <w:t>(in $ thousands)</w:t>
            </w: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279,980</w:t>
            </w:r>
          </w:p>
        </w:tc>
        <w:tc>
          <w:tcPr>
            <w:tcW w:w="4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26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w w:val="7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279,980</w:t>
            </w:r>
          </w:p>
        </w:tc>
        <w:tc>
          <w:tcPr>
            <w:tcW w:w="100" w:type="dxa"/>
            <w:vAlign w:val="bottom"/>
            <w:shd w:val="clear" w:color="auto" w:fill="CCEEFF"/>
          </w:tcPr>
          <w:p>
            <w:pPr>
              <w:spacing w:after="0"/>
              <w:rPr>
                <w:sz w:val="18"/>
                <w:szCs w:val="18"/>
                <w:color w:val="auto"/>
              </w:rPr>
            </w:pPr>
          </w:p>
        </w:tc>
      </w:tr>
      <w:tr>
        <w:trPr>
          <w:trHeight w:val="216"/>
        </w:trPr>
        <w:tc>
          <w:tcPr>
            <w:tcW w:w="6060" w:type="dxa"/>
            <w:vAlign w:val="bottom"/>
          </w:tcPr>
          <w:p>
            <w:pPr>
              <w:spacing w:after="0"/>
              <w:rPr>
                <w:sz w:val="20"/>
                <w:szCs w:val="20"/>
                <w:color w:val="auto"/>
              </w:rPr>
            </w:pPr>
            <w:r>
              <w:rPr>
                <w:rFonts w:ascii="Arial" w:cs="Arial" w:eastAsia="Arial" w:hAnsi="Arial"/>
                <w:sz w:val="18"/>
                <w:szCs w:val="18"/>
                <w:color w:val="auto"/>
              </w:rPr>
              <w:t>Treasury stock</w:t>
            </w:r>
          </w:p>
        </w:tc>
        <w:tc>
          <w:tcPr>
            <w:tcW w:w="9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(57,999)</w:t>
            </w: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(59,669)</w:t>
            </w:r>
          </w:p>
        </w:tc>
        <w:tc>
          <w:tcPr>
            <w:tcW w:w="260" w:type="dxa"/>
            <w:vAlign w:val="bottom"/>
          </w:tcPr>
          <w:p>
            <w:pPr>
              <w:spacing w:after="0"/>
              <w:rPr>
                <w:sz w:val="18"/>
                <w:szCs w:val="18"/>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8"/>
                <w:szCs w:val="18"/>
                <w:color w:val="auto"/>
              </w:rPr>
              <w:t>(61,076)</w:t>
            </w:r>
          </w:p>
        </w:tc>
      </w:tr>
      <w:tr>
        <w:trPr>
          <w:trHeight w:val="216"/>
        </w:trPr>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9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120,414</w:t>
            </w:r>
          </w:p>
        </w:tc>
        <w:tc>
          <w:tcPr>
            <w:tcW w:w="1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120,362</w:t>
            </w: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119,987</w:t>
            </w:r>
          </w:p>
        </w:tc>
      </w:tr>
      <w:tr>
        <w:trPr>
          <w:trHeight w:val="216"/>
        </w:trPr>
        <w:tc>
          <w:tcPr>
            <w:tcW w:w="6060" w:type="dxa"/>
            <w:vAlign w:val="bottom"/>
          </w:tcPr>
          <w:p>
            <w:pPr>
              <w:spacing w:after="0"/>
              <w:rPr>
                <w:sz w:val="20"/>
                <w:szCs w:val="20"/>
                <w:color w:val="auto"/>
              </w:rPr>
            </w:pPr>
            <w:r>
              <w:rPr>
                <w:rFonts w:ascii="Arial" w:cs="Arial" w:eastAsia="Arial" w:hAnsi="Arial"/>
                <w:sz w:val="18"/>
                <w:szCs w:val="18"/>
                <w:color w:val="auto"/>
              </w:rPr>
              <w:t>Capital reserves</w:t>
            </w:r>
          </w:p>
        </w:tc>
        <w:tc>
          <w:tcPr>
            <w:tcW w:w="9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95,210</w:t>
            </w: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Regulatory reserves</w:t>
            </w:r>
          </w:p>
        </w:tc>
        <w:tc>
          <w:tcPr>
            <w:tcW w:w="9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136,019</w:t>
            </w:r>
          </w:p>
        </w:tc>
        <w:tc>
          <w:tcPr>
            <w:tcW w:w="16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136,019</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8"/>
                <w:szCs w:val="18"/>
                <w:color w:val="auto"/>
              </w:rPr>
            </w:pPr>
          </w:p>
        </w:tc>
      </w:tr>
      <w:tr>
        <w:trPr>
          <w:trHeight w:val="216"/>
        </w:trPr>
        <w:tc>
          <w:tcPr>
            <w:tcW w:w="6060" w:type="dxa"/>
            <w:vAlign w:val="bottom"/>
          </w:tcPr>
          <w:p>
            <w:pPr>
              <w:spacing w:after="0"/>
              <w:rPr>
                <w:sz w:val="20"/>
                <w:szCs w:val="20"/>
                <w:color w:val="auto"/>
              </w:rPr>
            </w:pPr>
            <w:r>
              <w:rPr>
                <w:rFonts w:ascii="Arial" w:cs="Arial" w:eastAsia="Arial" w:hAnsi="Arial"/>
                <w:sz w:val="18"/>
                <w:szCs w:val="18"/>
                <w:color w:val="auto"/>
              </w:rPr>
              <w:t>Retained earnings</w:t>
            </w:r>
          </w:p>
        </w:tc>
        <w:tc>
          <w:tcPr>
            <w:tcW w:w="9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464,088</w:t>
            </w:r>
          </w:p>
        </w:tc>
        <w:tc>
          <w:tcPr>
            <w:tcW w:w="1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446,083</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423,050</w:t>
            </w:r>
          </w:p>
        </w:tc>
        <w:tc>
          <w:tcPr>
            <w:tcW w:w="100" w:type="dxa"/>
            <w:vAlign w:val="bottom"/>
          </w:tcPr>
          <w:p>
            <w:pPr>
              <w:spacing w:after="0"/>
              <w:rPr>
                <w:sz w:val="18"/>
                <w:szCs w:val="18"/>
                <w:color w:val="auto"/>
              </w:rPr>
            </w:pPr>
          </w:p>
        </w:tc>
      </w:tr>
      <w:tr>
        <w:trPr>
          <w:trHeight w:val="230"/>
        </w:trPr>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9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208</w:t>
            </w:r>
          </w:p>
        </w:tc>
        <w:tc>
          <w:tcPr>
            <w:tcW w:w="16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(1,818)</w:t>
            </w:r>
          </w:p>
        </w:tc>
        <w:tc>
          <w:tcPr>
            <w:tcW w:w="26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420</w:t>
            </w:r>
          </w:p>
        </w:tc>
      </w:tr>
      <w:tr>
        <w:trPr>
          <w:trHeight w:val="216"/>
        </w:trPr>
        <w:tc>
          <w:tcPr>
            <w:tcW w:w="6060" w:type="dxa"/>
            <w:vAlign w:val="bottom"/>
          </w:tcPr>
          <w:p>
            <w:pPr>
              <w:spacing w:after="0"/>
              <w:rPr>
                <w:sz w:val="20"/>
                <w:szCs w:val="20"/>
                <w:color w:val="auto"/>
              </w:rPr>
            </w:pPr>
            <w:r>
              <w:rPr>
                <w:rFonts w:ascii="Arial" w:cs="Arial" w:eastAsia="Arial" w:hAnsi="Arial"/>
                <w:sz w:val="18"/>
                <w:szCs w:val="18"/>
                <w:b w:val="1"/>
                <w:bCs w:val="1"/>
                <w:color w:val="auto"/>
              </w:rPr>
              <w:t>Total equity</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0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1,037,920</w:t>
            </w:r>
          </w:p>
        </w:tc>
        <w:tc>
          <w:tcPr>
            <w:tcW w:w="420" w:type="dxa"/>
            <w:vAlign w:val="bottom"/>
            <w:gridSpan w:val="2"/>
          </w:tcPr>
          <w:p>
            <w:pPr>
              <w:ind w:left="160"/>
              <w:spacing w:after="0"/>
              <w:rPr>
                <w:sz w:val="20"/>
                <w:szCs w:val="20"/>
                <w:color w:val="auto"/>
              </w:rPr>
            </w:pPr>
            <w:r>
              <w:rPr>
                <w:rFonts w:ascii="Arial" w:cs="Arial" w:eastAsia="Arial" w:hAnsi="Arial"/>
                <w:sz w:val="18"/>
                <w:szCs w:val="18"/>
                <w:b w:val="1"/>
                <w:bCs w:val="1"/>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1,016,167</w:t>
            </w:r>
          </w:p>
        </w:tc>
        <w:tc>
          <w:tcPr>
            <w:tcW w:w="260" w:type="dxa"/>
            <w:vAlign w:val="bottom"/>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993,590</w:t>
            </w:r>
          </w:p>
        </w:tc>
        <w:tc>
          <w:tcPr>
            <w:tcW w:w="100" w:type="dxa"/>
            <w:vAlign w:val="bottom"/>
          </w:tcPr>
          <w:p>
            <w:pPr>
              <w:spacing w:after="0"/>
              <w:rPr>
                <w:sz w:val="18"/>
                <w:szCs w:val="18"/>
                <w:color w:val="auto"/>
              </w:rPr>
            </w:pPr>
          </w:p>
        </w:tc>
      </w:tr>
      <w:tr>
        <w:trPr>
          <w:trHeight w:val="20"/>
        </w:trPr>
        <w:tc>
          <w:tcPr>
            <w:tcW w:w="606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equity consists of issued and fully paid ordinary common stock and retained earnings. As of December 31, 2020, total equity increased to $1,038 million, compared to $1,016 million as of December 31, 2019 and $994 million as of December 31, 2018. Total equity increased $22 million, or 2% during the year ended December 31, 2020, primarily due to profits totaling $64 million in 2020, net of $45 million in declared cash dividends, which were reduced in April of 2020 by 35%, to an annualized level of $1.00 per share compared to prior years at $1.54 per share, as a prudential measure under deteriorated market conditions, still denoting a strong dividend pay-out ratio during 2020.</w:t>
      </w:r>
    </w:p>
    <w:p>
      <w:pPr>
        <w:spacing w:after="0" w:line="18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Total equity increased $23 million, or 2% during the year ended December 31, 2019, primarily due to greater profits totaling $86 million in 2019, while the Bank maintained a level of dividends similar to prior years at $1.54 per share, denoting a strong dividend pay-out ratio during 2019.</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the Superintendency.</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For the Bank’s expected credit reserves under IFRS 9, the line “Regulatory Reserves” established by the Superintendency has been used to present the difference between the application of the accounting standard used and the prudential regulations of the Superintendency to comply with the requirements of Rule No. 4-2013.</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and 2019, the total amount of the regulatory reserves calculated according to the guidelines of Rule No. 4-2013 of the Superintendency was $136.0 million, appropriated from retained earnings for purposes of compliance with local regulatory requirements. This appropriation is restricted from dividend distribution in order to comply with local regulations.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the capital ratio of total equity to total assets was 16.5%, and the Bank’s Tier 1 capital ratio calculated according to Basel III capital adequacy guidelines (utilizing IRB approach for credit risk) was 26.0%, compared to 14.0% and 19.8%, respectively, as of December 31, 2019. The 2020 leverage ratio was 6.1x compared to 7.1x in 2019.</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As of December 31, 2020, the Bank’s Capital Adequacy Ratio, calculated according to the guidelines of the Banking Law, was 20.2%, compared to 17.3% as of December 31, 2019.</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See Item 4, “Information on the Company—Business Overview—Supervision and Regulation.</w:t>
      </w:r>
    </w:p>
    <w:p>
      <w:pPr>
        <w:spacing w:after="0" w:line="221" w:lineRule="exact"/>
        <w:rPr>
          <w:sz w:val="20"/>
          <w:szCs w:val="20"/>
          <w:color w:val="auto"/>
        </w:rPr>
      </w:pPr>
    </w:p>
    <w:p>
      <w:pPr>
        <w:ind w:left="660" w:right="6600" w:hanging="652"/>
        <w:spacing w:after="0" w:line="532" w:lineRule="auto"/>
        <w:tabs>
          <w:tab w:leader="none" w:pos="502"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Research and Development, Patents and Licenses, etc. </w:t>
      </w:r>
      <w:r>
        <w:rPr>
          <w:rFonts w:ascii="Arial" w:cs="Arial" w:eastAsia="Arial" w:hAnsi="Arial"/>
          <w:sz w:val="18"/>
          <w:szCs w:val="18"/>
          <w:color w:val="auto"/>
        </w:rPr>
        <w:t>Not applicable.</w:t>
      </w:r>
    </w:p>
    <w:p>
      <w:pPr>
        <w:spacing w:after="0" w:line="16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5" w:name="page86"/>
    <w:bookmarkEnd w:id="85"/>
    <w:p>
      <w:pPr>
        <w:ind w:left="500" w:hanging="492"/>
        <w:spacing w:after="0"/>
        <w:tabs>
          <w:tab w:leader="none" w:pos="50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Trend Information</w:t>
      </w:r>
    </w:p>
    <w:p>
      <w:pPr>
        <w:spacing w:after="0" w:line="229"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46" w:lineRule="exact"/>
        <w:rPr>
          <w:sz w:val="20"/>
          <w:szCs w:val="20"/>
          <w:color w:val="auto"/>
        </w:rPr>
      </w:pPr>
    </w:p>
    <w:p>
      <w:pPr>
        <w:jc w:val="both"/>
        <w:ind w:left="340" w:hanging="332"/>
        <w:spacing w:after="0" w:line="273" w:lineRule="auto"/>
        <w:tabs>
          <w:tab w:leader="none" w:pos="340" w:val="left"/>
        </w:tabs>
        <w:numPr>
          <w:ilvl w:val="0"/>
          <w:numId w:val="55"/>
        </w:numPr>
        <w:rPr>
          <w:rFonts w:ascii="Arial" w:cs="Arial" w:eastAsia="Arial" w:hAnsi="Arial"/>
          <w:sz w:val="17"/>
          <w:szCs w:val="17"/>
          <w:color w:val="auto"/>
        </w:rPr>
      </w:pPr>
      <w:r>
        <w:rPr>
          <w:rFonts w:ascii="Arial" w:cs="Arial" w:eastAsia="Arial" w:hAnsi="Arial"/>
          <w:sz w:val="17"/>
          <w:szCs w:val="17"/>
          <w:color w:val="auto"/>
        </w:rPr>
        <w:t>Since it commenced in December 2020, the global rollout of coronavirus (COVID-19) vaccines has become the most important variable in making economic—and to some extent political—forecasts. Assuming that the rollout proceeds as we currently expect, most developed countries should have immunized 60-70% of their population by mid-2022. However, the initial economic effects of the vaccine rollout is expected to be felt sooner, and we expect that global economic recovery will pick up pace from mid-2021. Notwithstanding the vaccine rollout in developed countries, however, the rollout in Latin America has proceeded significantly more slowly, and widespread vaccination coverage is not expected to be achieved in the Region until mid-2022 in the largest economies, at the earliest.</w:t>
      </w:r>
    </w:p>
    <w:p>
      <w:pPr>
        <w:spacing w:after="0" w:line="177" w:lineRule="exact"/>
        <w:rPr>
          <w:rFonts w:ascii="Arial" w:cs="Arial" w:eastAsia="Arial" w:hAnsi="Arial"/>
          <w:sz w:val="17"/>
          <w:szCs w:val="17"/>
          <w:color w:val="auto"/>
        </w:rPr>
      </w:pPr>
    </w:p>
    <w:p>
      <w:pPr>
        <w:jc w:val="both"/>
        <w:ind w:left="340" w:hanging="332"/>
        <w:spacing w:after="0" w:line="279" w:lineRule="auto"/>
        <w:tabs>
          <w:tab w:leader="none" w:pos="340" w:val="left"/>
        </w:tabs>
        <w:numPr>
          <w:ilvl w:val="0"/>
          <w:numId w:val="55"/>
        </w:numPr>
        <w:rPr>
          <w:rFonts w:ascii="Arial" w:cs="Arial" w:eastAsia="Arial" w:hAnsi="Arial"/>
          <w:sz w:val="17"/>
          <w:szCs w:val="17"/>
          <w:color w:val="auto"/>
        </w:rPr>
      </w:pPr>
      <w:r>
        <w:rPr>
          <w:rFonts w:ascii="Arial" w:cs="Arial" w:eastAsia="Arial" w:hAnsi="Arial"/>
          <w:sz w:val="17"/>
          <w:szCs w:val="17"/>
          <w:color w:val="auto"/>
        </w:rPr>
        <w:t>The continuing spread of the novel coronavirus will have dramatic economic and financial market implications, and the economic impact of the pandemic is likely to vary due to regional and country-specific characteristics. The Region is expected to continue to face severe health, social, economic and financial challenges for a significant period of time, the duration of which cannot be predicted with accuracy. These challenges are expected to have a materially damaging impact on the Region in the short and medium term, and perhaps even longer.</w:t>
      </w:r>
    </w:p>
    <w:p>
      <w:pPr>
        <w:spacing w:after="0" w:line="171" w:lineRule="exact"/>
        <w:rPr>
          <w:rFonts w:ascii="Arial" w:cs="Arial" w:eastAsia="Arial" w:hAnsi="Arial"/>
          <w:sz w:val="17"/>
          <w:szCs w:val="17"/>
          <w:color w:val="auto"/>
        </w:rPr>
      </w:pPr>
    </w:p>
    <w:p>
      <w:pPr>
        <w:jc w:val="both"/>
        <w:ind w:left="340" w:hanging="332"/>
        <w:spacing w:after="0" w:line="275" w:lineRule="auto"/>
        <w:tabs>
          <w:tab w:leader="none" w:pos="340" w:val="left"/>
        </w:tabs>
        <w:numPr>
          <w:ilvl w:val="0"/>
          <w:numId w:val="55"/>
        </w:numPr>
        <w:rPr>
          <w:rFonts w:ascii="Arial" w:cs="Arial" w:eastAsia="Arial" w:hAnsi="Arial"/>
          <w:sz w:val="17"/>
          <w:szCs w:val="17"/>
          <w:color w:val="auto"/>
        </w:rPr>
      </w:pPr>
      <w:r>
        <w:rPr>
          <w:rFonts w:ascii="Arial" w:cs="Arial" w:eastAsia="Arial" w:hAnsi="Arial"/>
          <w:sz w:val="17"/>
          <w:szCs w:val="17"/>
          <w:color w:val="auto"/>
        </w:rPr>
        <w:t>The projections implicitly assume that the central banks of the major economies will maintain an expansionary monetary policy, which would sustain dollar liquidity globally and boost growth in the respective economies. Premature monetary tightening and withdrawal of fiscal stimulus could shorten the recovery in the large economies, with consequent adverse impacts on the Region through trade and other channels through which external shocks are transmitted. At the Regional level, it is also expected that monetary stimulus measures will remain in place and that fiscal stimulus measures will not be withdrawn prematurely. Otherwise, the expected recovery in activity could stall.</w:t>
      </w:r>
    </w:p>
    <w:p>
      <w:pPr>
        <w:spacing w:after="0" w:line="176" w:lineRule="exact"/>
        <w:rPr>
          <w:rFonts w:ascii="Arial" w:cs="Arial" w:eastAsia="Arial" w:hAnsi="Arial"/>
          <w:sz w:val="17"/>
          <w:szCs w:val="17"/>
          <w:color w:val="auto"/>
        </w:rPr>
      </w:pPr>
    </w:p>
    <w:p>
      <w:pPr>
        <w:jc w:val="both"/>
        <w:ind w:left="340" w:hanging="332"/>
        <w:spacing w:after="0" w:line="259" w:lineRule="auto"/>
        <w:tabs>
          <w:tab w:leader="none" w:pos="340" w:val="left"/>
        </w:tabs>
        <w:numPr>
          <w:ilvl w:val="0"/>
          <w:numId w:val="55"/>
        </w:numPr>
        <w:rPr>
          <w:rFonts w:ascii="Arial" w:cs="Arial" w:eastAsia="Arial" w:hAnsi="Arial"/>
          <w:sz w:val="18"/>
          <w:szCs w:val="18"/>
          <w:color w:val="auto"/>
        </w:rPr>
      </w:pPr>
      <w:r>
        <w:rPr>
          <w:rFonts w:ascii="Arial" w:cs="Arial" w:eastAsia="Arial" w:hAnsi="Arial"/>
          <w:sz w:val="18"/>
          <w:szCs w:val="18"/>
          <w:color w:val="auto"/>
        </w:rPr>
        <w:t>Resurgent inflation could be a constraint for some countries, along with potential volatility in financial markets. The economic recovery of some advanced economies relying on fiscal stimulus could lead to an increase in inflation. Any increase in long-term interest rates in the United States could restrict global financial conditions and put pressure on financial markets in emerging economies. Excess liquidity in international markets could be reversed in a disorderly way.</w:t>
      </w:r>
    </w:p>
    <w:p>
      <w:pPr>
        <w:spacing w:after="0" w:line="186" w:lineRule="exact"/>
        <w:rPr>
          <w:rFonts w:ascii="Arial" w:cs="Arial" w:eastAsia="Arial" w:hAnsi="Arial"/>
          <w:sz w:val="18"/>
          <w:szCs w:val="18"/>
          <w:color w:val="auto"/>
        </w:rPr>
      </w:pPr>
    </w:p>
    <w:p>
      <w:pPr>
        <w:jc w:val="both"/>
        <w:ind w:left="340" w:hanging="332"/>
        <w:spacing w:after="0" w:line="257" w:lineRule="auto"/>
        <w:tabs>
          <w:tab w:leader="none" w:pos="340" w:val="left"/>
        </w:tabs>
        <w:numPr>
          <w:ilvl w:val="0"/>
          <w:numId w:val="55"/>
        </w:numPr>
        <w:rPr>
          <w:rFonts w:ascii="Arial" w:cs="Arial" w:eastAsia="Arial" w:hAnsi="Arial"/>
          <w:sz w:val="18"/>
          <w:szCs w:val="18"/>
          <w:color w:val="auto"/>
        </w:rPr>
      </w:pPr>
      <w:r>
        <w:rPr>
          <w:rFonts w:ascii="Arial" w:cs="Arial" w:eastAsia="Arial" w:hAnsi="Arial"/>
          <w:sz w:val="18"/>
          <w:szCs w:val="18"/>
          <w:color w:val="auto"/>
        </w:rPr>
        <w:t>The Bank’s results may be affected by changes in global economic conditions, including the global recession and the economic aftermath of the COVID-19 pandemic, the fall in the prices of oil and other commodities, uncertainties regarding U.S. policies affecting the dollar exchange rate, liquidity access, interest rates, slower economic growth in developed countries and trading partners, and the effect that these changes may have on the economic condition of countries in the Region, including the Region’s foreign trade growth, and, therefore, the growth of the Bank’s core trade financing business.</w:t>
      </w:r>
    </w:p>
    <w:p>
      <w:pPr>
        <w:spacing w:after="0" w:line="187" w:lineRule="exact"/>
        <w:rPr>
          <w:rFonts w:ascii="Arial" w:cs="Arial" w:eastAsia="Arial" w:hAnsi="Arial"/>
          <w:sz w:val="18"/>
          <w:szCs w:val="18"/>
          <w:color w:val="auto"/>
        </w:rPr>
      </w:pPr>
    </w:p>
    <w:p>
      <w:pPr>
        <w:jc w:val="both"/>
        <w:ind w:left="340" w:hanging="332"/>
        <w:spacing w:after="0" w:line="271" w:lineRule="auto"/>
        <w:tabs>
          <w:tab w:leader="none" w:pos="340" w:val="left"/>
        </w:tabs>
        <w:numPr>
          <w:ilvl w:val="0"/>
          <w:numId w:val="55"/>
        </w:numPr>
        <w:rPr>
          <w:rFonts w:ascii="Arial" w:cs="Arial" w:eastAsia="Arial" w:hAnsi="Arial"/>
          <w:sz w:val="17"/>
          <w:szCs w:val="17"/>
          <w:color w:val="auto"/>
        </w:rPr>
      </w:pPr>
      <w:r>
        <w:rPr>
          <w:rFonts w:ascii="Arial" w:cs="Arial" w:eastAsia="Arial" w:hAnsi="Arial"/>
          <w:sz w:val="17"/>
          <w:szCs w:val="17"/>
          <w:color w:val="auto"/>
        </w:rPr>
        <w:t>There are high levels of indebtedness in the private sector, which could bring associated solvency problems. We believe that increasing borrowing costs as a result of the COVID-19 pandemic will expose financial vulnerabilities that have accumulated over years of low interest rates. Any increase in the number of bankruptcies of companies affected by the pandemic would have possible effects on financial stability in the Region. Furthermore, the borrowers to which the Bank lends operate a wide range of businesses and are active in numerous economic sectors, many of which are facing, and will continue to face, significant challenges and negative impacts as a result of the COVID-19 pandemic. These impacts may include, among others, reduced business volumes, temporary closures of the Bank’s borrowers’ facilities, insufficient liquidity, delayed or defaulted payments from the Bank’s borrowers’ own customers, increased levels of indebtedness or the unavailability of sufficient financing for the Bank’s borrowers, and other factors which are beyond the Bank’s control.</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86" w:name="page87"/>
    <w:bookmarkEnd w:id="86"/>
    <w:p>
      <w:pPr>
        <w:ind w:left="340" w:right="20" w:hanging="332"/>
        <w:spacing w:after="0" w:line="277" w:lineRule="auto"/>
        <w:tabs>
          <w:tab w:leader="none" w:pos="340" w:val="left"/>
        </w:tabs>
        <w:numPr>
          <w:ilvl w:val="0"/>
          <w:numId w:val="56"/>
        </w:numPr>
        <w:rPr>
          <w:rFonts w:ascii="Arial" w:cs="Arial" w:eastAsia="Arial" w:hAnsi="Arial"/>
          <w:sz w:val="18"/>
          <w:szCs w:val="18"/>
          <w:color w:val="auto"/>
        </w:rPr>
      </w:pPr>
      <w:r>
        <w:rPr>
          <w:rFonts w:ascii="Arial" w:cs="Arial" w:eastAsia="Arial" w:hAnsi="Arial"/>
          <w:sz w:val="18"/>
          <w:szCs w:val="18"/>
          <w:color w:val="auto"/>
        </w:rPr>
        <w:t>There are vulnerabilities associated with an increase in the levels of public debt, in part derived from the fiscal stimulus granted in various countries and its impact on the sustainability of public finances.</w:t>
      </w:r>
    </w:p>
    <w:p>
      <w:pPr>
        <w:spacing w:after="0" w:line="170" w:lineRule="exact"/>
        <w:rPr>
          <w:rFonts w:ascii="Arial" w:cs="Arial" w:eastAsia="Arial" w:hAnsi="Arial"/>
          <w:sz w:val="18"/>
          <w:szCs w:val="18"/>
          <w:color w:val="auto"/>
        </w:rPr>
      </w:pPr>
    </w:p>
    <w:p>
      <w:pPr>
        <w:jc w:val="both"/>
        <w:ind w:left="340" w:hanging="332"/>
        <w:spacing w:after="0" w:line="301" w:lineRule="auto"/>
        <w:tabs>
          <w:tab w:leader="none" w:pos="340" w:val="left"/>
        </w:tabs>
        <w:numPr>
          <w:ilvl w:val="0"/>
          <w:numId w:val="56"/>
        </w:numPr>
        <w:rPr>
          <w:rFonts w:ascii="Arial" w:cs="Arial" w:eastAsia="Arial" w:hAnsi="Arial"/>
          <w:sz w:val="16"/>
          <w:szCs w:val="16"/>
          <w:color w:val="auto"/>
        </w:rPr>
      </w:pPr>
      <w:r>
        <w:rPr>
          <w:rFonts w:ascii="Arial" w:cs="Arial" w:eastAsia="Arial" w:hAnsi="Arial"/>
          <w:sz w:val="16"/>
          <w:szCs w:val="16"/>
          <w:color w:val="auto"/>
        </w:rPr>
        <w:t>Possible distortions in the valuation of some financial assets could lead to an abrupt correction in their prices.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 material adverse effect on the growth prospects in the Region, and on the Bank’s asset quality and operations.</w:t>
      </w:r>
    </w:p>
    <w:p>
      <w:pPr>
        <w:spacing w:after="0" w:line="157" w:lineRule="exact"/>
        <w:rPr>
          <w:rFonts w:ascii="Arial" w:cs="Arial" w:eastAsia="Arial" w:hAnsi="Arial"/>
          <w:sz w:val="16"/>
          <w:szCs w:val="16"/>
          <w:color w:val="auto"/>
        </w:rPr>
      </w:pPr>
    </w:p>
    <w:p>
      <w:pPr>
        <w:jc w:val="both"/>
        <w:ind w:left="340" w:hanging="332"/>
        <w:spacing w:after="0" w:line="263" w:lineRule="auto"/>
        <w:tabs>
          <w:tab w:leader="none" w:pos="340" w:val="left"/>
        </w:tabs>
        <w:numPr>
          <w:ilvl w:val="0"/>
          <w:numId w:val="56"/>
        </w:numPr>
        <w:rPr>
          <w:rFonts w:ascii="Arial" w:cs="Arial" w:eastAsia="Arial" w:hAnsi="Arial"/>
          <w:sz w:val="18"/>
          <w:szCs w:val="18"/>
          <w:color w:val="auto"/>
        </w:rPr>
      </w:pPr>
      <w:r>
        <w:rPr>
          <w:rFonts w:ascii="Arial" w:cs="Arial" w:eastAsia="Arial" w:hAnsi="Arial"/>
          <w:sz w:val="18"/>
          <w:szCs w:val="18"/>
          <w:color w:val="auto"/>
        </w:rPr>
        <w:t>Changes in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183" w:lineRule="exact"/>
        <w:rPr>
          <w:rFonts w:ascii="Arial" w:cs="Arial" w:eastAsia="Arial" w:hAnsi="Arial"/>
          <w:sz w:val="18"/>
          <w:szCs w:val="18"/>
          <w:color w:val="auto"/>
        </w:rPr>
      </w:pPr>
    </w:p>
    <w:p>
      <w:pPr>
        <w:jc w:val="both"/>
        <w:ind w:left="340" w:hanging="332"/>
        <w:spacing w:after="0" w:line="259" w:lineRule="auto"/>
        <w:tabs>
          <w:tab w:leader="none" w:pos="340" w:val="left"/>
        </w:tabs>
        <w:numPr>
          <w:ilvl w:val="0"/>
          <w:numId w:val="56"/>
        </w:numPr>
        <w:rPr>
          <w:rFonts w:ascii="Arial" w:cs="Arial" w:eastAsia="Arial" w:hAnsi="Arial"/>
          <w:sz w:val="18"/>
          <w:szCs w:val="18"/>
          <w:color w:val="auto"/>
        </w:rPr>
      </w:pPr>
      <w:r>
        <w:rPr>
          <w:rFonts w:ascii="Arial" w:cs="Arial" w:eastAsia="Arial" w:hAnsi="Arial"/>
          <w:sz w:val="18"/>
          <w:szCs w:val="18"/>
          <w:color w:val="auto"/>
        </w:rPr>
        <w:t>A prolonged downturn in global debt capital markets stemming from COVID-19-related market volatility, credit risk aversions, anti-money laundering, or other economic or political concerns pertaining to the Region, or a continued downturn in investor confidence, could affect the Bank’s access to cross border funding or increase its cost of funding. Furthermore, de-risking by global banks may reduce lender access to cross border payment processing and lower fund inflows into the Region.</w:t>
      </w:r>
    </w:p>
    <w:p>
      <w:pPr>
        <w:spacing w:after="0" w:line="186" w:lineRule="exact"/>
        <w:rPr>
          <w:rFonts w:ascii="Arial" w:cs="Arial" w:eastAsia="Arial" w:hAnsi="Arial"/>
          <w:sz w:val="18"/>
          <w:szCs w:val="18"/>
          <w:color w:val="auto"/>
        </w:rPr>
      </w:pPr>
    </w:p>
    <w:p>
      <w:pPr>
        <w:ind w:left="340" w:right="20" w:hanging="332"/>
        <w:spacing w:after="0" w:line="308" w:lineRule="auto"/>
        <w:tabs>
          <w:tab w:leader="none" w:pos="340" w:val="left"/>
        </w:tabs>
        <w:numPr>
          <w:ilvl w:val="0"/>
          <w:numId w:val="56"/>
        </w:numPr>
        <w:rPr>
          <w:rFonts w:ascii="Arial" w:cs="Arial" w:eastAsia="Arial" w:hAnsi="Arial"/>
          <w:sz w:val="17"/>
          <w:szCs w:val="17"/>
          <w:color w:val="auto"/>
        </w:rPr>
      </w:pPr>
      <w:r>
        <w:rPr>
          <w:rFonts w:ascii="Arial" w:cs="Arial" w:eastAsia="Arial" w:hAnsi="Arial"/>
          <w:sz w:val="17"/>
          <w:szCs w:val="17"/>
          <w:color w:val="auto"/>
        </w:rPr>
        <w:t>The materialization of these risks could generate new episodes of volatility, greater risk aversion and tightening of global financial conditions, which in an environment of high indebtedness could translate into risks to financial stability in some of the most vulnerable economies.</w:t>
      </w:r>
    </w:p>
    <w:p>
      <w:pPr>
        <w:spacing w:after="0" w:line="146" w:lineRule="exact"/>
        <w:rPr>
          <w:rFonts w:ascii="Arial" w:cs="Arial" w:eastAsia="Arial" w:hAnsi="Arial"/>
          <w:sz w:val="17"/>
          <w:szCs w:val="17"/>
          <w:color w:val="auto"/>
        </w:rPr>
      </w:pPr>
    </w:p>
    <w:p>
      <w:pPr>
        <w:ind w:left="340" w:hanging="332"/>
        <w:spacing w:after="0" w:line="277" w:lineRule="auto"/>
        <w:tabs>
          <w:tab w:leader="none" w:pos="340" w:val="left"/>
        </w:tabs>
        <w:numPr>
          <w:ilvl w:val="0"/>
          <w:numId w:val="56"/>
        </w:numPr>
        <w:rPr>
          <w:rFonts w:ascii="Arial" w:cs="Arial" w:eastAsia="Arial" w:hAnsi="Arial"/>
          <w:sz w:val="18"/>
          <w:szCs w:val="18"/>
          <w:color w:val="auto"/>
        </w:rPr>
      </w:pPr>
      <w:r>
        <w:rPr>
          <w:rFonts w:ascii="Arial" w:cs="Arial" w:eastAsia="Arial" w:hAnsi="Arial"/>
          <w:sz w:val="18"/>
          <w:szCs w:val="18"/>
          <w:color w:val="auto"/>
        </w:rPr>
        <w:t>The Bank has taken considerable measures to mitigate risk for its employees and business operations related to the ongoing COVID-19 pandemic, such as:</w:t>
      </w:r>
    </w:p>
    <w:p>
      <w:pPr>
        <w:spacing w:after="0" w:line="170" w:lineRule="exact"/>
        <w:rPr>
          <w:rFonts w:ascii="Arial" w:cs="Arial" w:eastAsia="Arial" w:hAnsi="Arial"/>
          <w:sz w:val="18"/>
          <w:szCs w:val="18"/>
          <w:color w:val="auto"/>
        </w:rPr>
      </w:pPr>
    </w:p>
    <w:p>
      <w:pPr>
        <w:jc w:val="both"/>
        <w:ind w:left="980" w:hanging="324"/>
        <w:spacing w:after="0" w:line="273" w:lineRule="auto"/>
        <w:tabs>
          <w:tab w:leader="none" w:pos="980" w:val="left"/>
        </w:tabs>
        <w:numPr>
          <w:ilvl w:val="1"/>
          <w:numId w:val="56"/>
        </w:numPr>
        <w:rPr>
          <w:rFonts w:ascii="Arial" w:cs="Arial" w:eastAsia="Arial" w:hAnsi="Arial"/>
          <w:sz w:val="17"/>
          <w:szCs w:val="17"/>
          <w:color w:val="auto"/>
        </w:rPr>
      </w:pPr>
      <w:r>
        <w:rPr>
          <w:rFonts w:ascii="Arial" w:cs="Arial" w:eastAsia="Arial" w:hAnsi="Arial"/>
          <w:sz w:val="17"/>
          <w:szCs w:val="17"/>
          <w:color w:val="auto"/>
        </w:rPr>
        <w:t>The Bank has been carefully monitoring the COVID-19 pandemic and its impact on its business. As soon as the effects of COVID-19 pandemic started to unfold, Bladex was able to significantly increase its cash position, continuously maintaining levels well above regulatory liquidity requirements based on Basel III standards. The Bank’s capacity to maintain a strong liquidity position is attributable to its historically diversified and stable funding sources that include many longstanding relationships with correspondent banks and investors across the globe, as well as deposits from Latin American central banks, which are also the Bank’s Class A shareholders. The Bank’s prudent liquidity management aims to sustain its resiliency in the event of increased market volatility.</w:t>
      </w:r>
    </w:p>
    <w:p>
      <w:pPr>
        <w:spacing w:after="0" w:line="177" w:lineRule="exact"/>
        <w:rPr>
          <w:rFonts w:ascii="Arial" w:cs="Arial" w:eastAsia="Arial" w:hAnsi="Arial"/>
          <w:sz w:val="17"/>
          <w:szCs w:val="17"/>
          <w:color w:val="auto"/>
        </w:rPr>
      </w:pPr>
    </w:p>
    <w:p>
      <w:pPr>
        <w:jc w:val="both"/>
        <w:ind w:left="980" w:hanging="324"/>
        <w:spacing w:after="0" w:line="270" w:lineRule="auto"/>
        <w:tabs>
          <w:tab w:leader="none" w:pos="980" w:val="left"/>
        </w:tabs>
        <w:numPr>
          <w:ilvl w:val="1"/>
          <w:numId w:val="56"/>
        </w:numPr>
        <w:rPr>
          <w:rFonts w:ascii="Arial" w:cs="Arial" w:eastAsia="Arial" w:hAnsi="Arial"/>
          <w:sz w:val="17"/>
          <w:szCs w:val="17"/>
          <w:color w:val="auto"/>
        </w:rPr>
      </w:pPr>
      <w:r>
        <w:rPr>
          <w:rFonts w:ascii="Arial" w:cs="Arial" w:eastAsia="Arial" w:hAnsi="Arial"/>
          <w:sz w:val="17"/>
          <w:szCs w:val="17"/>
          <w:color w:val="auto"/>
        </w:rPr>
        <w:t>Since mid-March 2020, the Bank established stricter credit underwriting criteria, with a focus on serving its strategic customer base, in client segments and industries that the Bank believes are better suited to face the effects of the COVID-19 pandemic. This has resulted in a reduction of the Loan Portfolio in 2020, as the Bank has been able to collect almost all scheduled credit maturities, coupled with credit prepayments, on account of the high quality of its borrower base and the short-term nature of its portfolio (as of December 31, 2020, 75% of the remaining-term Commercial Portfolio was scheduled to mature within a year), and then lend on a selective basis. Given the aforementioned short-term nature of the Bank’s business, coupled with the high quality of its client base, including 54% of the Commercial Portfolio as of December 31, 2020, placed with top-tier financial institutions, and 16% of the Commercial Portfolio as of December 31, 2020, with sovereign and state/owned corporations across the Region, the Bank has the possibility of managing the size of its portfolio as it sees fit, giving it flexibility to respond to the current uncertain business environment.</w:t>
      </w:r>
    </w:p>
    <w:p>
      <w:pPr>
        <w:spacing w:after="0" w:line="180" w:lineRule="exact"/>
        <w:rPr>
          <w:rFonts w:ascii="Arial" w:cs="Arial" w:eastAsia="Arial" w:hAnsi="Arial"/>
          <w:sz w:val="17"/>
          <w:szCs w:val="17"/>
          <w:color w:val="auto"/>
        </w:rPr>
      </w:pPr>
    </w:p>
    <w:p>
      <w:pPr>
        <w:jc w:val="both"/>
        <w:ind w:left="980" w:hanging="324"/>
        <w:spacing w:after="0" w:line="271" w:lineRule="auto"/>
        <w:tabs>
          <w:tab w:leader="none" w:pos="980" w:val="left"/>
        </w:tabs>
        <w:numPr>
          <w:ilvl w:val="1"/>
          <w:numId w:val="56"/>
        </w:numPr>
        <w:rPr>
          <w:rFonts w:ascii="Arial" w:cs="Arial" w:eastAsia="Arial" w:hAnsi="Arial"/>
          <w:sz w:val="17"/>
          <w:szCs w:val="17"/>
          <w:color w:val="auto"/>
        </w:rPr>
      </w:pPr>
      <w:r>
        <w:rPr>
          <w:rFonts w:ascii="Arial" w:cs="Arial" w:eastAsia="Arial" w:hAnsi="Arial"/>
          <w:sz w:val="17"/>
          <w:szCs w:val="17"/>
          <w:color w:val="auto"/>
        </w:rPr>
        <w:t>The Bank implemented a continuous review process in 2020 of its entire portfolio on a name by name basis, classifying countries and sectors by risk categories. This process allowed the Bank to gain a deep understanding of the impacts of COVID-19 on sectors and clients by country, having been in close contact with most of its client base throughout the year. Sectors identified as high risk, such as airlines, sugar, oil and gas upstream and supply chain, retail, among other, represented a total of approximately 9% of the total Commercial Portfolio as of December 31, 2020. In addition, the Bank continued downsizing exposure to higher risk sectors, such as the airline industry, which has been decreased by $99 million, or 67% since March 31, 2020, now representing less than 1% of total portfolio as of December 31, 2020, and the sugar industry, which has decreased by $57 million, or 43% since March 31, 2020. In addition, the Bank reduced its credit-impaired loans (or NPL) balances to 0.22% of the Loan Portfolio as at December 31, 2020.</w:t>
      </w:r>
    </w:p>
    <w:p>
      <w:pPr>
        <w:spacing w:after="0" w:line="39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7" w:name="page88"/>
    <w:bookmarkEnd w:id="87"/>
    <w:p>
      <w:pPr>
        <w:jc w:val="both"/>
        <w:ind w:left="980" w:hanging="324"/>
        <w:spacing w:after="0" w:line="272" w:lineRule="auto"/>
        <w:tabs>
          <w:tab w:leader="none" w:pos="980" w:val="left"/>
        </w:tabs>
        <w:numPr>
          <w:ilvl w:val="0"/>
          <w:numId w:val="57"/>
        </w:numPr>
        <w:rPr>
          <w:rFonts w:ascii="Arial" w:cs="Arial" w:eastAsia="Arial" w:hAnsi="Arial"/>
          <w:sz w:val="17"/>
          <w:szCs w:val="17"/>
          <w:color w:val="auto"/>
        </w:rPr>
      </w:pPr>
      <w:r>
        <w:rPr>
          <w:rFonts w:ascii="Arial" w:cs="Arial" w:eastAsia="Arial" w:hAnsi="Arial"/>
          <w:sz w:val="17"/>
          <w:szCs w:val="17"/>
          <w:color w:val="auto"/>
        </w:rPr>
        <w:t>The Bank has successfully implemented its Business Continuity Plan since March 13, 2020. As a result, the Bank has been able to continue its business remotely and to continue processing transactions without material operational or technological disruption. All the Bank’s staff, a total of 177 employees, has been operating remotely from their homes, in six different countries, and the Bank’s day-to-day operations have been running without interruption. In addition, the Bank has implemented specific cybersecurity measures and controls, supported by tools to protect the main points of attack, namely email and end points (laptops). In relation to human capital, supervisors with support from the human resources team maintain constant follow-up with the Bank’s employees to ensure that they are in good physical and mental health as well as to ensure that productivity remains at normal levels and work schedules are met.</w:t>
      </w:r>
    </w:p>
    <w:p>
      <w:pPr>
        <w:spacing w:after="0" w:line="177" w:lineRule="exact"/>
        <w:rPr>
          <w:rFonts w:ascii="Arial" w:cs="Arial" w:eastAsia="Arial" w:hAnsi="Arial"/>
          <w:sz w:val="17"/>
          <w:szCs w:val="17"/>
          <w:color w:val="auto"/>
        </w:rPr>
      </w:pPr>
    </w:p>
    <w:p>
      <w:pPr>
        <w:jc w:val="both"/>
        <w:ind w:left="980" w:hanging="324"/>
        <w:spacing w:after="0" w:line="263" w:lineRule="auto"/>
        <w:tabs>
          <w:tab w:leader="none" w:pos="980" w:val="left"/>
        </w:tabs>
        <w:numPr>
          <w:ilvl w:val="0"/>
          <w:numId w:val="57"/>
        </w:numPr>
        <w:rPr>
          <w:rFonts w:ascii="Arial" w:cs="Arial" w:eastAsia="Arial" w:hAnsi="Arial"/>
          <w:sz w:val="18"/>
          <w:szCs w:val="18"/>
          <w:color w:val="auto"/>
        </w:rPr>
      </w:pPr>
      <w:r>
        <w:rPr>
          <w:rFonts w:ascii="Arial" w:cs="Arial" w:eastAsia="Arial" w:hAnsi="Arial"/>
          <w:sz w:val="18"/>
          <w:szCs w:val="18"/>
          <w:color w:val="auto"/>
        </w:rPr>
        <w:t>Constant and effective digital communications have been successfully held, both internally and externally with clients, correspondent banks and other stakeholders. As a result, the Bank has not experienced a significant impact on its business resulting from mobility and travel restrictions.</w:t>
      </w:r>
    </w:p>
    <w:p>
      <w:pPr>
        <w:spacing w:after="0" w:line="183" w:lineRule="exact"/>
        <w:rPr>
          <w:rFonts w:ascii="Arial" w:cs="Arial" w:eastAsia="Arial" w:hAnsi="Arial"/>
          <w:sz w:val="18"/>
          <w:szCs w:val="18"/>
          <w:color w:val="auto"/>
        </w:rPr>
      </w:pPr>
    </w:p>
    <w:p>
      <w:pPr>
        <w:ind w:left="980" w:hanging="324"/>
        <w:spacing w:after="0" w:line="308" w:lineRule="auto"/>
        <w:tabs>
          <w:tab w:leader="none" w:pos="980" w:val="left"/>
        </w:tabs>
        <w:numPr>
          <w:ilvl w:val="0"/>
          <w:numId w:val="57"/>
        </w:numPr>
        <w:rPr>
          <w:rFonts w:ascii="Arial" w:cs="Arial" w:eastAsia="Arial" w:hAnsi="Arial"/>
          <w:sz w:val="17"/>
          <w:szCs w:val="17"/>
          <w:color w:val="auto"/>
        </w:rPr>
      </w:pPr>
      <w:r>
        <w:rPr>
          <w:rFonts w:ascii="Arial" w:cs="Arial" w:eastAsia="Arial" w:hAnsi="Arial"/>
          <w:sz w:val="17"/>
          <w:szCs w:val="17"/>
          <w:color w:val="auto"/>
        </w:rPr>
        <w:t>The Bank again successfully held its 2021 Annual Meeting of Shareholders on a virtual basis, after having held it virtually for the first time in 2020. Management believes that holding the meeting virtually is in the best interests of the Bank’s shareholders and employees.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Year 2020</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Bladex’s profit for the year 2020 totaled $63.6 million, or $1.60 per share, compared to $86.1 million, or $2.17 per share for 2019. This decrease in profits was mainly driven by the Bank’s defensive approach of favoring liquidity over loan growth during most of 2020, as part of the prudential measures implemented since the onset of the COVID-19 pandemic. This mainly resulted in a $17.1 million, or 16% decrease in net interest income during 2020, following management’s decision to preserve the Bank’s liquidity, to implement stricter credit underwriting standards, and to focus on sectors considered to be defensive in the current economic context (such as oil &amp; gas (downstream), electric power and food and beverage), together with its successful collection of virtually all scheduled loan maturities, all of which resulted in a reduction of average lending volumes throughout the year, an effect that was coupled with the negative impact of decreased market rates in the Bank’s net interest margin. The reduction in profit in 2020 was also a result of a $5.2 million, or 33% decrease in fees and commissions, mostly due to the absence of mandated structured transactions in a year impacted by market uncertainty. These negative effects were partially offset by: (i) a $3.4 million, or 8% decrease in operating expenses as a result of lower variable compensation and other savings generated by the Bank as a response to the current economic climate, and (ii) reversal of provisions for credit losses of $1.5 million in 2020, compared to provision charges of $0.4 million in 2019, derived from reduced levels of credit-impaired loans, lower Commercial Portfolio balances and the collection of loans in higher risk sectors and countries.</w:t>
      </w:r>
    </w:p>
    <w:p>
      <w:pPr>
        <w:spacing w:after="0" w:line="17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For the year ended December 31, 2020, the Bank’s net interest income totaled $92.4 million, compared to $109.5 million during the year ended December 31, 2019. The $17.1 million, or 16% decrease in net interest income during 2020 was impacted by the Bank’s defensive approach to favor liquidity over loan growth during most of the year, as evidenced by higher average cash position levels (23% of average interest-earning assets in 2020) and lower average loan balances, coupled with the impact of lower market (LIBOR) rates on the Bank’s assets financed by its substantial equity base. These effects were partly offset by the widening of the Bank’s net lending spread differential throughout 2020, as liabilities repriced faster than loans in a decreasing market rate environment, and as the Bank was able to increase lending spreads in its lending origination to top quality borrowers as the COVID-19 pandemic emerged and continued.</w:t>
      </w:r>
    </w:p>
    <w:p>
      <w:pPr>
        <w:spacing w:after="0" w:line="195"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2020, fees and commissions totaled $10.4 million, compared to $15.6 million for the year ended December 31, 2019. The $5.2 million, or 33% decrease in fees and commissions was mainly attributable to lower levels of business from the Bank’s syndication desk in a year impacted by market uncertainty, as the Bank was able to close two mandated structured transactions during 2020, for a total principal amount of $200 million, compared to six transactions closed during 2019, for a total principal amount of $1.3 billion. Commissions from letter of credit business decreased 5% in 2020, performing similarly to pre-COVID levels in the second half of the year. Other commissions, net, which are mostly comprised of the opening and confirmation of credit commitments and guarantee contracts, net of commission expenses, registered a 57% increase in 2020 compared to 2019.</w:t>
      </w:r>
    </w:p>
    <w:p>
      <w:pPr>
        <w:spacing w:after="0" w:line="16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ROAE stood at 6.2% for 2020, compared to 8.6% for 2019, due lower profits for the year coupled with higher capitalization in 2020. As of December 31, 2020, the Bank’s Tier 1 capital ratio calculated according to Basel III capital adequacy guidelines (utilizing IRB approach for credit risk) was 26.0%, compared to 19.8% as of December 31, 2019. The 2020 Asset to Equity ratio was 6.1x compared to 7.1x in 2019.</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2020 efficiency ratio reached 38%, compared to 32% for the year 2019, as the Bank’s total revenues decreased by 22% in 2020. The Bank’s operating expenses decreased by 8% in 2020, which was mainly attributable to lower personnel expenses, mostly due to a lower performance-based variable compensation, and other cost savings during the COVID-19 pandemic. The Bank’s operating expenses to average assets ratio was 56 basis points in 2020, compared to 64 basis points in 2019.</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weighted average funding cost for the year ended December 31, 2020 was 1.59%, compared to 3.10% for the year ended December 31, 2019, a decrease of 151 basis points, benefiting from the impact of lower LIBOR-based market rates on the Bank’s narrow, liability-sensitive interest rate gap position, and on a higher average deposit base.</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8" w:name="page89"/>
    <w:bookmarkEnd w:id="88"/>
    <w:p>
      <w:pPr>
        <w:spacing w:after="0"/>
        <w:rPr>
          <w:sz w:val="20"/>
          <w:szCs w:val="20"/>
          <w:color w:val="auto"/>
        </w:rPr>
      </w:pPr>
      <w:r>
        <w:rPr>
          <w:rFonts w:ascii="Arial" w:cs="Arial" w:eastAsia="Arial" w:hAnsi="Arial"/>
          <w:sz w:val="18"/>
          <w:szCs w:val="18"/>
          <w:i w:val="1"/>
          <w:iCs w:val="1"/>
          <w:color w:val="auto"/>
        </w:rPr>
        <w:t>Year 2019</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Bladex’s profit for the year 2019 totaled $86.1 million, or $2.17 per share, compared to $11.1 million, or $0.28 per share for 2018. This increase in profits was mainly driven by: (i) substantially lower impairment losses of $0.4 million in 2019, compared to $57.5 million in 2018, which was due to the Bank’s improved risk profile as a result of higher quality loan originations, the timely collection of scheduled maturities of its watch-list exposures, and no new credits classified as credit-impaired loans since the third quarter of 2018, (ii) steady top line total revenues resulting in a $1.5 million or 1% decline, as the Bank was able to maintain relatively stable financial margins and average Commercial Portfolio volumes, mainly resulting from the shifting of its credit underwriting toward lower risk countries and (iii) an $8.2 million or 17% decrease in operating expenses as a result of the Bank's continued efforts and focus on effective cost control management and overall improved structural and operational efficiencies, leading to an improved efficiency ratio of 32% in 2019 from 38% in 2018.</w:t>
      </w:r>
    </w:p>
    <w:p>
      <w:pPr>
        <w:spacing w:after="0" w:line="19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For the year ended December 31, 2019, the Bank’s net interest income totaled $109.5 million, compared to $109.7 million during the year ended December 31, 2018. The $0.2 million, or 0.2% decrease in net interest income during 2019 was impacted by lower average lending volumes and decreased average liability deposit balances, impacting overall funding costs, which were partially offset by the net positive effect of increasing LIBOR-based market rates during 2019 which remained high through the first half of 2019, resulting in a 3 basis point increase in NIM from 1.71% in 2018 to 1.74% in 2019. Due to the short-term nature of its Loan Portfolio, the Bank maintains a narrow interest rate gap structure and is able to pass along LIBOR-based market rates increases in its funding to its asset base.</w:t>
      </w:r>
    </w:p>
    <w:p>
      <w:pPr>
        <w:spacing w:after="0" w:line="192"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During the year ended December 31, 2019, fees and commissions totaled $15.6 million, compared to $17.2 million for the year ended December 31, 2018. The $1.5 million, or 9% decrease resulted from the net effect of: a 12% decrease in fees from letters of credit on lower letters of credit revenues, which were partially offset by a 14% year-on-year increase in syndication fees. The Bank has positioned itself as a relevant player in originating syndicated transactions across the Region, and was able to close six transactions during 2019, for a total principal amount of $1.3 billion, compared to seven transactions during 2018, for a total principal amount of $847 million. Other commissions, net, which are mostly comprised from the opening and confirmation of credit commitments and guarantee contracts, net of commission expenses, also registered a 65% decrease in 2019 compared to 2018.</w:t>
      </w:r>
    </w:p>
    <w:p>
      <w:pPr>
        <w:spacing w:after="0" w:line="16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ROAE stood at 8.6% for 2019, compared to 1.1% for 2018, as a result of greater profits for 2019. As of December 31, 2019, the Bank’s Tier 1 capital ratio calculated according to Basel III capital adequacy guidelines (utilizing IRB approach for credit risk) was 19.8%, compared to 18.1% as of December 31, 2018. The 2019 leverage ratio was 7.1x compared to 7.7x in 2018.</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Bank’s 2019 efficiency ratio reached 32%, compared to 38% for the year 2018, as the Bank reported lower revenues and operating expenses decreased by 17% in 2019, which was mainly attributable to a 14% decrease in employee-related expenses resulting from the Bank’s personnel restructuring in 2018, together with other cost savings, such as the adoption of a new accounting standard IFRS 16 in 2019 and the absence of one-time charges recorded in 2018. The Bank’s operating expenses to average assets ratio was 64 basis points in 2019, compared to 76 basis points in 2018.</w:t>
      </w:r>
    </w:p>
    <w:p>
      <w:pPr>
        <w:spacing w:after="0" w:line="15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weighted average funding cost for the year ended December 31, 2019 was 3.10%, compared to 2.76% for the year ended December 31, 2018, an increase of 34 basis points, mainly reflecting higher LIBOR-based market rates, which was partly offset by lower funding spreads.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89" w:name="page90"/>
    <w:bookmarkEnd w:id="89"/>
    <w:p>
      <w:pPr>
        <w:ind w:left="480" w:hanging="472"/>
        <w:spacing w:after="0"/>
        <w:tabs>
          <w:tab w:leader="none" w:pos="48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Off-Balance Sheet Arrangements</w:t>
      </w:r>
    </w:p>
    <w:p>
      <w:pPr>
        <w:spacing w:after="0" w:line="229"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6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As of December 31, 2020, the Bank’s off-balance sheet arrangements, as defined in the Instructions to Item 5.E. of Form 20-F, included documentary letters of credit, stand-by letters of credit, and guarantees (covering commercial risk). These arrangements are kept off-balance sheet as long as the Bank does not incur an obligation relating to them or itself become entitled to an asset.</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Bank’s outstanding off-balance sheet arrangements and total loan commitments and financial guarantee contracts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8"/>
                <w:szCs w:val="18"/>
                <w:b w:val="1"/>
                <w:bCs w:val="1"/>
                <w:color w:val="auto"/>
                <w:w w:val="88"/>
              </w:rPr>
              <w:t>As of December 31,</w:t>
            </w:r>
          </w:p>
        </w:tc>
        <w:tc>
          <w:tcPr>
            <w:tcW w:w="4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74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19"/>
                <w:szCs w:val="19"/>
                <w:color w:val="auto"/>
              </w:rPr>
            </w:pPr>
          </w:p>
        </w:tc>
      </w:tr>
      <w:tr>
        <w:trPr>
          <w:trHeight w:val="223"/>
        </w:trPr>
        <w:tc>
          <w:tcPr>
            <w:tcW w:w="574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20" w:type="dxa"/>
            <w:vAlign w:val="bottom"/>
            <w:gridSpan w:val="2"/>
          </w:tcPr>
          <w:p>
            <w:pPr>
              <w:ind w:left="20"/>
              <w:spacing w:after="0"/>
              <w:rPr>
                <w:sz w:val="20"/>
                <w:szCs w:val="20"/>
                <w:color w:val="auto"/>
              </w:rPr>
            </w:pPr>
            <w:r>
              <w:rPr>
                <w:rFonts w:ascii="Arial" w:cs="Arial" w:eastAsia="Arial" w:hAnsi="Arial"/>
                <w:sz w:val="18"/>
                <w:szCs w:val="18"/>
                <w:color w:val="auto"/>
                <w:w w:val="91"/>
              </w:rPr>
              <w:t>(in $ thousands)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52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216,782</w:t>
            </w:r>
          </w:p>
        </w:tc>
        <w:tc>
          <w:tcPr>
            <w:tcW w:w="4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169,320</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218,988</w:t>
            </w:r>
          </w:p>
        </w:tc>
      </w:tr>
      <w:tr>
        <w:trPr>
          <w:trHeight w:val="229"/>
        </w:trPr>
        <w:tc>
          <w:tcPr>
            <w:tcW w:w="5740" w:type="dxa"/>
            <w:vAlign w:val="bottom"/>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210,497</w:t>
            </w:r>
          </w:p>
        </w:tc>
        <w:tc>
          <w:tcPr>
            <w:tcW w:w="1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255,481</w:t>
            </w: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179,756</w:t>
            </w:r>
          </w:p>
        </w:tc>
      </w:tr>
      <w:tr>
        <w:trPr>
          <w:trHeight w:val="210"/>
        </w:trPr>
        <w:tc>
          <w:tcPr>
            <w:tcW w:w="5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off-balance sheet arrangements</w:t>
            </w:r>
          </w:p>
        </w:tc>
        <w:tc>
          <w:tcPr>
            <w:tcW w:w="124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427,279</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424,801</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398,744</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5740" w:type="dxa"/>
            <w:vAlign w:val="bottom"/>
          </w:tcPr>
          <w:p>
            <w:pPr>
              <w:spacing w:after="0"/>
              <w:rPr>
                <w:sz w:val="20"/>
                <w:szCs w:val="20"/>
                <w:color w:val="auto"/>
              </w:rPr>
            </w:pPr>
            <w:r>
              <w:rPr>
                <w:rFonts w:ascii="Arial" w:cs="Arial" w:eastAsia="Arial" w:hAnsi="Arial"/>
                <w:sz w:val="18"/>
                <w:szCs w:val="18"/>
                <w:color w:val="auto"/>
              </w:rPr>
              <w:t>Credit commitments</w:t>
            </w:r>
          </w:p>
        </w:tc>
        <w:tc>
          <w:tcPr>
            <w:tcW w:w="12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color w:val="auto"/>
              </w:rPr>
              <w:t>137,619</w:t>
            </w:r>
          </w:p>
        </w:tc>
        <w:tc>
          <w:tcPr>
            <w:tcW w:w="1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8"/>
                <w:szCs w:val="18"/>
                <w:color w:val="auto"/>
              </w:rPr>
              <w:t>68,571</w:t>
            </w: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103,143</w:t>
            </w:r>
          </w:p>
        </w:tc>
      </w:tr>
      <w:tr>
        <w:trPr>
          <w:trHeight w:val="229"/>
        </w:trPr>
        <w:tc>
          <w:tcPr>
            <w:tcW w:w="5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loan commitments and financial guarantee contracts</w:t>
            </w:r>
          </w:p>
        </w:tc>
        <w:tc>
          <w:tcPr>
            <w:tcW w:w="1240" w:type="dxa"/>
            <w:vAlign w:val="bottom"/>
            <w:shd w:val="clear" w:color="auto" w:fill="CCEEFF"/>
          </w:tcPr>
          <w:p>
            <w:pPr>
              <w:spacing w:after="0"/>
              <w:rPr>
                <w:sz w:val="19"/>
                <w:szCs w:val="19"/>
                <w:color w:val="auto"/>
              </w:rPr>
            </w:pPr>
          </w:p>
        </w:tc>
        <w:tc>
          <w:tcPr>
            <w:tcW w:w="280" w:type="dxa"/>
            <w:vAlign w:val="bottom"/>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564,898</w:t>
            </w:r>
          </w:p>
        </w:tc>
        <w:tc>
          <w:tcPr>
            <w:tcW w:w="440" w:type="dxa"/>
            <w:vAlign w:val="bottom"/>
            <w:gridSpan w:val="2"/>
            <w:shd w:val="clear" w:color="auto" w:fill="CCEEFF"/>
          </w:tcPr>
          <w:p>
            <w:pPr>
              <w:ind w:left="180"/>
              <w:spacing w:after="0"/>
              <w:rPr>
                <w:sz w:val="20"/>
                <w:szCs w:val="20"/>
                <w:color w:val="auto"/>
              </w:rPr>
            </w:pPr>
            <w:r>
              <w:rPr>
                <w:rFonts w:ascii="Arial" w:cs="Arial" w:eastAsia="Arial" w:hAnsi="Arial"/>
                <w:sz w:val="18"/>
                <w:szCs w:val="18"/>
                <w:b w:val="1"/>
                <w:bCs w:val="1"/>
                <w:color w:val="auto"/>
              </w:rPr>
              <w:t>$</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493,372</w:t>
            </w:r>
          </w:p>
        </w:tc>
        <w:tc>
          <w:tcPr>
            <w:tcW w:w="3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501,887</w:t>
            </w:r>
          </w:p>
        </w:tc>
      </w:tr>
      <w:tr>
        <w:trPr>
          <w:trHeight w:val="20"/>
        </w:trPr>
        <w:tc>
          <w:tcPr>
            <w:tcW w:w="574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Fees and commission income from off-balance sheet arrangements amounted to $10 million for the year ended December 31, 2020, compared to $11 million and $13 million for the years ended December 31, 2019, and 2018, respectively.</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allowance for loan commitments and financial guarantee contracts losses reflects management’s estimates of expected credit losses on off-balance sheet items, and is recognized in the consolidated statement of financial position, with the resulting recovery or impairment loss recorded in the consolidated statement of profit or loss. As of December 31, 2020, total allowance for loan commitments and financial guarantee contracts losses amounted to $3 million, nearly unchanged compared to $3 million as of December 31, 2019 and compared to $3 million as of December 31, 2018.</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0" w:name="page91"/>
    <w:bookmarkEnd w:id="90"/>
    <w:p>
      <w:pPr>
        <w:ind w:left="460" w:hanging="452"/>
        <w:spacing w:after="0"/>
        <w:tabs>
          <w:tab w:leader="none" w:pos="46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Tabular Disclosure of Contractual Obligations</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tables set forth information regarding the Bank’s contractual obligations and commercial commitments as of December 31, 2020.</w:t>
      </w:r>
    </w:p>
    <w:p>
      <w:pPr>
        <w:spacing w:after="0" w:line="237"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20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3580" w:type="dxa"/>
            <w:vAlign w:val="bottom"/>
            <w:tcBorders>
              <w:bottom w:val="single" w:sz="8" w:color="auto"/>
            </w:tcBorders>
            <w:gridSpan w:val="8"/>
          </w:tcPr>
          <w:p>
            <w:pPr>
              <w:ind w:left="800"/>
              <w:spacing w:after="0"/>
              <w:rPr>
                <w:sz w:val="20"/>
                <w:szCs w:val="20"/>
                <w:color w:val="auto"/>
              </w:rPr>
            </w:pPr>
            <w:r>
              <w:rPr>
                <w:rFonts w:ascii="Arial" w:cs="Arial" w:eastAsia="Arial" w:hAnsi="Arial"/>
                <w:sz w:val="16"/>
                <w:szCs w:val="16"/>
                <w:b w:val="1"/>
                <w:bCs w:val="1"/>
                <w:color w:val="auto"/>
              </w:rPr>
              <w:t>Payments Due by Period</w:t>
            </w: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r>
      <w:tr>
        <w:trPr>
          <w:trHeight w:val="185"/>
        </w:trPr>
        <w:tc>
          <w:tcPr>
            <w:tcW w:w="5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88"/>
              </w:rPr>
              <w:t>Less than 1</w:t>
            </w: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gridSpan w:val="3"/>
          </w:tcPr>
          <w:p>
            <w:pPr>
              <w:ind w:left="20"/>
              <w:spacing w:after="0"/>
              <w:rPr>
                <w:sz w:val="20"/>
                <w:szCs w:val="20"/>
                <w:color w:val="auto"/>
              </w:rPr>
            </w:pPr>
            <w:r>
              <w:rPr>
                <w:rFonts w:ascii="Arial" w:cs="Arial" w:eastAsia="Arial" w:hAnsi="Arial"/>
                <w:sz w:val="16"/>
                <w:szCs w:val="16"/>
                <w:b w:val="1"/>
                <w:bCs w:val="1"/>
                <w:color w:val="auto"/>
              </w:rPr>
              <w:t>More than 5</w:t>
            </w:r>
          </w:p>
        </w:tc>
      </w:tr>
      <w:tr>
        <w:trPr>
          <w:trHeight w:val="213"/>
        </w:trPr>
        <w:tc>
          <w:tcPr>
            <w:tcW w:w="5200" w:type="dxa"/>
            <w:vAlign w:val="bottom"/>
          </w:tcPr>
          <w:p>
            <w:pPr>
              <w:spacing w:after="0"/>
              <w:rPr>
                <w:sz w:val="20"/>
                <w:szCs w:val="20"/>
                <w:color w:val="auto"/>
              </w:rPr>
            </w:pPr>
            <w:r>
              <w:rPr>
                <w:rFonts w:ascii="Arial" w:cs="Arial" w:eastAsia="Arial" w:hAnsi="Arial"/>
                <w:sz w:val="16"/>
                <w:szCs w:val="16"/>
                <w:b w:val="1"/>
                <w:bCs w:val="1"/>
                <w:color w:val="auto"/>
              </w:rPr>
              <w:t>Contractual Obligations</w:t>
            </w:r>
          </w:p>
        </w:tc>
        <w:tc>
          <w:tcPr>
            <w:tcW w:w="2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Total</w:t>
            </w:r>
          </w:p>
        </w:tc>
        <w:tc>
          <w:tcPr>
            <w:tcW w:w="24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jc w:val="center"/>
              <w:ind w:right="19"/>
              <w:spacing w:after="0"/>
              <w:rPr>
                <w:sz w:val="20"/>
                <w:szCs w:val="20"/>
                <w:color w:val="auto"/>
              </w:rPr>
            </w:pPr>
            <w:r>
              <w:rPr>
                <w:rFonts w:ascii="Arial" w:cs="Arial" w:eastAsia="Arial" w:hAnsi="Arial"/>
                <w:sz w:val="16"/>
                <w:szCs w:val="16"/>
                <w:b w:val="1"/>
                <w:bCs w:val="1"/>
                <w:color w:val="auto"/>
                <w:w w:val="91"/>
              </w:rPr>
              <w:t>year</w:t>
            </w:r>
          </w:p>
        </w:tc>
        <w:tc>
          <w:tcPr>
            <w:tcW w:w="22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90"/>
              </w:rPr>
              <w:t>1 – 3 years</w:t>
            </w:r>
          </w:p>
        </w:tc>
        <w:tc>
          <w:tcPr>
            <w:tcW w:w="22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90"/>
              </w:rPr>
              <w:t>3 – 5 years</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Borders>
              <w:bottom w:val="single" w:sz="8" w:color="auto"/>
            </w:tcBorders>
          </w:tcPr>
          <w:p>
            <w:pPr>
              <w:jc w:val="right"/>
              <w:ind w:right="179"/>
              <w:spacing w:after="0"/>
              <w:rPr>
                <w:sz w:val="20"/>
                <w:szCs w:val="20"/>
                <w:color w:val="auto"/>
              </w:rPr>
            </w:pPr>
            <w:r>
              <w:rPr>
                <w:rFonts w:ascii="Arial" w:cs="Arial" w:eastAsia="Arial" w:hAnsi="Arial"/>
                <w:sz w:val="16"/>
                <w:szCs w:val="16"/>
                <w:b w:val="1"/>
                <w:bCs w:val="1"/>
                <w:color w:val="auto"/>
              </w:rPr>
              <w:t>years</w:t>
            </w:r>
          </w:p>
        </w:tc>
        <w:tc>
          <w:tcPr>
            <w:tcW w:w="100" w:type="dxa"/>
            <w:vAlign w:val="bottom"/>
            <w:gridSpan w:val="2"/>
          </w:tcPr>
          <w:p>
            <w:pPr>
              <w:spacing w:after="0"/>
              <w:rPr>
                <w:sz w:val="18"/>
                <w:szCs w:val="18"/>
                <w:color w:val="auto"/>
              </w:rPr>
            </w:pPr>
          </w:p>
        </w:tc>
      </w:tr>
      <w:tr>
        <w:trPr>
          <w:trHeight w:val="209"/>
        </w:trPr>
        <w:tc>
          <w:tcPr>
            <w:tcW w:w="5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360" w:type="dxa"/>
            <w:vAlign w:val="bottom"/>
            <w:gridSpan w:val="5"/>
          </w:tcPr>
          <w:p>
            <w:pPr>
              <w:jc w:val="right"/>
              <w:ind w:right="900"/>
              <w:spacing w:after="0"/>
              <w:rPr>
                <w:sz w:val="20"/>
                <w:szCs w:val="20"/>
                <w:color w:val="auto"/>
              </w:rPr>
            </w:pPr>
            <w:r>
              <w:rPr>
                <w:rFonts w:ascii="Arial" w:cs="Arial" w:eastAsia="Arial" w:hAnsi="Arial"/>
                <w:sz w:val="16"/>
                <w:szCs w:val="16"/>
                <w:color w:val="auto"/>
              </w:rPr>
              <w:t>(in $ millions)</w:t>
            </w: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6"/>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Deposits</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3,139</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3,132</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7</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r>
      <w:tr>
        <w:trPr>
          <w:trHeight w:val="203"/>
        </w:trPr>
        <w:tc>
          <w:tcPr>
            <w:tcW w:w="5200" w:type="dxa"/>
            <w:vAlign w:val="bottom"/>
          </w:tcPr>
          <w:p>
            <w:pPr>
              <w:spacing w:after="0"/>
              <w:rPr>
                <w:sz w:val="20"/>
                <w:szCs w:val="20"/>
                <w:color w:val="auto"/>
              </w:rPr>
            </w:pPr>
            <w:r>
              <w:rPr>
                <w:rFonts w:ascii="Arial" w:cs="Arial" w:eastAsia="Arial" w:hAnsi="Arial"/>
                <w:sz w:val="16"/>
                <w:szCs w:val="16"/>
                <w:color w:val="auto"/>
              </w:rPr>
              <w:t>Securities sold under repurchase agreements</w:t>
            </w:r>
          </w:p>
        </w:tc>
        <w:tc>
          <w:tcPr>
            <w:tcW w:w="200" w:type="dxa"/>
            <w:vAlign w:val="bottom"/>
          </w:tcPr>
          <w:p>
            <w:pPr>
              <w:spacing w:after="0"/>
              <w:rPr>
                <w:sz w:val="17"/>
                <w:szCs w:val="17"/>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11</w:t>
            </w:r>
          </w:p>
        </w:tc>
        <w:tc>
          <w:tcPr>
            <w:tcW w:w="100" w:type="dxa"/>
            <w:vAlign w:val="bottom"/>
          </w:tcPr>
          <w:p>
            <w:pPr>
              <w:spacing w:after="0"/>
              <w:rPr>
                <w:sz w:val="17"/>
                <w:szCs w:val="17"/>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11</w:t>
            </w:r>
          </w:p>
        </w:tc>
        <w:tc>
          <w:tcPr>
            <w:tcW w:w="100" w:type="dxa"/>
            <w:vAlign w:val="bottom"/>
          </w:tcPr>
          <w:p>
            <w:pPr>
              <w:spacing w:after="0"/>
              <w:rPr>
                <w:sz w:val="17"/>
                <w:szCs w:val="17"/>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7"/>
                <w:szCs w:val="17"/>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7"/>
                <w:szCs w:val="17"/>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7"/>
                <w:szCs w:val="17"/>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Short-term borrowings and debt</w:t>
            </w:r>
          </w:p>
        </w:tc>
        <w:tc>
          <w:tcPr>
            <w:tcW w:w="20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381</w:t>
            </w:r>
          </w:p>
        </w:tc>
        <w:tc>
          <w:tcPr>
            <w:tcW w:w="10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381</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r>
      <w:tr>
        <w:trPr>
          <w:trHeight w:val="243"/>
        </w:trPr>
        <w:tc>
          <w:tcPr>
            <w:tcW w:w="5200" w:type="dxa"/>
            <w:vAlign w:val="bottom"/>
          </w:tcPr>
          <w:p>
            <w:pPr>
              <w:spacing w:after="0" w:line="243" w:lineRule="exact"/>
              <w:rPr>
                <w:sz w:val="20"/>
                <w:szCs w:val="20"/>
                <w:color w:val="auto"/>
              </w:rPr>
            </w:pPr>
            <w:r>
              <w:rPr>
                <w:rFonts w:ascii="Arial" w:cs="Arial" w:eastAsia="Arial" w:hAnsi="Arial"/>
                <w:sz w:val="16"/>
                <w:szCs w:val="16"/>
                <w:color w:val="auto"/>
              </w:rPr>
              <w:t xml:space="preserve">Long-term borrowings and debt </w:t>
            </w:r>
            <w:r>
              <w:rPr>
                <w:rFonts w:ascii="Arial" w:cs="Arial" w:eastAsia="Arial" w:hAnsi="Arial"/>
                <w:sz w:val="26"/>
                <w:szCs w:val="26"/>
                <w:color w:val="auto"/>
                <w:vertAlign w:val="superscript"/>
              </w:rPr>
              <w:t>(1)</w:t>
            </w:r>
          </w:p>
        </w:tc>
        <w:tc>
          <w:tcPr>
            <w:tcW w:w="200" w:type="dxa"/>
            <w:vAlign w:val="bottom"/>
          </w:tcPr>
          <w:p>
            <w:pPr>
              <w:spacing w:after="0"/>
              <w:rPr>
                <w:sz w:val="21"/>
                <w:szCs w:val="21"/>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1,593</w:t>
            </w:r>
          </w:p>
        </w:tc>
        <w:tc>
          <w:tcPr>
            <w:tcW w:w="100" w:type="dxa"/>
            <w:vAlign w:val="bottom"/>
          </w:tcPr>
          <w:p>
            <w:pPr>
              <w:spacing w:after="0"/>
              <w:rPr>
                <w:sz w:val="21"/>
                <w:szCs w:val="21"/>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252</w:t>
            </w:r>
          </w:p>
        </w:tc>
        <w:tc>
          <w:tcPr>
            <w:tcW w:w="100" w:type="dxa"/>
            <w:vAlign w:val="bottom"/>
          </w:tcPr>
          <w:p>
            <w:pPr>
              <w:spacing w:after="0"/>
              <w:rPr>
                <w:sz w:val="21"/>
                <w:szCs w:val="21"/>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634</w:t>
            </w:r>
          </w:p>
        </w:tc>
        <w:tc>
          <w:tcPr>
            <w:tcW w:w="100" w:type="dxa"/>
            <w:vAlign w:val="bottom"/>
          </w:tcPr>
          <w:p>
            <w:pPr>
              <w:spacing w:after="0"/>
              <w:rPr>
                <w:sz w:val="21"/>
                <w:szCs w:val="21"/>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683</w:t>
            </w:r>
          </w:p>
        </w:tc>
        <w:tc>
          <w:tcPr>
            <w:tcW w:w="100" w:type="dxa"/>
            <w:vAlign w:val="bottom"/>
          </w:tcPr>
          <w:p>
            <w:pPr>
              <w:spacing w:after="0"/>
              <w:rPr>
                <w:sz w:val="21"/>
                <w:szCs w:val="21"/>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24</w:t>
            </w:r>
          </w:p>
        </w:tc>
        <w:tc>
          <w:tcPr>
            <w:tcW w:w="80" w:type="dxa"/>
            <w:vAlign w:val="bottom"/>
          </w:tcPr>
          <w:p>
            <w:pPr>
              <w:spacing w:after="0"/>
              <w:rPr>
                <w:sz w:val="21"/>
                <w:szCs w:val="21"/>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Accrued interest payable</w:t>
            </w:r>
          </w:p>
        </w:tc>
        <w:tc>
          <w:tcPr>
            <w:tcW w:w="20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11</w:t>
            </w:r>
          </w:p>
        </w:tc>
        <w:tc>
          <w:tcPr>
            <w:tcW w:w="10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11</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10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r>
      <w:tr>
        <w:trPr>
          <w:trHeight w:val="243"/>
        </w:trPr>
        <w:tc>
          <w:tcPr>
            <w:tcW w:w="5200" w:type="dxa"/>
            <w:vAlign w:val="bottom"/>
          </w:tcPr>
          <w:p>
            <w:pPr>
              <w:spacing w:after="0" w:line="243" w:lineRule="exact"/>
              <w:rPr>
                <w:sz w:val="20"/>
                <w:szCs w:val="20"/>
                <w:color w:val="auto"/>
              </w:rPr>
            </w:pPr>
            <w:r>
              <w:rPr>
                <w:rFonts w:ascii="Arial" w:cs="Arial" w:eastAsia="Arial" w:hAnsi="Arial"/>
                <w:sz w:val="16"/>
                <w:szCs w:val="16"/>
                <w:color w:val="auto"/>
              </w:rPr>
              <w:t xml:space="preserve">Future contractual interest payable, not yet accrued </w:t>
            </w:r>
            <w:r>
              <w:rPr>
                <w:rFonts w:ascii="Arial" w:cs="Arial" w:eastAsia="Arial" w:hAnsi="Arial"/>
                <w:sz w:val="26"/>
                <w:szCs w:val="26"/>
                <w:color w:val="auto"/>
                <w:vertAlign w:val="superscript"/>
              </w:rPr>
              <w:t>(2)</w:t>
            </w:r>
          </w:p>
        </w:tc>
        <w:tc>
          <w:tcPr>
            <w:tcW w:w="200" w:type="dxa"/>
            <w:vAlign w:val="bottom"/>
          </w:tcPr>
          <w:p>
            <w:pPr>
              <w:spacing w:after="0"/>
              <w:rPr>
                <w:sz w:val="21"/>
                <w:szCs w:val="21"/>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113</w:t>
            </w:r>
          </w:p>
        </w:tc>
        <w:tc>
          <w:tcPr>
            <w:tcW w:w="100" w:type="dxa"/>
            <w:vAlign w:val="bottom"/>
          </w:tcPr>
          <w:p>
            <w:pPr>
              <w:spacing w:after="0"/>
              <w:rPr>
                <w:sz w:val="21"/>
                <w:szCs w:val="21"/>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10</w:t>
            </w:r>
          </w:p>
        </w:tc>
        <w:tc>
          <w:tcPr>
            <w:tcW w:w="100" w:type="dxa"/>
            <w:vAlign w:val="bottom"/>
          </w:tcPr>
          <w:p>
            <w:pPr>
              <w:spacing w:after="0"/>
              <w:rPr>
                <w:sz w:val="21"/>
                <w:szCs w:val="21"/>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23</w:t>
            </w:r>
          </w:p>
        </w:tc>
        <w:tc>
          <w:tcPr>
            <w:tcW w:w="100" w:type="dxa"/>
            <w:vAlign w:val="bottom"/>
          </w:tcPr>
          <w:p>
            <w:pPr>
              <w:spacing w:after="0"/>
              <w:rPr>
                <w:sz w:val="21"/>
                <w:szCs w:val="21"/>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77</w:t>
            </w:r>
          </w:p>
        </w:tc>
        <w:tc>
          <w:tcPr>
            <w:tcW w:w="100" w:type="dxa"/>
            <w:vAlign w:val="bottom"/>
          </w:tcPr>
          <w:p>
            <w:pPr>
              <w:spacing w:after="0"/>
              <w:rPr>
                <w:sz w:val="21"/>
                <w:szCs w:val="21"/>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6"/>
                <w:szCs w:val="16"/>
                <w:color w:val="auto"/>
              </w:rPr>
              <w:t>3</w:t>
            </w:r>
          </w:p>
        </w:tc>
        <w:tc>
          <w:tcPr>
            <w:tcW w:w="80" w:type="dxa"/>
            <w:vAlign w:val="bottom"/>
          </w:tcPr>
          <w:p>
            <w:pPr>
              <w:spacing w:after="0"/>
              <w:rPr>
                <w:sz w:val="21"/>
                <w:szCs w:val="21"/>
                <w:color w:val="auto"/>
              </w:rPr>
            </w:pP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Leasehold obligations</w:t>
            </w:r>
          </w:p>
        </w:tc>
        <w:tc>
          <w:tcPr>
            <w:tcW w:w="20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19</w:t>
            </w:r>
          </w:p>
        </w:tc>
        <w:tc>
          <w:tcPr>
            <w:tcW w:w="100" w:type="dxa"/>
            <w:vAlign w:val="bottom"/>
            <w:shd w:val="clear" w:color="auto" w:fill="CCEEFF"/>
          </w:tcPr>
          <w:p>
            <w:pPr>
              <w:spacing w:after="0"/>
              <w:rPr>
                <w:sz w:val="17"/>
                <w:szCs w:val="17"/>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w:t>
            </w: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w:t>
            </w:r>
          </w:p>
        </w:tc>
        <w:tc>
          <w:tcPr>
            <w:tcW w:w="100" w:type="dxa"/>
            <w:vAlign w:val="bottom"/>
            <w:shd w:val="clear" w:color="auto" w:fill="CCEEFF"/>
          </w:tcPr>
          <w:p>
            <w:pPr>
              <w:spacing w:after="0"/>
              <w:rPr>
                <w:sz w:val="17"/>
                <w:szCs w:val="17"/>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10</w:t>
            </w:r>
          </w:p>
        </w:tc>
        <w:tc>
          <w:tcPr>
            <w:tcW w:w="80" w:type="dxa"/>
            <w:vAlign w:val="bottom"/>
            <w:shd w:val="clear" w:color="auto" w:fill="CCEEFF"/>
          </w:tcPr>
          <w:p>
            <w:pPr>
              <w:spacing w:after="0"/>
              <w:rPr>
                <w:sz w:val="17"/>
                <w:szCs w:val="17"/>
                <w:color w:val="auto"/>
              </w:rPr>
            </w:pPr>
          </w:p>
        </w:tc>
      </w:tr>
      <w:tr>
        <w:trPr>
          <w:trHeight w:val="196"/>
        </w:trPr>
        <w:tc>
          <w:tcPr>
            <w:tcW w:w="5200" w:type="dxa"/>
            <w:vAlign w:val="bottom"/>
          </w:tcPr>
          <w:p>
            <w:pPr>
              <w:ind w:left="180"/>
              <w:spacing w:after="0"/>
              <w:rPr>
                <w:sz w:val="20"/>
                <w:szCs w:val="20"/>
                <w:color w:val="auto"/>
              </w:rPr>
            </w:pPr>
            <w:r>
              <w:rPr>
                <w:rFonts w:ascii="Arial" w:cs="Arial" w:eastAsia="Arial" w:hAnsi="Arial"/>
                <w:sz w:val="16"/>
                <w:szCs w:val="16"/>
                <w:b w:val="1"/>
                <w:bCs w:val="1"/>
                <w:color w:val="auto"/>
              </w:rPr>
              <w:t>Total contractual obligations</w:t>
            </w:r>
          </w:p>
        </w:tc>
        <w:tc>
          <w:tcPr>
            <w:tcW w:w="200" w:type="dxa"/>
            <w:vAlign w:val="bottom"/>
            <w:tcBorders>
              <w:top w:val="single" w:sz="8" w:color="auto"/>
              <w:bottom w:val="single" w:sz="8" w:color="auto"/>
            </w:tcBorders>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5,267</w:t>
            </w:r>
          </w:p>
        </w:tc>
        <w:tc>
          <w:tcPr>
            <w:tcW w:w="24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3,798</w:t>
            </w:r>
          </w:p>
        </w:tc>
        <w:tc>
          <w:tcPr>
            <w:tcW w:w="2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667</w:t>
            </w:r>
          </w:p>
        </w:tc>
        <w:tc>
          <w:tcPr>
            <w:tcW w:w="2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765</w:t>
            </w:r>
          </w:p>
        </w:tc>
        <w:tc>
          <w:tcPr>
            <w:tcW w:w="220" w:type="dxa"/>
            <w:vAlign w:val="bottom"/>
          </w:tcPr>
          <w:p>
            <w:pPr>
              <w:spacing w:after="0"/>
              <w:rPr>
                <w:sz w:val="17"/>
                <w:szCs w:val="17"/>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37</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52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Gross of prepaid commissions of $7.7 million as of December 31, 2020. Certain debt obligations are subject to covenants that could accelerate the payment of these obligations.</w:t>
      </w:r>
    </w:p>
    <w:p>
      <w:pPr>
        <w:jc w:val="both"/>
        <w:ind w:left="340" w:hanging="332"/>
        <w:spacing w:after="0" w:line="204" w:lineRule="auto"/>
        <w:tabs>
          <w:tab w:leader="none" w:pos="340" w:val="left"/>
        </w:tabs>
        <w:numPr>
          <w:ilvl w:val="0"/>
          <w:numId w:val="60"/>
        </w:numPr>
        <w:rPr>
          <w:rFonts w:ascii="Arial" w:cs="Arial" w:eastAsia="Arial" w:hAnsi="Arial"/>
          <w:sz w:val="30"/>
          <w:szCs w:val="30"/>
          <w:color w:val="auto"/>
          <w:vertAlign w:val="superscript"/>
        </w:rPr>
      </w:pPr>
      <w:r>
        <w:rPr>
          <w:rFonts w:ascii="Arial" w:cs="Arial" w:eastAsia="Arial" w:hAnsi="Arial"/>
          <w:sz w:val="18"/>
          <w:szCs w:val="18"/>
          <w:color w:val="auto"/>
        </w:rPr>
        <w:t>Consists of future interest payable on interest-bearing liabilities and their hedges, calculated on the basis of their respective interest rates as of December 31, 2020 for the days remaining to maturity. Some of these obligations have floating interest rates which could fluctuate in the future and hence change the value of interest payable accordingly.</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5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60" w:type="dxa"/>
            <w:vAlign w:val="bottom"/>
            <w:gridSpan w:val="7"/>
          </w:tcPr>
          <w:p>
            <w:pPr>
              <w:spacing w:after="0"/>
              <w:rPr>
                <w:sz w:val="20"/>
                <w:szCs w:val="20"/>
                <w:color w:val="auto"/>
              </w:rPr>
            </w:pPr>
            <w:r>
              <w:rPr>
                <w:rFonts w:ascii="Arial" w:cs="Arial" w:eastAsia="Arial" w:hAnsi="Arial"/>
                <w:sz w:val="16"/>
                <w:szCs w:val="16"/>
                <w:b w:val="1"/>
                <w:bCs w:val="1"/>
                <w:color w:val="auto"/>
                <w:w w:val="94"/>
              </w:rPr>
              <w:t>Amount of Commitment Expiration by Period</w:t>
            </w: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03"/>
        </w:trPr>
        <w:tc>
          <w:tcPr>
            <w:tcW w:w="5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ind w:left="20"/>
              <w:spacing w:after="0"/>
              <w:rPr>
                <w:sz w:val="20"/>
                <w:szCs w:val="20"/>
                <w:color w:val="auto"/>
              </w:rPr>
            </w:pPr>
            <w:r>
              <w:rPr>
                <w:rFonts w:ascii="Arial" w:cs="Arial" w:eastAsia="Arial" w:hAnsi="Arial"/>
                <w:sz w:val="16"/>
                <w:szCs w:val="16"/>
                <w:b w:val="1"/>
                <w:bCs w:val="1"/>
                <w:color w:val="auto"/>
              </w:rPr>
              <w:t>Less than 1</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00" w:type="dxa"/>
            <w:vAlign w:val="bottom"/>
            <w:gridSpan w:val="3"/>
          </w:tcPr>
          <w:p>
            <w:pPr>
              <w:ind w:left="60"/>
              <w:spacing w:after="0"/>
              <w:rPr>
                <w:sz w:val="20"/>
                <w:szCs w:val="20"/>
                <w:color w:val="auto"/>
              </w:rPr>
            </w:pPr>
            <w:r>
              <w:rPr>
                <w:rFonts w:ascii="Arial" w:cs="Arial" w:eastAsia="Arial" w:hAnsi="Arial"/>
                <w:sz w:val="16"/>
                <w:szCs w:val="16"/>
                <w:b w:val="1"/>
                <w:bCs w:val="1"/>
                <w:color w:val="auto"/>
              </w:rPr>
              <w:t>More than 5</w:t>
            </w:r>
          </w:p>
        </w:tc>
      </w:tr>
      <w:tr>
        <w:trPr>
          <w:trHeight w:val="213"/>
        </w:trPr>
        <w:tc>
          <w:tcPr>
            <w:tcW w:w="5200" w:type="dxa"/>
            <w:vAlign w:val="bottom"/>
          </w:tcPr>
          <w:p>
            <w:pPr>
              <w:spacing w:after="0"/>
              <w:rPr>
                <w:sz w:val="20"/>
                <w:szCs w:val="20"/>
                <w:color w:val="auto"/>
              </w:rPr>
            </w:pPr>
            <w:r>
              <w:rPr>
                <w:rFonts w:ascii="Arial" w:cs="Arial" w:eastAsia="Arial" w:hAnsi="Arial"/>
                <w:sz w:val="16"/>
                <w:szCs w:val="16"/>
                <w:b w:val="1"/>
                <w:bCs w:val="1"/>
                <w:color w:val="auto"/>
              </w:rPr>
              <w:t>Other Commercial Commitments</w:t>
            </w:r>
          </w:p>
        </w:tc>
        <w:tc>
          <w:tcPr>
            <w:tcW w:w="2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jc w:val="right"/>
              <w:ind w:right="259"/>
              <w:spacing w:after="0"/>
              <w:rPr>
                <w:sz w:val="20"/>
                <w:szCs w:val="20"/>
                <w:color w:val="auto"/>
              </w:rPr>
            </w:pPr>
            <w:r>
              <w:rPr>
                <w:rFonts w:ascii="Arial" w:cs="Arial" w:eastAsia="Arial" w:hAnsi="Arial"/>
                <w:sz w:val="16"/>
                <w:szCs w:val="16"/>
                <w:b w:val="1"/>
                <w:bCs w:val="1"/>
                <w:color w:val="auto"/>
              </w:rPr>
              <w:t>Total</w:t>
            </w:r>
          </w:p>
        </w:tc>
        <w:tc>
          <w:tcPr>
            <w:tcW w:w="24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20" w:type="dxa"/>
            <w:vAlign w:val="bottom"/>
            <w:tcBorders>
              <w:bottom w:val="single" w:sz="8" w:color="auto"/>
            </w:tcBorders>
          </w:tcPr>
          <w:p>
            <w:pPr>
              <w:ind w:left="260"/>
              <w:spacing w:after="0"/>
              <w:rPr>
                <w:sz w:val="20"/>
                <w:szCs w:val="20"/>
                <w:color w:val="auto"/>
              </w:rPr>
            </w:pPr>
            <w:r>
              <w:rPr>
                <w:rFonts w:ascii="Arial" w:cs="Arial" w:eastAsia="Arial" w:hAnsi="Arial"/>
                <w:sz w:val="16"/>
                <w:szCs w:val="16"/>
                <w:b w:val="1"/>
                <w:bCs w:val="1"/>
                <w:color w:val="auto"/>
              </w:rPr>
              <w:t>year</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w w:val="90"/>
              </w:rPr>
              <w:t>1 – 3 years</w:t>
            </w:r>
          </w:p>
        </w:tc>
        <w:tc>
          <w:tcPr>
            <w:tcW w:w="220" w:type="dxa"/>
            <w:vAlign w:val="bottom"/>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 – 5 years</w:t>
            </w:r>
          </w:p>
        </w:tc>
        <w:tc>
          <w:tcPr>
            <w:tcW w:w="10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years</w:t>
            </w:r>
          </w:p>
        </w:tc>
        <w:tc>
          <w:tcPr>
            <w:tcW w:w="100" w:type="dxa"/>
            <w:vAlign w:val="bottom"/>
          </w:tcPr>
          <w:p>
            <w:pPr>
              <w:spacing w:after="0"/>
              <w:rPr>
                <w:sz w:val="18"/>
                <w:szCs w:val="18"/>
                <w:color w:val="auto"/>
              </w:rPr>
            </w:pPr>
          </w:p>
        </w:tc>
      </w:tr>
      <w:tr>
        <w:trPr>
          <w:trHeight w:val="210"/>
        </w:trPr>
        <w:tc>
          <w:tcPr>
            <w:tcW w:w="5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gridSpan w:val="4"/>
          </w:tcPr>
          <w:p>
            <w:pPr>
              <w:ind w:left="100"/>
              <w:spacing w:after="0"/>
              <w:rPr>
                <w:sz w:val="20"/>
                <w:szCs w:val="20"/>
                <w:color w:val="auto"/>
              </w:rPr>
            </w:pPr>
            <w:r>
              <w:rPr>
                <w:rFonts w:ascii="Arial" w:cs="Arial" w:eastAsia="Arial" w:hAnsi="Arial"/>
                <w:sz w:val="16"/>
                <w:szCs w:val="16"/>
                <w:color w:val="auto"/>
              </w:rPr>
              <w:t>(in $ millions)</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60"/>
        </w:trPr>
        <w:tc>
          <w:tcPr>
            <w:tcW w:w="5200" w:type="dxa"/>
            <w:vAlign w:val="bottom"/>
            <w:shd w:val="clear" w:color="auto" w:fill="CCEEFF"/>
          </w:tcPr>
          <w:p>
            <w:pPr>
              <w:spacing w:after="0" w:line="259" w:lineRule="exact"/>
              <w:rPr>
                <w:sz w:val="20"/>
                <w:szCs w:val="20"/>
                <w:color w:val="auto"/>
              </w:rPr>
            </w:pPr>
            <w:r>
              <w:rPr>
                <w:rFonts w:ascii="Arial" w:cs="Arial" w:eastAsia="Arial" w:hAnsi="Arial"/>
                <w:sz w:val="18"/>
                <w:szCs w:val="18"/>
                <w:color w:val="auto"/>
              </w:rPr>
              <w:t xml:space="preserve">Letters of credit </w:t>
            </w:r>
            <w:r>
              <w:rPr>
                <w:rFonts w:ascii="Arial" w:cs="Arial" w:eastAsia="Arial" w:hAnsi="Arial"/>
                <w:sz w:val="29"/>
                <w:szCs w:val="29"/>
                <w:color w:val="auto"/>
                <w:vertAlign w:val="superscript"/>
              </w:rPr>
              <w:t>(4)</w:t>
            </w:r>
          </w:p>
        </w:tc>
        <w:tc>
          <w:tcPr>
            <w:tcW w:w="200" w:type="dxa"/>
            <w:vAlign w:val="bottom"/>
            <w:shd w:val="clear" w:color="auto" w:fill="CCEEFF"/>
          </w:tcPr>
          <w:p>
            <w:pPr>
              <w:jc w:val="right"/>
              <w:ind w:right="44"/>
              <w:spacing w:after="0"/>
              <w:rPr>
                <w:sz w:val="20"/>
                <w:szCs w:val="20"/>
                <w:color w:val="auto"/>
              </w:rPr>
            </w:pPr>
            <w:r>
              <w:rPr>
                <w:rFonts w:ascii="Arial" w:cs="Arial" w:eastAsia="Arial" w:hAnsi="Arial"/>
                <w:sz w:val="15"/>
                <w:szCs w:val="15"/>
                <w:color w:val="auto"/>
                <w:w w:val="71"/>
              </w:rPr>
              <w:t>$</w:t>
            </w: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291</w:t>
            </w:r>
          </w:p>
        </w:tc>
        <w:tc>
          <w:tcPr>
            <w:tcW w:w="10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291</w:t>
            </w:r>
          </w:p>
        </w:tc>
        <w:tc>
          <w:tcPr>
            <w:tcW w:w="200" w:type="dxa"/>
            <w:vAlign w:val="bottom"/>
            <w:gridSpan w:val="2"/>
            <w:shd w:val="clear" w:color="auto" w:fill="CCEEFF"/>
          </w:tcPr>
          <w:p>
            <w:pPr>
              <w:ind w:left="100"/>
              <w:spacing w:after="0"/>
              <w:rPr>
                <w:sz w:val="20"/>
                <w:szCs w:val="20"/>
                <w:color w:val="auto"/>
              </w:rPr>
            </w:pPr>
            <w:r>
              <w:rPr>
                <w:rFonts w:ascii="Arial" w:cs="Arial" w:eastAsia="Arial" w:hAnsi="Arial"/>
                <w:sz w:val="16"/>
                <w:szCs w:val="16"/>
                <w:color w:val="auto"/>
                <w:w w:val="89"/>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900" w:type="dxa"/>
            <w:vAlign w:val="bottom"/>
            <w:shd w:val="clear" w:color="auto" w:fill="CCEEFF"/>
          </w:tcPr>
          <w:p>
            <w:pPr>
              <w:jc w:val="right"/>
              <w:ind w:right="742"/>
              <w:spacing w:after="0"/>
              <w:rPr>
                <w:sz w:val="20"/>
                <w:szCs w:val="20"/>
                <w:color w:val="auto"/>
              </w:rPr>
            </w:pPr>
            <w:r>
              <w:rPr>
                <w:rFonts w:ascii="Arial" w:cs="Arial" w:eastAsia="Arial" w:hAnsi="Arial"/>
                <w:sz w:val="15"/>
                <w:szCs w:val="15"/>
                <w:color w:val="auto"/>
                <w:w w:val="71"/>
              </w:rPr>
              <w:t>$</w:t>
            </w:r>
          </w:p>
        </w:tc>
        <w:tc>
          <w:tcPr>
            <w:tcW w:w="3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89"/>
              </w:rPr>
              <w:t>0</w:t>
            </w:r>
          </w:p>
        </w:tc>
        <w:tc>
          <w:tcPr>
            <w:tcW w:w="200" w:type="dxa"/>
            <w:vAlign w:val="bottom"/>
            <w:shd w:val="clear" w:color="auto" w:fill="CCEEFF"/>
          </w:tcPr>
          <w:p>
            <w:pPr>
              <w:jc w:val="right"/>
              <w:ind w:right="42"/>
              <w:spacing w:after="0"/>
              <w:rPr>
                <w:sz w:val="20"/>
                <w:szCs w:val="20"/>
                <w:color w:val="auto"/>
              </w:rPr>
            </w:pPr>
            <w:r>
              <w:rPr>
                <w:rFonts w:ascii="Arial" w:cs="Arial" w:eastAsia="Arial" w:hAnsi="Arial"/>
                <w:sz w:val="15"/>
                <w:szCs w:val="15"/>
                <w:color w:val="auto"/>
                <w:w w:val="71"/>
              </w:rPr>
              <w:t>$</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w:t>
            </w:r>
          </w:p>
        </w:tc>
      </w:tr>
      <w:tr>
        <w:trPr>
          <w:trHeight w:val="203"/>
        </w:trPr>
        <w:tc>
          <w:tcPr>
            <w:tcW w:w="5200" w:type="dxa"/>
            <w:vAlign w:val="bottom"/>
          </w:tcPr>
          <w:p>
            <w:pPr>
              <w:spacing w:after="0"/>
              <w:rPr>
                <w:sz w:val="20"/>
                <w:szCs w:val="20"/>
                <w:color w:val="auto"/>
              </w:rPr>
            </w:pPr>
            <w:r>
              <w:rPr>
                <w:rFonts w:ascii="Arial" w:cs="Arial" w:eastAsia="Arial" w:hAnsi="Arial"/>
                <w:sz w:val="16"/>
                <w:szCs w:val="16"/>
                <w:color w:val="auto"/>
              </w:rPr>
              <w:t>Stand-by letters of credit</w:t>
            </w:r>
          </w:p>
        </w:tc>
        <w:tc>
          <w:tcPr>
            <w:tcW w:w="200" w:type="dxa"/>
            <w:vAlign w:val="bottom"/>
          </w:tcPr>
          <w:p>
            <w:pPr>
              <w:spacing w:after="0"/>
              <w:rPr>
                <w:sz w:val="17"/>
                <w:szCs w:val="17"/>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160</w:t>
            </w:r>
          </w:p>
        </w:tc>
        <w:tc>
          <w:tcPr>
            <w:tcW w:w="100" w:type="dxa"/>
            <w:vAlign w:val="bottom"/>
          </w:tcPr>
          <w:p>
            <w:pPr>
              <w:spacing w:after="0"/>
              <w:rPr>
                <w:sz w:val="17"/>
                <w:szCs w:val="17"/>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6"/>
                <w:szCs w:val="16"/>
                <w:color w:val="auto"/>
              </w:rPr>
              <w:t>148</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12</w:t>
            </w:r>
          </w:p>
        </w:tc>
        <w:tc>
          <w:tcPr>
            <w:tcW w:w="900" w:type="dxa"/>
            <w:vAlign w:val="bottom"/>
          </w:tcPr>
          <w:p>
            <w:pPr>
              <w:spacing w:after="0"/>
              <w:rPr>
                <w:sz w:val="17"/>
                <w:szCs w:val="17"/>
                <w:color w:val="auto"/>
              </w:rPr>
            </w:pPr>
          </w:p>
        </w:tc>
        <w:tc>
          <w:tcPr>
            <w:tcW w:w="320" w:type="dxa"/>
            <w:vAlign w:val="bottom"/>
            <w:gridSpan w:val="2"/>
          </w:tcPr>
          <w:p>
            <w:pPr>
              <w:jc w:val="right"/>
              <w:ind w:right="220"/>
              <w:spacing w:after="0"/>
              <w:rPr>
                <w:sz w:val="20"/>
                <w:szCs w:val="20"/>
                <w:color w:val="auto"/>
              </w:rPr>
            </w:pPr>
            <w:r>
              <w:rPr>
                <w:rFonts w:ascii="Arial" w:cs="Arial" w:eastAsia="Arial" w:hAnsi="Arial"/>
                <w:sz w:val="16"/>
                <w:szCs w:val="16"/>
                <w:color w:val="auto"/>
                <w:w w:val="89"/>
              </w:rPr>
              <w:t>0</w:t>
            </w:r>
          </w:p>
        </w:tc>
        <w:tc>
          <w:tcPr>
            <w:tcW w:w="200" w:type="dxa"/>
            <w:vAlign w:val="bottom"/>
          </w:tcPr>
          <w:p>
            <w:pPr>
              <w:spacing w:after="0"/>
              <w:rPr>
                <w:sz w:val="17"/>
                <w:szCs w:val="17"/>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r>
      <w:tr>
        <w:trPr>
          <w:trHeight w:val="203"/>
        </w:trPr>
        <w:tc>
          <w:tcPr>
            <w:tcW w:w="5200" w:type="dxa"/>
            <w:vAlign w:val="bottom"/>
            <w:shd w:val="clear" w:color="auto" w:fill="CCEEFF"/>
          </w:tcPr>
          <w:p>
            <w:pPr>
              <w:spacing w:after="0"/>
              <w:rPr>
                <w:sz w:val="20"/>
                <w:szCs w:val="20"/>
                <w:color w:val="auto"/>
              </w:rPr>
            </w:pPr>
            <w:r>
              <w:rPr>
                <w:rFonts w:ascii="Arial" w:cs="Arial" w:eastAsia="Arial" w:hAnsi="Arial"/>
                <w:sz w:val="16"/>
                <w:szCs w:val="16"/>
                <w:color w:val="auto"/>
              </w:rPr>
              <w:t>Guarantees</w:t>
            </w:r>
          </w:p>
        </w:tc>
        <w:tc>
          <w:tcPr>
            <w:tcW w:w="20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50</w:t>
            </w: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0</w:t>
            </w:r>
          </w:p>
        </w:tc>
        <w:tc>
          <w:tcPr>
            <w:tcW w:w="900" w:type="dxa"/>
            <w:vAlign w:val="bottom"/>
            <w:shd w:val="clear" w:color="auto" w:fill="CCEEFF"/>
          </w:tcPr>
          <w:p>
            <w:pPr>
              <w:spacing w:after="0"/>
              <w:rPr>
                <w:sz w:val="17"/>
                <w:szCs w:val="17"/>
                <w:color w:val="auto"/>
              </w:rPr>
            </w:pPr>
          </w:p>
        </w:tc>
        <w:tc>
          <w:tcPr>
            <w:tcW w:w="3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w w:val="89"/>
              </w:rPr>
              <w:t>0</w:t>
            </w:r>
          </w:p>
        </w:tc>
        <w:tc>
          <w:tcPr>
            <w:tcW w:w="200" w:type="dxa"/>
            <w:vAlign w:val="bottom"/>
            <w:shd w:val="clear" w:color="auto" w:fill="CCEEFF"/>
          </w:tcPr>
          <w:p>
            <w:pPr>
              <w:spacing w:after="0"/>
              <w:rPr>
                <w:sz w:val="17"/>
                <w:szCs w:val="17"/>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w:t>
            </w:r>
          </w:p>
        </w:tc>
      </w:tr>
      <w:tr>
        <w:trPr>
          <w:trHeight w:val="213"/>
        </w:trPr>
        <w:tc>
          <w:tcPr>
            <w:tcW w:w="5200" w:type="dxa"/>
            <w:vAlign w:val="bottom"/>
          </w:tcPr>
          <w:p>
            <w:pPr>
              <w:spacing w:after="0"/>
              <w:rPr>
                <w:sz w:val="20"/>
                <w:szCs w:val="20"/>
                <w:color w:val="auto"/>
              </w:rPr>
            </w:pPr>
            <w:r>
              <w:rPr>
                <w:rFonts w:ascii="Arial" w:cs="Arial" w:eastAsia="Arial" w:hAnsi="Arial"/>
                <w:sz w:val="16"/>
                <w:szCs w:val="16"/>
                <w:color w:val="auto"/>
              </w:rPr>
              <w:t>Other commercial commitments</w:t>
            </w:r>
          </w:p>
        </w:tc>
        <w:tc>
          <w:tcPr>
            <w:tcW w:w="200" w:type="dxa"/>
            <w:vAlign w:val="bottom"/>
          </w:tcPr>
          <w:p>
            <w:pPr>
              <w:spacing w:after="0"/>
              <w:rPr>
                <w:sz w:val="18"/>
                <w:szCs w:val="18"/>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6"/>
                <w:szCs w:val="16"/>
                <w:color w:val="auto"/>
              </w:rPr>
              <w:t>138</w:t>
            </w:r>
          </w:p>
        </w:tc>
        <w:tc>
          <w:tcPr>
            <w:tcW w:w="10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6"/>
                <w:szCs w:val="16"/>
                <w:color w:val="auto"/>
              </w:rPr>
              <w:t>5</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6"/>
                <w:szCs w:val="16"/>
                <w:color w:val="auto"/>
              </w:rPr>
              <w:t>133</w:t>
            </w:r>
          </w:p>
        </w:tc>
        <w:tc>
          <w:tcPr>
            <w:tcW w:w="900" w:type="dxa"/>
            <w:vAlign w:val="bottom"/>
          </w:tcPr>
          <w:p>
            <w:pPr>
              <w:spacing w:after="0"/>
              <w:rPr>
                <w:sz w:val="18"/>
                <w:szCs w:val="18"/>
                <w:color w:val="auto"/>
              </w:rPr>
            </w:pPr>
          </w:p>
        </w:tc>
        <w:tc>
          <w:tcPr>
            <w:tcW w:w="320" w:type="dxa"/>
            <w:vAlign w:val="bottom"/>
            <w:gridSpan w:val="2"/>
          </w:tcPr>
          <w:p>
            <w:pPr>
              <w:jc w:val="right"/>
              <w:ind w:right="220"/>
              <w:spacing w:after="0"/>
              <w:rPr>
                <w:sz w:val="20"/>
                <w:szCs w:val="20"/>
                <w:color w:val="auto"/>
              </w:rPr>
            </w:pPr>
            <w:r>
              <w:rPr>
                <w:rFonts w:ascii="Arial" w:cs="Arial" w:eastAsia="Arial" w:hAnsi="Arial"/>
                <w:sz w:val="16"/>
                <w:szCs w:val="16"/>
                <w:color w:val="auto"/>
                <w:w w:val="89"/>
              </w:rPr>
              <w:t>0</w:t>
            </w:r>
          </w:p>
        </w:tc>
        <w:tc>
          <w:tcPr>
            <w:tcW w:w="200" w:type="dxa"/>
            <w:vAlign w:val="bottom"/>
          </w:tcPr>
          <w:p>
            <w:pPr>
              <w:spacing w:after="0"/>
              <w:rPr>
                <w:sz w:val="18"/>
                <w:szCs w:val="18"/>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r>
      <w:tr>
        <w:trPr>
          <w:trHeight w:val="213"/>
        </w:trPr>
        <w:tc>
          <w:tcPr>
            <w:tcW w:w="520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6"/>
                <w:szCs w:val="16"/>
                <w:b w:val="1"/>
                <w:bCs w:val="1"/>
                <w:color w:val="auto"/>
              </w:rPr>
              <w:t>Total Commercial Commitments</w:t>
            </w:r>
          </w:p>
        </w:tc>
        <w:tc>
          <w:tcPr>
            <w:tcW w:w="200" w:type="dxa"/>
            <w:vAlign w:val="bottom"/>
            <w:tcBorders>
              <w:top w:val="single" w:sz="8" w:color="auto"/>
              <w:bottom w:val="single" w:sz="8" w:color="auto"/>
            </w:tcBorders>
            <w:shd w:val="clear" w:color="auto" w:fill="CCEEFF"/>
          </w:tcPr>
          <w:p>
            <w:pPr>
              <w:jc w:val="right"/>
              <w:ind w:right="44"/>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639</w:t>
            </w:r>
          </w:p>
        </w:tc>
        <w:tc>
          <w:tcPr>
            <w:tcW w:w="24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494</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w w:val="89"/>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145</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ind w:right="742"/>
              <w:spacing w:after="0"/>
              <w:rPr>
                <w:sz w:val="20"/>
                <w:szCs w:val="20"/>
                <w:color w:val="auto"/>
              </w:rPr>
            </w:pPr>
            <w:r>
              <w:rPr>
                <w:rFonts w:ascii="Arial" w:cs="Arial" w:eastAsia="Arial" w:hAnsi="Arial"/>
                <w:sz w:val="15"/>
                <w:szCs w:val="15"/>
                <w:b w:val="1"/>
                <w:bCs w:val="1"/>
                <w:color w:val="auto"/>
                <w:w w:val="71"/>
              </w:rPr>
              <w:t>$</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89"/>
              </w:rPr>
              <w:t>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ind w:right="42"/>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2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08" w:lineRule="exact"/>
        <w:rPr>
          <w:sz w:val="20"/>
          <w:szCs w:val="20"/>
          <w:color w:val="auto"/>
        </w:rPr>
      </w:pPr>
    </w:p>
    <w:p>
      <w:pPr>
        <w:ind w:left="340" w:hanging="332"/>
        <w:spacing w:after="0"/>
        <w:tabs>
          <w:tab w:leader="none" w:pos="340" w:val="left"/>
        </w:tabs>
        <w:numPr>
          <w:ilvl w:val="0"/>
          <w:numId w:val="61"/>
        </w:numPr>
        <w:rPr>
          <w:rFonts w:ascii="Arial" w:cs="Arial" w:eastAsia="Arial" w:hAnsi="Arial"/>
          <w:sz w:val="27"/>
          <w:szCs w:val="27"/>
          <w:color w:val="auto"/>
          <w:vertAlign w:val="superscript"/>
        </w:rPr>
      </w:pPr>
      <w:r>
        <w:rPr>
          <w:rFonts w:ascii="Arial" w:cs="Arial" w:eastAsia="Arial" w:hAnsi="Arial"/>
          <w:sz w:val="16"/>
          <w:szCs w:val="16"/>
          <w:color w:val="auto"/>
        </w:rPr>
        <w:t>Includes customers’ liabilities under acceptances outstanding (on-balance sheet assets) for a total amount of $74.4 million as of December 31, 2020.</w:t>
      </w:r>
    </w:p>
    <w:p>
      <w:pPr>
        <w:spacing w:after="0" w:line="202"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covenants included in some of the Bank’s liabilities contracts are standard market covenants. Bladex has been and expects to continue to be in compliance with regard to these covenants.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1" w:name="page92"/>
    <w:bookmarkEnd w:id="91"/>
    <w:p>
      <w:pPr>
        <w:spacing w:after="0"/>
        <w:tabs>
          <w:tab w:leader="none" w:pos="1280"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Directors, Executive Officers and Employees</w:t>
      </w:r>
    </w:p>
    <w:p>
      <w:pPr>
        <w:spacing w:after="0" w:line="225" w:lineRule="exact"/>
        <w:rPr>
          <w:sz w:val="20"/>
          <w:szCs w:val="20"/>
          <w:color w:val="auto"/>
        </w:rPr>
      </w:pPr>
    </w:p>
    <w:p>
      <w:pPr>
        <w:ind w:left="500" w:hanging="492"/>
        <w:spacing w:after="0"/>
        <w:tabs>
          <w:tab w:leader="none" w:pos="50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Directors and Executive Officers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b w:val="1"/>
          <w:bCs w:val="1"/>
          <w:i w:val="1"/>
          <w:iCs w:val="1"/>
          <w:color w:val="auto"/>
        </w:rPr>
        <w:t>Directors</w:t>
      </w:r>
    </w:p>
    <w:p>
      <w:pPr>
        <w:spacing w:after="0" w:line="22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following table and biographies set forth certain information concerning the Directors of the Bank as of the date of this Annual Report, including information with respect to each Director’s current position with the Bank and other institutions, class of shares which such Director represents, country of citizenship, the year that each Director’s term expires, and age.</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Year</w:t>
            </w:r>
          </w:p>
        </w:tc>
        <w:tc>
          <w:tcPr>
            <w:tcW w:w="1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0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Country of</w:t>
            </w:r>
          </w:p>
        </w:tc>
        <w:tc>
          <w:tcPr>
            <w:tcW w:w="15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Position Held with</w:t>
            </w:r>
          </w:p>
        </w:tc>
        <w:tc>
          <w:tcPr>
            <w:tcW w:w="100" w:type="dxa"/>
            <w:vAlign w:val="bottom"/>
          </w:tcPr>
          <w:p>
            <w:pPr>
              <w:spacing w:after="0"/>
              <w:rPr>
                <w:sz w:val="18"/>
                <w:szCs w:val="18"/>
                <w:color w:val="auto"/>
              </w:rPr>
            </w:pPr>
          </w:p>
        </w:tc>
        <w:tc>
          <w:tcPr>
            <w:tcW w:w="9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5"/>
              </w:rPr>
              <w:t>Term</w:t>
            </w:r>
          </w:p>
        </w:tc>
        <w:tc>
          <w:tcPr>
            <w:tcW w:w="100" w:type="dxa"/>
            <w:vAlign w:val="bottom"/>
          </w:tcPr>
          <w:p>
            <w:pPr>
              <w:spacing w:after="0"/>
              <w:rPr>
                <w:sz w:val="18"/>
                <w:szCs w:val="18"/>
                <w:color w:val="auto"/>
              </w:rPr>
            </w:pPr>
          </w:p>
        </w:tc>
        <w:tc>
          <w:tcPr>
            <w:tcW w:w="940" w:type="dxa"/>
            <w:vAlign w:val="bottom"/>
          </w:tcPr>
          <w:p>
            <w:pPr>
              <w:jc w:val="center"/>
              <w:spacing w:after="0"/>
              <w:rPr>
                <w:sz w:val="20"/>
                <w:szCs w:val="20"/>
                <w:color w:val="auto"/>
              </w:rPr>
            </w:pPr>
            <w:r>
              <w:rPr>
                <w:rFonts w:ascii="Arial" w:cs="Arial" w:eastAsia="Arial" w:hAnsi="Arial"/>
                <w:sz w:val="18"/>
                <w:szCs w:val="18"/>
                <w:b w:val="1"/>
                <w:bCs w:val="1"/>
                <w:color w:val="auto"/>
                <w:w w:val="95"/>
              </w:rPr>
              <w:t>Director</w:t>
            </w: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5080" w:type="dxa"/>
            <w:vAlign w:val="bottom"/>
          </w:tcPr>
          <w:p>
            <w:pPr>
              <w:spacing w:after="0"/>
              <w:rPr>
                <w:sz w:val="20"/>
                <w:szCs w:val="20"/>
                <w:color w:val="auto"/>
              </w:rPr>
            </w:pPr>
            <w:r>
              <w:rPr>
                <w:rFonts w:ascii="Arial" w:cs="Arial" w:eastAsia="Arial" w:hAnsi="Arial"/>
                <w:sz w:val="18"/>
                <w:szCs w:val="18"/>
                <w:b w:val="1"/>
                <w:bCs w:val="1"/>
                <w:color w:val="auto"/>
              </w:rPr>
              <w:t>Name</w:t>
            </w:r>
          </w:p>
        </w:tc>
        <w:tc>
          <w:tcPr>
            <w:tcW w:w="8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Citizenship</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The Bank</w:t>
            </w:r>
          </w:p>
        </w:tc>
        <w:tc>
          <w:tcPr>
            <w:tcW w:w="100" w:type="dxa"/>
            <w:vAlign w:val="bottom"/>
          </w:tcPr>
          <w:p>
            <w:pPr>
              <w:spacing w:after="0"/>
              <w:rPr>
                <w:sz w:val="20"/>
                <w:szCs w:val="20"/>
                <w:color w:val="auto"/>
              </w:rPr>
            </w:pPr>
          </w:p>
        </w:tc>
        <w:tc>
          <w:tcPr>
            <w:tcW w:w="9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Expires</w:t>
            </w:r>
          </w:p>
        </w:tc>
        <w:tc>
          <w:tcPr>
            <w:tcW w:w="100" w:type="dxa"/>
            <w:vAlign w:val="bottom"/>
          </w:tcPr>
          <w:p>
            <w:pPr>
              <w:spacing w:after="0"/>
              <w:rPr>
                <w:sz w:val="20"/>
                <w:szCs w:val="20"/>
                <w:color w:val="auto"/>
              </w:rPr>
            </w:pPr>
          </w:p>
        </w:tc>
        <w:tc>
          <w:tcPr>
            <w:tcW w:w="940" w:type="dxa"/>
            <w:vAlign w:val="bottom"/>
          </w:tcPr>
          <w:p>
            <w:pPr>
              <w:jc w:val="center"/>
              <w:spacing w:after="0"/>
              <w:rPr>
                <w:sz w:val="20"/>
                <w:szCs w:val="20"/>
                <w:color w:val="auto"/>
              </w:rPr>
            </w:pPr>
            <w:r>
              <w:rPr>
                <w:rFonts w:ascii="Arial" w:cs="Arial" w:eastAsia="Arial" w:hAnsi="Arial"/>
                <w:sz w:val="18"/>
                <w:szCs w:val="18"/>
                <w:b w:val="1"/>
                <w:bCs w:val="1"/>
                <w:color w:val="auto"/>
                <w:w w:val="87"/>
              </w:rPr>
              <w:t>Since</w:t>
            </w:r>
          </w:p>
        </w:tc>
        <w:tc>
          <w:tcPr>
            <w:tcW w:w="180" w:type="dxa"/>
            <w:vAlign w:val="bottom"/>
          </w:tcPr>
          <w:p>
            <w:pPr>
              <w:spacing w:after="0"/>
              <w:rPr>
                <w:sz w:val="20"/>
                <w:szCs w:val="20"/>
                <w:color w:val="auto"/>
              </w:rPr>
            </w:pPr>
          </w:p>
        </w:tc>
        <w:tc>
          <w:tcPr>
            <w:tcW w:w="8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Age</w:t>
            </w:r>
          </w:p>
        </w:tc>
      </w:tr>
      <w:tr>
        <w:trPr>
          <w:trHeight w:val="209"/>
        </w:trPr>
        <w:tc>
          <w:tcPr>
            <w:tcW w:w="5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CLASS A</w:t>
            </w:r>
          </w:p>
        </w:tc>
        <w:tc>
          <w:tcPr>
            <w:tcW w:w="80" w:type="dxa"/>
            <w:vAlign w:val="bottom"/>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João Carlos de Nóbrega Pecego</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5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Chief Executive Officer</w:t>
            </w:r>
          </w:p>
        </w:tc>
        <w:tc>
          <w:tcPr>
            <w:tcW w:w="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Banco Patagonia, Argentina</w:t>
            </w:r>
          </w:p>
        </w:tc>
        <w:tc>
          <w:tcPr>
            <w:tcW w:w="80" w:type="dxa"/>
            <w:vAlign w:val="bottom"/>
            <w:shd w:val="clear" w:color="auto" w:fill="CCEEFF"/>
          </w:tcPr>
          <w:p>
            <w:pPr>
              <w:spacing w:after="0"/>
              <w:rPr>
                <w:sz w:val="20"/>
                <w:szCs w:val="20"/>
                <w:color w:val="auto"/>
              </w:rPr>
            </w:pPr>
          </w:p>
        </w:tc>
        <w:tc>
          <w:tcPr>
            <w:tcW w:w="1480" w:type="dxa"/>
            <w:vAlign w:val="bottom"/>
            <w:gridSpan w:val="2"/>
            <w:shd w:val="clear" w:color="auto" w:fill="CCEEFF"/>
          </w:tcPr>
          <w:p>
            <w:pPr>
              <w:jc w:val="center"/>
              <w:ind w:right="200"/>
              <w:spacing w:after="0"/>
              <w:rPr>
                <w:sz w:val="20"/>
                <w:szCs w:val="20"/>
                <w:color w:val="auto"/>
              </w:rPr>
            </w:pPr>
            <w:r>
              <w:rPr>
                <w:rFonts w:ascii="Arial" w:cs="Arial" w:eastAsia="Arial" w:hAnsi="Arial"/>
                <w:sz w:val="18"/>
                <w:szCs w:val="18"/>
                <w:color w:val="auto"/>
                <w:w w:val="97"/>
              </w:rPr>
              <w:t>Brazil</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2010</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57</w:t>
            </w:r>
          </w:p>
        </w:tc>
        <w:tc>
          <w:tcPr>
            <w:tcW w:w="100" w:type="dxa"/>
            <w:vAlign w:val="bottom"/>
            <w:shd w:val="clear" w:color="auto" w:fill="CCEEFF"/>
          </w:tcPr>
          <w:p>
            <w:pPr>
              <w:spacing w:after="0"/>
              <w:rPr>
                <w:sz w:val="20"/>
                <w:szCs w:val="20"/>
                <w:color w:val="auto"/>
              </w:rPr>
            </w:pPr>
          </w:p>
        </w:tc>
      </w:tr>
      <w:tr>
        <w:trPr>
          <w:trHeight w:val="202"/>
        </w:trPr>
        <w:tc>
          <w:tcPr>
            <w:tcW w:w="5080" w:type="dxa"/>
            <w:vAlign w:val="bottom"/>
          </w:tcPr>
          <w:p>
            <w:pPr>
              <w:spacing w:after="0" w:line="201" w:lineRule="exact"/>
              <w:rPr>
                <w:sz w:val="20"/>
                <w:szCs w:val="20"/>
                <w:color w:val="auto"/>
              </w:rPr>
            </w:pPr>
            <w:r>
              <w:rPr>
                <w:rFonts w:ascii="Arial" w:cs="Arial" w:eastAsia="Arial" w:hAnsi="Arial"/>
                <w:sz w:val="18"/>
                <w:szCs w:val="18"/>
                <w:color w:val="auto"/>
              </w:rPr>
              <w:t>José Alberto Garzón Gaitán</w:t>
            </w:r>
          </w:p>
        </w:tc>
        <w:tc>
          <w:tcPr>
            <w:tcW w:w="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Legal Vice President and General Counsel</w:t>
            </w: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Banco de Comercio Exterior de Colombia</w:t>
            </w:r>
          </w:p>
        </w:tc>
        <w:tc>
          <w:tcPr>
            <w:tcW w:w="8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color w:val="auto"/>
                <w:w w:val="92"/>
              </w:rPr>
              <w:t>Colombia</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tcPr>
          <w:p>
            <w:pPr>
              <w:jc w:val="center"/>
              <w:spacing w:after="0"/>
              <w:rPr>
                <w:sz w:val="20"/>
                <w:szCs w:val="20"/>
                <w:color w:val="auto"/>
              </w:rPr>
            </w:pPr>
            <w:r>
              <w:rPr>
                <w:rFonts w:ascii="Arial" w:cs="Arial" w:eastAsia="Arial" w:hAnsi="Arial"/>
                <w:sz w:val="18"/>
                <w:szCs w:val="18"/>
                <w:color w:val="auto"/>
                <w:w w:val="89"/>
              </w:rPr>
              <w:t>2023</w:t>
            </w:r>
          </w:p>
        </w:tc>
        <w:tc>
          <w:tcPr>
            <w:tcW w:w="80" w:type="dxa"/>
            <w:vAlign w:val="bottom"/>
          </w:tcPr>
          <w:p>
            <w:pPr>
              <w:spacing w:after="0"/>
              <w:rPr>
                <w:sz w:val="20"/>
                <w:szCs w:val="20"/>
                <w:color w:val="auto"/>
              </w:rPr>
            </w:pPr>
          </w:p>
        </w:tc>
        <w:tc>
          <w:tcPr>
            <w:tcW w:w="1040" w:type="dxa"/>
            <w:vAlign w:val="bottom"/>
            <w:gridSpan w:val="2"/>
          </w:tcPr>
          <w:p>
            <w:pPr>
              <w:jc w:val="center"/>
              <w:spacing w:after="0"/>
              <w:rPr>
                <w:sz w:val="20"/>
                <w:szCs w:val="20"/>
                <w:color w:val="auto"/>
              </w:rPr>
            </w:pPr>
            <w:r>
              <w:rPr>
                <w:rFonts w:ascii="Arial" w:cs="Arial" w:eastAsia="Arial" w:hAnsi="Arial"/>
                <w:sz w:val="18"/>
                <w:szCs w:val="18"/>
                <w:color w:val="auto"/>
                <w:w w:val="89"/>
              </w:rPr>
              <w:t>2017</w:t>
            </w:r>
          </w:p>
        </w:tc>
        <w:tc>
          <w:tcPr>
            <w:tcW w:w="880" w:type="dxa"/>
            <w:vAlign w:val="bottom"/>
            <w:gridSpan w:val="2"/>
          </w:tcPr>
          <w:p>
            <w:pPr>
              <w:jc w:val="center"/>
              <w:ind w:left="90"/>
              <w:spacing w:after="0"/>
              <w:rPr>
                <w:sz w:val="20"/>
                <w:szCs w:val="20"/>
                <w:color w:val="auto"/>
              </w:rPr>
            </w:pPr>
            <w:r>
              <w:rPr>
                <w:rFonts w:ascii="Arial" w:cs="Arial" w:eastAsia="Arial" w:hAnsi="Arial"/>
                <w:sz w:val="18"/>
                <w:szCs w:val="18"/>
                <w:color w:val="auto"/>
                <w:w w:val="89"/>
              </w:rPr>
              <w:t>50</w:t>
            </w:r>
          </w:p>
        </w:tc>
        <w:tc>
          <w:tcPr>
            <w:tcW w:w="100" w:type="dxa"/>
            <w:vAlign w:val="bottom"/>
          </w:tcPr>
          <w:p>
            <w:pPr>
              <w:spacing w:after="0"/>
              <w:rPr>
                <w:sz w:val="20"/>
                <w:szCs w:val="20"/>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Eduardo Hecker</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Chairman</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Banco de la Nación Argentina</w:t>
            </w:r>
          </w:p>
        </w:tc>
        <w:tc>
          <w:tcPr>
            <w:tcW w:w="8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center"/>
              <w:ind w:right="200"/>
              <w:spacing w:after="0"/>
              <w:rPr>
                <w:sz w:val="20"/>
                <w:szCs w:val="20"/>
                <w:color w:val="auto"/>
              </w:rPr>
            </w:pPr>
            <w:r>
              <w:rPr>
                <w:rFonts w:ascii="Arial" w:cs="Arial" w:eastAsia="Arial" w:hAnsi="Arial"/>
                <w:sz w:val="18"/>
                <w:szCs w:val="18"/>
                <w:color w:val="auto"/>
                <w:w w:val="93"/>
              </w:rPr>
              <w:t>Argentina</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2023</w:t>
            </w: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2020</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64</w:t>
            </w:r>
          </w:p>
        </w:tc>
        <w:tc>
          <w:tcPr>
            <w:tcW w:w="100" w:type="dxa"/>
            <w:vAlign w:val="bottom"/>
            <w:shd w:val="clear" w:color="auto" w:fill="CCEEFF"/>
          </w:tcPr>
          <w:p>
            <w:pPr>
              <w:spacing w:after="0"/>
              <w:rPr>
                <w:sz w:val="18"/>
                <w:szCs w:val="18"/>
                <w:color w:val="auto"/>
              </w:rPr>
            </w:pPr>
          </w:p>
        </w:tc>
      </w:tr>
      <w:tr>
        <w:trPr>
          <w:trHeight w:val="432"/>
        </w:trPr>
        <w:tc>
          <w:tcPr>
            <w:tcW w:w="5080" w:type="dxa"/>
            <w:vAlign w:val="bottom"/>
          </w:tcPr>
          <w:p>
            <w:pPr>
              <w:spacing w:after="0"/>
              <w:rPr>
                <w:sz w:val="20"/>
                <w:szCs w:val="20"/>
                <w:color w:val="auto"/>
              </w:rPr>
            </w:pPr>
            <w:r>
              <w:rPr>
                <w:rFonts w:ascii="Arial" w:cs="Arial" w:eastAsia="Arial" w:hAnsi="Arial"/>
                <w:sz w:val="18"/>
                <w:szCs w:val="18"/>
                <w:b w:val="1"/>
                <w:bCs w:val="1"/>
                <w:color w:val="auto"/>
              </w:rPr>
              <w:t>CLASS E</w:t>
            </w:r>
          </w:p>
        </w:tc>
        <w:tc>
          <w:tcPr>
            <w:tcW w:w="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Ricardo Manuel Arango</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Senior Partner</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Arias, Fábrega &amp; Fábrega, Panama</w:t>
            </w:r>
          </w:p>
        </w:tc>
        <w:tc>
          <w:tcPr>
            <w:tcW w:w="8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center"/>
              <w:ind w:right="180"/>
              <w:spacing w:after="0"/>
              <w:rPr>
                <w:sz w:val="20"/>
                <w:szCs w:val="20"/>
                <w:color w:val="auto"/>
              </w:rPr>
            </w:pPr>
            <w:r>
              <w:rPr>
                <w:rFonts w:ascii="Arial" w:cs="Arial" w:eastAsia="Arial" w:hAnsi="Arial"/>
                <w:sz w:val="18"/>
                <w:szCs w:val="18"/>
                <w:color w:val="auto"/>
                <w:w w:val="86"/>
              </w:rPr>
              <w:t>Panama</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2016</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60</w:t>
            </w:r>
          </w:p>
        </w:tc>
        <w:tc>
          <w:tcPr>
            <w:tcW w:w="100" w:type="dxa"/>
            <w:vAlign w:val="bottom"/>
            <w:shd w:val="clear" w:color="auto" w:fill="CCEEFF"/>
          </w:tcPr>
          <w:p>
            <w:pPr>
              <w:spacing w:after="0"/>
              <w:rPr>
                <w:sz w:val="18"/>
                <w:szCs w:val="18"/>
                <w:color w:val="auto"/>
              </w:rPr>
            </w:pPr>
          </w:p>
        </w:tc>
      </w:tr>
      <w:tr>
        <w:trPr>
          <w:trHeight w:val="202"/>
        </w:trPr>
        <w:tc>
          <w:tcPr>
            <w:tcW w:w="5080" w:type="dxa"/>
            <w:vAlign w:val="bottom"/>
          </w:tcPr>
          <w:p>
            <w:pPr>
              <w:spacing w:after="0" w:line="201" w:lineRule="exact"/>
              <w:rPr>
                <w:sz w:val="20"/>
                <w:szCs w:val="20"/>
                <w:color w:val="auto"/>
              </w:rPr>
            </w:pPr>
            <w:r>
              <w:rPr>
                <w:rFonts w:ascii="Arial" w:cs="Arial" w:eastAsia="Arial" w:hAnsi="Arial"/>
                <w:sz w:val="18"/>
                <w:szCs w:val="18"/>
                <w:color w:val="auto"/>
              </w:rPr>
              <w:t>Herminio A. Blanco</w:t>
            </w:r>
          </w:p>
        </w:tc>
        <w:tc>
          <w:tcPr>
            <w:tcW w:w="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President</w:t>
            </w: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IQOM, Mexico</w:t>
            </w:r>
          </w:p>
        </w:tc>
        <w:tc>
          <w:tcPr>
            <w:tcW w:w="8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color w:val="auto"/>
                <w:w w:val="94"/>
              </w:rPr>
              <w:t>Mexico</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tcPr>
          <w:p>
            <w:pPr>
              <w:jc w:val="center"/>
              <w:spacing w:after="0"/>
              <w:rPr>
                <w:sz w:val="20"/>
                <w:szCs w:val="20"/>
                <w:color w:val="auto"/>
              </w:rPr>
            </w:pPr>
            <w:r>
              <w:rPr>
                <w:rFonts w:ascii="Arial" w:cs="Arial" w:eastAsia="Arial" w:hAnsi="Arial"/>
                <w:sz w:val="18"/>
                <w:szCs w:val="18"/>
                <w:color w:val="auto"/>
                <w:w w:val="89"/>
              </w:rPr>
              <w:t>2022</w:t>
            </w:r>
          </w:p>
        </w:tc>
        <w:tc>
          <w:tcPr>
            <w:tcW w:w="80" w:type="dxa"/>
            <w:vAlign w:val="bottom"/>
          </w:tcPr>
          <w:p>
            <w:pPr>
              <w:spacing w:after="0"/>
              <w:rPr>
                <w:sz w:val="20"/>
                <w:szCs w:val="20"/>
                <w:color w:val="auto"/>
              </w:rPr>
            </w:pPr>
          </w:p>
        </w:tc>
        <w:tc>
          <w:tcPr>
            <w:tcW w:w="1040" w:type="dxa"/>
            <w:vAlign w:val="bottom"/>
            <w:gridSpan w:val="2"/>
          </w:tcPr>
          <w:p>
            <w:pPr>
              <w:jc w:val="center"/>
              <w:spacing w:after="0"/>
              <w:rPr>
                <w:sz w:val="20"/>
                <w:szCs w:val="20"/>
                <w:color w:val="auto"/>
              </w:rPr>
            </w:pPr>
            <w:r>
              <w:rPr>
                <w:rFonts w:ascii="Arial" w:cs="Arial" w:eastAsia="Arial" w:hAnsi="Arial"/>
                <w:sz w:val="18"/>
                <w:szCs w:val="18"/>
                <w:color w:val="auto"/>
                <w:w w:val="89"/>
              </w:rPr>
              <w:t>2004</w:t>
            </w:r>
          </w:p>
        </w:tc>
        <w:tc>
          <w:tcPr>
            <w:tcW w:w="880" w:type="dxa"/>
            <w:vAlign w:val="bottom"/>
            <w:gridSpan w:val="2"/>
          </w:tcPr>
          <w:p>
            <w:pPr>
              <w:jc w:val="center"/>
              <w:ind w:left="90"/>
              <w:spacing w:after="0"/>
              <w:rPr>
                <w:sz w:val="20"/>
                <w:szCs w:val="20"/>
                <w:color w:val="auto"/>
              </w:rPr>
            </w:pPr>
            <w:r>
              <w:rPr>
                <w:rFonts w:ascii="Arial" w:cs="Arial" w:eastAsia="Arial" w:hAnsi="Arial"/>
                <w:sz w:val="18"/>
                <w:szCs w:val="18"/>
                <w:color w:val="auto"/>
                <w:w w:val="89"/>
              </w:rPr>
              <w:t>70</w:t>
            </w:r>
          </w:p>
        </w:tc>
        <w:tc>
          <w:tcPr>
            <w:tcW w:w="100" w:type="dxa"/>
            <w:vAlign w:val="bottom"/>
          </w:tcPr>
          <w:p>
            <w:pPr>
              <w:spacing w:after="0"/>
              <w:rPr>
                <w:sz w:val="20"/>
                <w:szCs w:val="20"/>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Mario Covo</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Founding Partner</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DanaMar LLC, United States</w:t>
            </w:r>
          </w:p>
        </w:tc>
        <w:tc>
          <w:tcPr>
            <w:tcW w:w="8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center"/>
              <w:ind w:right="200"/>
              <w:spacing w:after="0"/>
              <w:rPr>
                <w:sz w:val="20"/>
                <w:szCs w:val="20"/>
                <w:color w:val="auto"/>
              </w:rPr>
            </w:pPr>
            <w:r>
              <w:rPr>
                <w:rFonts w:ascii="Arial" w:cs="Arial" w:eastAsia="Arial" w:hAnsi="Arial"/>
                <w:sz w:val="18"/>
                <w:szCs w:val="18"/>
                <w:color w:val="auto"/>
                <w:w w:val="88"/>
              </w:rPr>
              <w:t>United States</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2023</w:t>
            </w:r>
          </w:p>
        </w:tc>
        <w:tc>
          <w:tcPr>
            <w:tcW w:w="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1999</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63</w:t>
            </w:r>
          </w:p>
        </w:tc>
        <w:tc>
          <w:tcPr>
            <w:tcW w:w="100" w:type="dxa"/>
            <w:vAlign w:val="bottom"/>
            <w:shd w:val="clear" w:color="auto" w:fill="CCEEFF"/>
          </w:tcPr>
          <w:p>
            <w:pPr>
              <w:spacing w:after="0"/>
              <w:rPr>
                <w:sz w:val="18"/>
                <w:szCs w:val="18"/>
                <w:color w:val="auto"/>
              </w:rPr>
            </w:pPr>
          </w:p>
        </w:tc>
      </w:tr>
      <w:tr>
        <w:trPr>
          <w:trHeight w:val="202"/>
        </w:trPr>
        <w:tc>
          <w:tcPr>
            <w:tcW w:w="5080" w:type="dxa"/>
            <w:vAlign w:val="bottom"/>
          </w:tcPr>
          <w:p>
            <w:pPr>
              <w:spacing w:after="0" w:line="201" w:lineRule="exact"/>
              <w:rPr>
                <w:sz w:val="20"/>
                <w:szCs w:val="20"/>
                <w:color w:val="auto"/>
              </w:rPr>
            </w:pPr>
            <w:r>
              <w:rPr>
                <w:rFonts w:ascii="Arial" w:cs="Arial" w:eastAsia="Arial" w:hAnsi="Arial"/>
                <w:sz w:val="18"/>
                <w:szCs w:val="18"/>
                <w:color w:val="auto"/>
              </w:rPr>
              <w:t>Miguel Heras Castro</w:t>
            </w:r>
          </w:p>
        </w:tc>
        <w:tc>
          <w:tcPr>
            <w:tcW w:w="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Managing Director</w:t>
            </w: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80" w:type="dxa"/>
            <w:vAlign w:val="bottom"/>
            <w:gridSpan w:val="2"/>
          </w:tcPr>
          <w:p>
            <w:pPr>
              <w:jc w:val="center"/>
              <w:ind w:right="80"/>
              <w:spacing w:after="0"/>
              <w:rPr>
                <w:sz w:val="20"/>
                <w:szCs w:val="20"/>
                <w:color w:val="auto"/>
              </w:rPr>
            </w:pPr>
            <w:r>
              <w:rPr>
                <w:rFonts w:ascii="Arial" w:cs="Arial" w:eastAsia="Arial" w:hAnsi="Arial"/>
                <w:sz w:val="18"/>
                <w:szCs w:val="18"/>
                <w:color w:val="auto"/>
                <w:w w:val="92"/>
              </w:rPr>
              <w:t>Chairman of the</w:t>
            </w: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Inversiones Bahia Ltd., Panama</w:t>
            </w:r>
          </w:p>
        </w:tc>
        <w:tc>
          <w:tcPr>
            <w:tcW w:w="8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color w:val="auto"/>
                <w:w w:val="86"/>
              </w:rPr>
              <w:t>Panama</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1"/>
              </w:rPr>
              <w:t>Board</w:t>
            </w:r>
          </w:p>
        </w:tc>
        <w:tc>
          <w:tcPr>
            <w:tcW w:w="920" w:type="dxa"/>
            <w:vAlign w:val="bottom"/>
            <w:gridSpan w:val="2"/>
          </w:tcPr>
          <w:p>
            <w:pPr>
              <w:jc w:val="center"/>
              <w:spacing w:after="0"/>
              <w:rPr>
                <w:sz w:val="20"/>
                <w:szCs w:val="20"/>
                <w:color w:val="auto"/>
              </w:rPr>
            </w:pPr>
            <w:r>
              <w:rPr>
                <w:rFonts w:ascii="Arial" w:cs="Arial" w:eastAsia="Arial" w:hAnsi="Arial"/>
                <w:sz w:val="18"/>
                <w:szCs w:val="18"/>
                <w:color w:val="auto"/>
                <w:w w:val="89"/>
              </w:rPr>
              <w:t>2024</w:t>
            </w:r>
          </w:p>
        </w:tc>
        <w:tc>
          <w:tcPr>
            <w:tcW w:w="80" w:type="dxa"/>
            <w:vAlign w:val="bottom"/>
          </w:tcPr>
          <w:p>
            <w:pPr>
              <w:spacing w:after="0"/>
              <w:rPr>
                <w:sz w:val="20"/>
                <w:szCs w:val="20"/>
                <w:color w:val="auto"/>
              </w:rPr>
            </w:pPr>
          </w:p>
        </w:tc>
        <w:tc>
          <w:tcPr>
            <w:tcW w:w="1040" w:type="dxa"/>
            <w:vAlign w:val="bottom"/>
            <w:gridSpan w:val="2"/>
          </w:tcPr>
          <w:p>
            <w:pPr>
              <w:jc w:val="center"/>
              <w:spacing w:after="0"/>
              <w:rPr>
                <w:sz w:val="20"/>
                <w:szCs w:val="20"/>
                <w:color w:val="auto"/>
              </w:rPr>
            </w:pPr>
            <w:r>
              <w:rPr>
                <w:rFonts w:ascii="Arial" w:cs="Arial" w:eastAsia="Arial" w:hAnsi="Arial"/>
                <w:sz w:val="18"/>
                <w:szCs w:val="18"/>
                <w:color w:val="auto"/>
                <w:w w:val="89"/>
              </w:rPr>
              <w:t>2015</w:t>
            </w:r>
          </w:p>
        </w:tc>
        <w:tc>
          <w:tcPr>
            <w:tcW w:w="880" w:type="dxa"/>
            <w:vAlign w:val="bottom"/>
            <w:gridSpan w:val="2"/>
          </w:tcPr>
          <w:p>
            <w:pPr>
              <w:jc w:val="center"/>
              <w:ind w:left="90"/>
              <w:spacing w:after="0"/>
              <w:rPr>
                <w:sz w:val="20"/>
                <w:szCs w:val="20"/>
                <w:color w:val="auto"/>
              </w:rPr>
            </w:pPr>
            <w:r>
              <w:rPr>
                <w:rFonts w:ascii="Arial" w:cs="Arial" w:eastAsia="Arial" w:hAnsi="Arial"/>
                <w:sz w:val="18"/>
                <w:szCs w:val="18"/>
                <w:color w:val="auto"/>
                <w:w w:val="89"/>
              </w:rPr>
              <w:t>52</w:t>
            </w:r>
          </w:p>
        </w:tc>
        <w:tc>
          <w:tcPr>
            <w:tcW w:w="100" w:type="dxa"/>
            <w:vAlign w:val="bottom"/>
          </w:tcPr>
          <w:p>
            <w:pPr>
              <w:spacing w:after="0"/>
              <w:rPr>
                <w:sz w:val="20"/>
                <w:szCs w:val="20"/>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Roland Holst</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5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Board Member</w:t>
            </w:r>
          </w:p>
        </w:tc>
        <w:tc>
          <w:tcPr>
            <w:tcW w:w="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Sudameris Bank, Paraguay</w:t>
            </w:r>
          </w:p>
        </w:tc>
        <w:tc>
          <w:tcPr>
            <w:tcW w:w="80" w:type="dxa"/>
            <w:vAlign w:val="bottom"/>
            <w:shd w:val="clear" w:color="auto" w:fill="CCEEFF"/>
          </w:tcPr>
          <w:p>
            <w:pPr>
              <w:spacing w:after="0"/>
              <w:rPr>
                <w:sz w:val="20"/>
                <w:szCs w:val="20"/>
                <w:color w:val="auto"/>
              </w:rPr>
            </w:pPr>
          </w:p>
        </w:tc>
        <w:tc>
          <w:tcPr>
            <w:tcW w:w="1480" w:type="dxa"/>
            <w:vAlign w:val="bottom"/>
            <w:gridSpan w:val="2"/>
            <w:shd w:val="clear" w:color="auto" w:fill="CCEEFF"/>
          </w:tcPr>
          <w:p>
            <w:pPr>
              <w:jc w:val="center"/>
              <w:ind w:right="180"/>
              <w:spacing w:after="0"/>
              <w:rPr>
                <w:sz w:val="20"/>
                <w:szCs w:val="20"/>
                <w:color w:val="auto"/>
              </w:rPr>
            </w:pPr>
            <w:r>
              <w:rPr>
                <w:rFonts w:ascii="Arial" w:cs="Arial" w:eastAsia="Arial" w:hAnsi="Arial"/>
                <w:sz w:val="18"/>
                <w:szCs w:val="18"/>
                <w:color w:val="auto"/>
                <w:w w:val="85"/>
              </w:rPr>
              <w:t>Paraguay</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2022</w:t>
            </w:r>
          </w:p>
        </w:tc>
        <w:tc>
          <w:tcPr>
            <w:tcW w:w="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51</w:t>
            </w:r>
          </w:p>
        </w:tc>
        <w:tc>
          <w:tcPr>
            <w:tcW w:w="100" w:type="dxa"/>
            <w:vAlign w:val="bottom"/>
            <w:shd w:val="clear" w:color="auto" w:fill="CCEEFF"/>
          </w:tcPr>
          <w:p>
            <w:pPr>
              <w:spacing w:after="0"/>
              <w:rPr>
                <w:sz w:val="20"/>
                <w:szCs w:val="20"/>
                <w:color w:val="auto"/>
              </w:rPr>
            </w:pPr>
          </w:p>
        </w:tc>
      </w:tr>
      <w:tr>
        <w:trPr>
          <w:trHeight w:val="473"/>
        </w:trPr>
        <w:tc>
          <w:tcPr>
            <w:tcW w:w="5080" w:type="dxa"/>
            <w:vAlign w:val="bottom"/>
          </w:tcPr>
          <w:p>
            <w:pPr>
              <w:spacing w:after="0"/>
              <w:rPr>
                <w:sz w:val="20"/>
                <w:szCs w:val="20"/>
                <w:color w:val="auto"/>
              </w:rPr>
            </w:pPr>
            <w:r>
              <w:rPr>
                <w:rFonts w:ascii="Arial" w:cs="Arial" w:eastAsia="Arial" w:hAnsi="Arial"/>
                <w:sz w:val="18"/>
                <w:szCs w:val="18"/>
                <w:b w:val="1"/>
                <w:bCs w:val="1"/>
                <w:color w:val="auto"/>
              </w:rPr>
              <w:t xml:space="preserve">ALL CLASSES OF COMMON STOCK </w:t>
            </w:r>
            <w:r>
              <w:rPr>
                <w:rFonts w:ascii="Arial" w:cs="Arial" w:eastAsia="Arial" w:hAnsi="Arial"/>
                <w:sz w:val="29"/>
                <w:szCs w:val="29"/>
                <w:b w:val="1"/>
                <w:bCs w:val="1"/>
                <w:color w:val="auto"/>
                <w:vertAlign w:val="superscript"/>
              </w:rPr>
              <w:t>(1)</w:t>
            </w:r>
          </w:p>
        </w:tc>
        <w:tc>
          <w:tcPr>
            <w:tcW w:w="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Isela Costantini</w:t>
            </w: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2"/>
        </w:trPr>
        <w:tc>
          <w:tcPr>
            <w:tcW w:w="50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Chief Executive Officer</w:t>
            </w:r>
          </w:p>
        </w:tc>
        <w:tc>
          <w:tcPr>
            <w:tcW w:w="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Grupo ST, Argentina</w:t>
            </w:r>
          </w:p>
        </w:tc>
        <w:tc>
          <w:tcPr>
            <w:tcW w:w="80" w:type="dxa"/>
            <w:vAlign w:val="bottom"/>
            <w:shd w:val="clear" w:color="auto" w:fill="CCEEFF"/>
          </w:tcPr>
          <w:p>
            <w:pPr>
              <w:spacing w:after="0"/>
              <w:rPr>
                <w:sz w:val="20"/>
                <w:szCs w:val="20"/>
                <w:color w:val="auto"/>
              </w:rPr>
            </w:pPr>
          </w:p>
        </w:tc>
        <w:tc>
          <w:tcPr>
            <w:tcW w:w="1480" w:type="dxa"/>
            <w:vAlign w:val="bottom"/>
            <w:gridSpan w:val="2"/>
            <w:shd w:val="clear" w:color="auto" w:fill="CCEEFF"/>
          </w:tcPr>
          <w:p>
            <w:pPr>
              <w:jc w:val="center"/>
              <w:ind w:right="200"/>
              <w:spacing w:after="0"/>
              <w:rPr>
                <w:sz w:val="20"/>
                <w:szCs w:val="20"/>
                <w:color w:val="auto"/>
              </w:rPr>
            </w:pPr>
            <w:r>
              <w:rPr>
                <w:rFonts w:ascii="Arial" w:cs="Arial" w:eastAsia="Arial" w:hAnsi="Arial"/>
                <w:sz w:val="18"/>
                <w:szCs w:val="18"/>
                <w:color w:val="auto"/>
                <w:w w:val="93"/>
              </w:rPr>
              <w:t>Argentina</w:t>
            </w:r>
          </w:p>
        </w:tc>
        <w:tc>
          <w:tcPr>
            <w:tcW w:w="158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2024</w:t>
            </w:r>
          </w:p>
        </w:tc>
        <w:tc>
          <w:tcPr>
            <w:tcW w:w="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880" w:type="dxa"/>
            <w:vAlign w:val="bottom"/>
            <w:gridSpan w:val="2"/>
            <w:shd w:val="clear" w:color="auto" w:fill="CCEEFF"/>
          </w:tcPr>
          <w:p>
            <w:pPr>
              <w:jc w:val="center"/>
              <w:ind w:left="90"/>
              <w:spacing w:after="0"/>
              <w:rPr>
                <w:sz w:val="20"/>
                <w:szCs w:val="20"/>
                <w:color w:val="auto"/>
              </w:rPr>
            </w:pPr>
            <w:r>
              <w:rPr>
                <w:rFonts w:ascii="Arial" w:cs="Arial" w:eastAsia="Arial" w:hAnsi="Arial"/>
                <w:sz w:val="18"/>
                <w:szCs w:val="18"/>
                <w:color w:val="auto"/>
                <w:w w:val="89"/>
              </w:rPr>
              <w:t>49</w:t>
            </w:r>
          </w:p>
        </w:tc>
        <w:tc>
          <w:tcPr>
            <w:tcW w:w="100" w:type="dxa"/>
            <w:vAlign w:val="bottom"/>
            <w:shd w:val="clear" w:color="auto" w:fill="CCEEFF"/>
          </w:tcPr>
          <w:p>
            <w:pPr>
              <w:spacing w:after="0"/>
              <w:rPr>
                <w:sz w:val="20"/>
                <w:szCs w:val="20"/>
                <w:color w:val="auto"/>
              </w:rPr>
            </w:pPr>
          </w:p>
        </w:tc>
      </w:tr>
      <w:tr>
        <w:trPr>
          <w:trHeight w:val="202"/>
        </w:trPr>
        <w:tc>
          <w:tcPr>
            <w:tcW w:w="5080" w:type="dxa"/>
            <w:vAlign w:val="bottom"/>
          </w:tcPr>
          <w:p>
            <w:pPr>
              <w:spacing w:after="0" w:line="201" w:lineRule="exact"/>
              <w:rPr>
                <w:sz w:val="20"/>
                <w:szCs w:val="20"/>
                <w:color w:val="auto"/>
              </w:rPr>
            </w:pPr>
            <w:r>
              <w:rPr>
                <w:rFonts w:ascii="Arial" w:cs="Arial" w:eastAsia="Arial" w:hAnsi="Arial"/>
                <w:sz w:val="18"/>
                <w:szCs w:val="18"/>
                <w:color w:val="auto"/>
              </w:rPr>
              <w:t>Alexandra M. Aguirre</w:t>
            </w:r>
          </w:p>
        </w:tc>
        <w:tc>
          <w:tcPr>
            <w:tcW w:w="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Partner</w:t>
            </w: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Morrison &amp; Foerster LLP, United States</w:t>
            </w:r>
          </w:p>
        </w:tc>
        <w:tc>
          <w:tcPr>
            <w:tcW w:w="8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color w:val="auto"/>
                <w:w w:val="88"/>
              </w:rPr>
              <w:t>United States</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color w:val="auto"/>
                <w:w w:val="95"/>
              </w:rPr>
              <w:t>Director</w:t>
            </w:r>
          </w:p>
        </w:tc>
        <w:tc>
          <w:tcPr>
            <w:tcW w:w="920" w:type="dxa"/>
            <w:vAlign w:val="bottom"/>
            <w:gridSpan w:val="2"/>
          </w:tcPr>
          <w:p>
            <w:pPr>
              <w:jc w:val="center"/>
              <w:spacing w:after="0"/>
              <w:rPr>
                <w:sz w:val="20"/>
                <w:szCs w:val="20"/>
                <w:color w:val="auto"/>
              </w:rPr>
            </w:pPr>
            <w:r>
              <w:rPr>
                <w:rFonts w:ascii="Arial" w:cs="Arial" w:eastAsia="Arial" w:hAnsi="Arial"/>
                <w:sz w:val="18"/>
                <w:szCs w:val="18"/>
                <w:color w:val="auto"/>
                <w:w w:val="89"/>
              </w:rPr>
              <w:t>2024</w:t>
            </w:r>
          </w:p>
        </w:tc>
        <w:tc>
          <w:tcPr>
            <w:tcW w:w="80" w:type="dxa"/>
            <w:vAlign w:val="bottom"/>
          </w:tcPr>
          <w:p>
            <w:pPr>
              <w:spacing w:after="0"/>
              <w:rPr>
                <w:sz w:val="20"/>
                <w:szCs w:val="20"/>
                <w:color w:val="auto"/>
              </w:rPr>
            </w:pPr>
          </w:p>
        </w:tc>
        <w:tc>
          <w:tcPr>
            <w:tcW w:w="1040" w:type="dxa"/>
            <w:vAlign w:val="bottom"/>
            <w:gridSpan w:val="2"/>
          </w:tcPr>
          <w:p>
            <w:pPr>
              <w:jc w:val="center"/>
              <w:spacing w:after="0"/>
              <w:rPr>
                <w:sz w:val="20"/>
                <w:szCs w:val="20"/>
                <w:color w:val="auto"/>
              </w:rPr>
            </w:pPr>
            <w:r>
              <w:rPr>
                <w:rFonts w:ascii="Arial" w:cs="Arial" w:eastAsia="Arial" w:hAnsi="Arial"/>
                <w:sz w:val="18"/>
                <w:szCs w:val="18"/>
                <w:color w:val="auto"/>
                <w:w w:val="89"/>
              </w:rPr>
              <w:t>2020</w:t>
            </w:r>
          </w:p>
        </w:tc>
        <w:tc>
          <w:tcPr>
            <w:tcW w:w="880" w:type="dxa"/>
            <w:vAlign w:val="bottom"/>
            <w:gridSpan w:val="2"/>
          </w:tcPr>
          <w:p>
            <w:pPr>
              <w:jc w:val="center"/>
              <w:ind w:left="90"/>
              <w:spacing w:after="0"/>
              <w:rPr>
                <w:sz w:val="20"/>
                <w:szCs w:val="20"/>
                <w:color w:val="auto"/>
              </w:rPr>
            </w:pPr>
            <w:r>
              <w:rPr>
                <w:rFonts w:ascii="Arial" w:cs="Arial" w:eastAsia="Arial" w:hAnsi="Arial"/>
                <w:sz w:val="18"/>
                <w:szCs w:val="18"/>
                <w:color w:val="auto"/>
                <w:w w:val="89"/>
              </w:rPr>
              <w:t>45</w:t>
            </w:r>
          </w:p>
        </w:tc>
        <w:tc>
          <w:tcPr>
            <w:tcW w:w="100" w:type="dxa"/>
            <w:vAlign w:val="bottom"/>
          </w:tcPr>
          <w:p>
            <w:pPr>
              <w:spacing w:after="0"/>
              <w:rPr>
                <w:sz w:val="20"/>
                <w:szCs w:val="20"/>
                <w:color w:val="auto"/>
              </w:rPr>
            </w:pPr>
          </w:p>
        </w:tc>
      </w:tr>
    </w:tbl>
    <w:p>
      <w:pPr>
        <w:spacing w:after="0" w:line="242" w:lineRule="exact"/>
        <w:rPr>
          <w:sz w:val="20"/>
          <w:szCs w:val="20"/>
          <w:color w:val="auto"/>
        </w:rPr>
      </w:pPr>
    </w:p>
    <w:p>
      <w:pPr>
        <w:jc w:val="right"/>
        <w:ind w:left="5540" w:right="5460" w:hanging="5532"/>
        <w:spacing w:after="0" w:line="755" w:lineRule="auto"/>
        <w:tabs>
          <w:tab w:leader="none" w:pos="226" w:val="left"/>
        </w:tabs>
        <w:numPr>
          <w:ilvl w:val="0"/>
          <w:numId w:val="63"/>
        </w:numPr>
        <w:rPr>
          <w:rFonts w:ascii="Arial" w:cs="Arial" w:eastAsia="Arial" w:hAnsi="Arial"/>
          <w:sz w:val="26"/>
          <w:szCs w:val="26"/>
          <w:color w:val="auto"/>
          <w:vertAlign w:val="superscript"/>
        </w:rPr>
      </w:pPr>
      <w:r>
        <w:rPr>
          <w:rFonts w:ascii="Arial" w:cs="Arial" w:eastAsia="Arial" w:hAnsi="Arial"/>
          <w:sz w:val="16"/>
          <w:szCs w:val="16"/>
          <w:color w:val="auto"/>
        </w:rPr>
        <w:t>Denotes class(es) of common stock of the Bank that elect the directors listed. 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-406400</wp:posOffset>
            </wp:positionV>
            <wp:extent cx="71323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2" w:name="page93"/>
    <w:bookmarkEnd w:id="92"/>
    <w:p>
      <w:pPr>
        <w:jc w:val="both"/>
        <w:spacing w:after="0" w:line="269" w:lineRule="auto"/>
        <w:rPr>
          <w:sz w:val="20"/>
          <w:szCs w:val="20"/>
          <w:color w:val="auto"/>
        </w:rPr>
      </w:pPr>
      <w:r>
        <w:rPr>
          <w:rFonts w:ascii="Arial" w:cs="Arial" w:eastAsia="Arial" w:hAnsi="Arial"/>
          <w:sz w:val="17"/>
          <w:szCs w:val="17"/>
          <w:b w:val="1"/>
          <w:bCs w:val="1"/>
          <w:color w:val="auto"/>
        </w:rPr>
        <w:t xml:space="preserve">João Carlos de Nóbrega Pecego </w:t>
      </w:r>
      <w:r>
        <w:rPr>
          <w:rFonts w:ascii="Arial" w:cs="Arial" w:eastAsia="Arial" w:hAnsi="Arial"/>
          <w:sz w:val="17"/>
          <w:szCs w:val="17"/>
          <w:color w:val="auto"/>
        </w:rPr>
        <w:t>has served as a Director of the Board since 2010. Mr. Pecego has served as Chief Executive Officer of Banco Patagonia,</w:t>
      </w:r>
      <w:r>
        <w:rPr>
          <w:rFonts w:ascii="Arial" w:cs="Arial" w:eastAsia="Arial" w:hAnsi="Arial"/>
          <w:sz w:val="17"/>
          <w:szCs w:val="17"/>
          <w:b w:val="1"/>
          <w:bCs w:val="1"/>
          <w:color w:val="auto"/>
        </w:rPr>
        <w:t xml:space="preserve"> </w:t>
      </w:r>
      <w:r>
        <w:rPr>
          <w:rFonts w:ascii="Arial" w:cs="Arial" w:eastAsia="Arial" w:hAnsi="Arial"/>
          <w:sz w:val="17"/>
          <w:szCs w:val="17"/>
          <w:color w:val="auto"/>
        </w:rPr>
        <w:t>Argentina since 2014, Vice President of GPAT Compañía Financiera since 2016, Director of Patagonia Valores since 2011, Director of Banco Patagonia Uruguay since 2011 and Director of ABA, Asociación de Bancos de la Argentina since 2018. Mr. Pecego was President of Grupo Brasil, Director of Visa Argentina and Director of ADEBA, Asociación de Bancos Argentinos. Mr. Pecego was also Vice President of Banco Patagonia, Argentina from 2011 to 2014 and President of GPAT Compañía Financiera from 2011 to 2016. He has been employed by Banco do Brasil in various capacities since 1978, holding the positions of Manager of the main agencies in the State of São Paulo, Commercial Superintendent in the South Region of Brazil, Executive Manager responsible for Projects and Corporate Financing and Regional General Director - Head of Latin America of Banco do Brasil based in Argentina. Mr. Pecego holds a degree in Business Administration, a postgraduate degree in Business Management from Instituto São Luiz, São Paulo, an MBA in International Business from Fundación Don Cabral, Minais Gerais and in Marketing from Pontificia Universidade Católica do Rio de Janeiro, (PUC). Mr. Pecego was formally commended by the Brazilian government for his work in Mercosur. Mr. Pecego’s professional experience in and related to the banking industry qualifies him to serve on the Board.</w:t>
      </w:r>
    </w:p>
    <w:p>
      <w:pPr>
        <w:spacing w:after="0" w:line="182"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José Alberto Garzón </w:t>
      </w:r>
      <w:r>
        <w:rPr>
          <w:rFonts w:ascii="Arial" w:cs="Arial" w:eastAsia="Arial" w:hAnsi="Arial"/>
          <w:sz w:val="17"/>
          <w:szCs w:val="17"/>
          <w:color w:val="auto"/>
        </w:rPr>
        <w:t>has served as a Director of the Board since 2017. Mr. Garzón has served as Legal Vice President and General Secretary of Banco de</w:t>
      </w:r>
      <w:r>
        <w:rPr>
          <w:rFonts w:ascii="Arial" w:cs="Arial" w:eastAsia="Arial" w:hAnsi="Arial"/>
          <w:sz w:val="17"/>
          <w:szCs w:val="17"/>
          <w:b w:val="1"/>
          <w:bCs w:val="1"/>
          <w:color w:val="auto"/>
        </w:rPr>
        <w:t xml:space="preserve"> </w:t>
      </w:r>
      <w:r>
        <w:rPr>
          <w:rFonts w:ascii="Arial" w:cs="Arial" w:eastAsia="Arial" w:hAnsi="Arial"/>
          <w:sz w:val="17"/>
          <w:szCs w:val="17"/>
          <w:color w:val="auto"/>
        </w:rPr>
        <w:t>Comercio Exterior de Colombia S.A. (Bancoldex) in Colombia since 2003, Administrative Vice President from 2016 to 2017 and in various other capacities with Bancoldex since 1995, holding the positions of Director of the Legal Department and Attorney in the Legal Department. Mr. Garzón has served as a member of the Board of Directors of Fiduciaria Colombiana de Comercio Exterior S.A. (Fiducoldex) in Colombia since 2016, Leasing Bancoldex S.A. Compañía de Financiamiento in Colombia since 2015 and Segurexpo de Colombia, S.A. Aseguradora de Crédito in Colombia since 2000. Previously Mr. Garzón was an Attorney at Legis Editores in Colombia and General Manager of Servibolsa Ltda. Servicios Inmobiliarios. He was a Professor of Credit Insurance in the Insurance Law Program at Pontificia Universidad Javeriana in Colombia and previously taught History of Political Ideas and Insurance at Fundación Universitaria Jorge Tadeo Lozano in Colombia. Mr. Garzón holds a Law degree and a Master’s degree in Financial Law from Universidad del Rosario in Colombia. Mr. Garzón also holds Master’s degrees in Commercial Law and Project Finance Studies from Universidad de Los Andes in Colombia and Insurance Law from Pontificia Universidad Javeriana in Colombia. Mr. Garzón is a graduate of Transformative Business Leadership at Centro de Liderazgo y Gestión and of Leading Economic Growth at Harvard’s Kennedy School. Mr. Garzón’s first-hand experience and vast knowledge of administrative, legal and regulatory matters relating to the banking industry and, in particular, trade finance qualifies him to serve on the Board.</w:t>
      </w:r>
    </w:p>
    <w:p>
      <w:pPr>
        <w:spacing w:after="0" w:line="176" w:lineRule="exact"/>
        <w:rPr>
          <w:sz w:val="20"/>
          <w:szCs w:val="20"/>
          <w:color w:val="auto"/>
        </w:rPr>
      </w:pPr>
    </w:p>
    <w:p>
      <w:pPr>
        <w:jc w:val="both"/>
        <w:spacing w:after="0" w:line="269" w:lineRule="auto"/>
        <w:rPr>
          <w:sz w:val="20"/>
          <w:szCs w:val="20"/>
          <w:color w:val="auto"/>
        </w:rPr>
      </w:pPr>
      <w:r>
        <w:rPr>
          <w:rFonts w:ascii="Arial" w:cs="Arial" w:eastAsia="Arial" w:hAnsi="Arial"/>
          <w:sz w:val="17"/>
          <w:szCs w:val="17"/>
          <w:b w:val="1"/>
          <w:bCs w:val="1"/>
          <w:color w:val="auto"/>
        </w:rPr>
        <w:t xml:space="preserve">Eduardo Hecker </w:t>
      </w:r>
      <w:r>
        <w:rPr>
          <w:rFonts w:ascii="Arial" w:cs="Arial" w:eastAsia="Arial" w:hAnsi="Arial"/>
          <w:sz w:val="17"/>
          <w:szCs w:val="17"/>
          <w:color w:val="auto"/>
        </w:rPr>
        <w:t>has served as a Director of the Board since 2020. Mr. Hecker has served as Chairman of Banco de la Nación Argentina, Argentina,</w:t>
      </w:r>
      <w:r>
        <w:rPr>
          <w:rFonts w:ascii="Arial" w:cs="Arial" w:eastAsia="Arial" w:hAnsi="Arial"/>
          <w:sz w:val="17"/>
          <w:szCs w:val="17"/>
          <w:b w:val="1"/>
          <w:bCs w:val="1"/>
          <w:color w:val="auto"/>
        </w:rPr>
        <w:t xml:space="preserve"> </w:t>
      </w:r>
      <w:r>
        <w:rPr>
          <w:rFonts w:ascii="Arial" w:cs="Arial" w:eastAsia="Arial" w:hAnsi="Arial"/>
          <w:sz w:val="17"/>
          <w:szCs w:val="17"/>
          <w:color w:val="auto"/>
        </w:rPr>
        <w:t xml:space="preserve">Chairman of Asociación de Bancos Públicos y Privados de la República Argentina (ABAPPRA) and Play Digital S.A. since 2019. He previously served as Director of DEL Consultores, Argentina. Mr. Hecker was President of the Comisión Nacional de Valores, Chairman of Banco de la Ciudad de Buenos Aires, Argentina, Second Vice President of Asociación de Bancos Públicos y Privados de la República Argentina (ABAPPRA), Director of Red Link, S.A., Argentina, Secretary of Desarrollo Económico de la Ciudad de Buenos Aires and Director of Centro de Estudios para la Producción-Secretaría de Industria, Comercio y Minería de Argentina. He is currently Director of the Program for Specialization in Banking Administration of Universidad de la Matanza (UNLaM), Argentina and is the author of the following books: </w:t>
      </w:r>
      <w:r>
        <w:rPr>
          <w:rFonts w:ascii="Arial" w:cs="Arial" w:eastAsia="Arial" w:hAnsi="Arial"/>
          <w:sz w:val="17"/>
          <w:szCs w:val="17"/>
          <w:i w:val="1"/>
          <w:iCs w:val="1"/>
          <w:color w:val="auto"/>
        </w:rPr>
        <w:t>Los desafíos del desarrollo, diagnósticos y propuestas</w:t>
      </w:r>
      <w:r>
        <w:rPr>
          <w:rFonts w:ascii="Arial" w:cs="Arial" w:eastAsia="Arial" w:hAnsi="Arial"/>
          <w:sz w:val="17"/>
          <w:szCs w:val="17"/>
          <w:color w:val="auto"/>
        </w:rPr>
        <w:t xml:space="preserve">, published in 2005; </w:t>
      </w:r>
      <w:r>
        <w:rPr>
          <w:rFonts w:ascii="Arial" w:cs="Arial" w:eastAsia="Arial" w:hAnsi="Arial"/>
          <w:sz w:val="17"/>
          <w:szCs w:val="17"/>
          <w:i w:val="1"/>
          <w:iCs w:val="1"/>
          <w:color w:val="auto"/>
        </w:rPr>
        <w:t>Hacia el</w:t>
      </w:r>
      <w:r>
        <w:rPr>
          <w:rFonts w:ascii="Arial" w:cs="Arial" w:eastAsia="Arial" w:hAnsi="Arial"/>
          <w:sz w:val="17"/>
          <w:szCs w:val="17"/>
          <w:color w:val="auto"/>
        </w:rPr>
        <w:t xml:space="preserve"> </w:t>
      </w:r>
      <w:r>
        <w:rPr>
          <w:rFonts w:ascii="Arial" w:cs="Arial" w:eastAsia="Arial" w:hAnsi="Arial"/>
          <w:sz w:val="17"/>
          <w:szCs w:val="17"/>
          <w:i w:val="1"/>
          <w:iCs w:val="1"/>
          <w:color w:val="auto"/>
        </w:rPr>
        <w:t>desarrollo económico, ventajas competitivas, actores y políticas en la Ciudad de Buenos Aires</w:t>
      </w:r>
      <w:r>
        <w:rPr>
          <w:rFonts w:ascii="Arial" w:cs="Arial" w:eastAsia="Arial" w:hAnsi="Arial"/>
          <w:sz w:val="17"/>
          <w:szCs w:val="17"/>
          <w:color w:val="auto"/>
        </w:rPr>
        <w:t>, published in 2003; and</w:t>
      </w:r>
      <w:r>
        <w:rPr>
          <w:rFonts w:ascii="Arial" w:cs="Arial" w:eastAsia="Arial" w:hAnsi="Arial"/>
          <w:sz w:val="17"/>
          <w:szCs w:val="17"/>
          <w:i w:val="1"/>
          <w:iCs w:val="1"/>
          <w:color w:val="auto"/>
        </w:rPr>
        <w:t xml:space="preserve"> La inversión extranjera en la Argentina en los años ´90</w:t>
      </w:r>
      <w:r>
        <w:rPr>
          <w:rFonts w:ascii="Arial" w:cs="Arial" w:eastAsia="Arial" w:hAnsi="Arial"/>
          <w:sz w:val="17"/>
          <w:szCs w:val="17"/>
          <w:color w:val="auto"/>
        </w:rPr>
        <w:t>, published in 1998, among others. In 2003, Mr. Hecker was recognized by Noticias Urbanas with a Quality Award granted under</w:t>
      </w:r>
      <w:r>
        <w:rPr>
          <w:rFonts w:ascii="Arial" w:cs="Arial" w:eastAsia="Arial" w:hAnsi="Arial"/>
          <w:sz w:val="17"/>
          <w:szCs w:val="17"/>
          <w:i w:val="1"/>
          <w:iCs w:val="1"/>
          <w:color w:val="auto"/>
        </w:rPr>
        <w:t xml:space="preserve"> </w:t>
      </w:r>
      <w:r>
        <w:rPr>
          <w:rFonts w:ascii="Arial" w:cs="Arial" w:eastAsia="Arial" w:hAnsi="Arial"/>
          <w:sz w:val="17"/>
          <w:szCs w:val="17"/>
          <w:color w:val="auto"/>
        </w:rPr>
        <w:t>the topic Best Government Management during his office of Secretary of Economic Development of the city of Buenos Aires. Mr. Hecker holds a degree in Economics of Universidad de Buenos Aires, Argentina. His extensive experience along with his academic and consulting skills, qualify him to serve in the board.</w:t>
      </w:r>
    </w:p>
    <w:p>
      <w:pPr>
        <w:spacing w:after="0" w:line="179" w:lineRule="exact"/>
        <w:rPr>
          <w:sz w:val="20"/>
          <w:szCs w:val="20"/>
          <w:color w:val="auto"/>
        </w:rPr>
      </w:pPr>
    </w:p>
    <w:p>
      <w:pPr>
        <w:jc w:val="both"/>
        <w:spacing w:after="0" w:line="286" w:lineRule="auto"/>
        <w:rPr>
          <w:sz w:val="20"/>
          <w:szCs w:val="20"/>
          <w:color w:val="auto"/>
        </w:rPr>
      </w:pPr>
      <w:r>
        <w:rPr>
          <w:rFonts w:ascii="Arial" w:cs="Arial" w:eastAsia="Arial" w:hAnsi="Arial"/>
          <w:sz w:val="16"/>
          <w:szCs w:val="16"/>
          <w:b w:val="1"/>
          <w:bCs w:val="1"/>
          <w:color w:val="auto"/>
        </w:rPr>
        <w:t xml:space="preserve">Ricardo Manuel Arango </w:t>
      </w:r>
      <w:r>
        <w:rPr>
          <w:rFonts w:ascii="Arial" w:cs="Arial" w:eastAsia="Arial" w:hAnsi="Arial"/>
          <w:sz w:val="16"/>
          <w:szCs w:val="16"/>
          <w:color w:val="auto"/>
        </w:rPr>
        <w:t>has served as a Director of the Board since 2016. Mr. Arango is a Senior Partner of the law firm of Arias, Fábrega &amp; Fábrega in</w:t>
      </w:r>
      <w:r>
        <w:rPr>
          <w:rFonts w:ascii="Arial" w:cs="Arial" w:eastAsia="Arial" w:hAnsi="Arial"/>
          <w:sz w:val="16"/>
          <w:szCs w:val="16"/>
          <w:b w:val="1"/>
          <w:bCs w:val="1"/>
          <w:color w:val="auto"/>
        </w:rPr>
        <w:t xml:space="preserve"> </w:t>
      </w:r>
      <w:r>
        <w:rPr>
          <w:rFonts w:ascii="Arial" w:cs="Arial" w:eastAsia="Arial" w:hAnsi="Arial"/>
          <w:sz w:val="16"/>
          <w:szCs w:val="16"/>
          <w:color w:val="auto"/>
        </w:rPr>
        <w:t>Panama. Since 2004, Mr. Arango has held several leadership positions in the firm, contributing to shape the organization into a leading Latin-American law firm. Mr. Arango has served as a member of the board of directors of the Panama Canal Authority since 2016 and as a member of the board of directors and audit and compliance committees of Banco General since 2012. Mr. Arango served as a member of the board of directors of Corporación La Prensa and as Chairman of its Editorial Committee. He also served as a member of the board of directors of the Panama Stock Exchange and as its Chairman. Mr. Arango is a member of the Latin American Business Council (CEAL) and represents his firm before Lex Mundi, the largest network of independent law firms in the world. Mr. Arango worked at White &amp; Case in New York. Mr. Arango worked as an associate with Arias, Fábrega &amp; Fábrega in Panama, becoming a partner of the firm in 1995. Mr. Arango’s professional practice focuses on finance, capital markets, banking regulations, corporate governance and compliance, and mergers and acquisitions. During his career, Mr. Arango has acted as lead counsel in some of the largest and most complex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1983 to 1985. Mr. Arango is admitted to practice law in New York and Panama. Mr. Arango’s strong knowledge of the regulatory frameworks under which the Bank operates; skills in managing legal, compliance, operational and credit risks of the banking industry; diversified perspective based on his combined legal/business acumen; in-depth understanding of the Bank’s business and operations; and experience as a board member for different companies, qualify him to serve on the Board.</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3" w:name="page94"/>
    <w:bookmarkEnd w:id="93"/>
    <w:p>
      <w:pPr>
        <w:jc w:val="both"/>
        <w:spacing w:after="0" w:line="269" w:lineRule="auto"/>
        <w:rPr>
          <w:sz w:val="20"/>
          <w:szCs w:val="20"/>
          <w:color w:val="auto"/>
        </w:rPr>
      </w:pPr>
      <w:r>
        <w:rPr>
          <w:rFonts w:ascii="Arial" w:cs="Arial" w:eastAsia="Arial" w:hAnsi="Arial"/>
          <w:sz w:val="17"/>
          <w:szCs w:val="17"/>
          <w:b w:val="1"/>
          <w:bCs w:val="1"/>
          <w:color w:val="auto"/>
        </w:rPr>
        <w:t xml:space="preserve">Herminio A. Blanco </w:t>
      </w:r>
      <w:r>
        <w:rPr>
          <w:rFonts w:ascii="Arial" w:cs="Arial" w:eastAsia="Arial" w:hAnsi="Arial"/>
          <w:sz w:val="17"/>
          <w:szCs w:val="17"/>
          <w:color w:val="auto"/>
        </w:rPr>
        <w:t>has served as a Director of the Board since 2004. Dr. Blanco has served as President of IQOM since 2005. IQOM offers business</w:t>
      </w:r>
      <w:r>
        <w:rPr>
          <w:rFonts w:ascii="Arial" w:cs="Arial" w:eastAsia="Arial" w:hAnsi="Arial"/>
          <w:sz w:val="17"/>
          <w:szCs w:val="17"/>
          <w:b w:val="1"/>
          <w:bCs w:val="1"/>
          <w:color w:val="auto"/>
        </w:rPr>
        <w:t xml:space="preserve"> </w:t>
      </w:r>
      <w:r>
        <w:rPr>
          <w:rFonts w:ascii="Arial" w:cs="Arial" w:eastAsia="Arial" w:hAnsi="Arial"/>
          <w:sz w:val="17"/>
          <w:szCs w:val="17"/>
          <w:color w:val="auto"/>
        </w:rPr>
        <w:t>solutions on international trade, investment and regulatory affairs. In January 2019 Dr. Blanco and his partners established IQOM Strategic Advisors in Washington D.C. to represent the interests of the Mexican private sector in the United States and to provide strategic intelligence, analysis and lobbying of the United States Congress and the Federal government. Since January 2017, IQOM has been the lead advisor of the Consejo Coordinador Empresarial, the umbrella organization of the Mexican private sector, in the renegotiation of the North American Free Trade Agreement (“NAFTA”). Dr. Blanco has been a member of the board of directors for CYDSA since 2004 and of Fibra Uno since 2011, and he is chairman of Arcelor-Mittal Mexico. He has also been a member of the Trilateral Commission since 2001 and of Science and Technology in Society in Kyoto, Japan. Dr. Blanco served as Secretary of Trade and Industry of Mexico, Undersecretary for International Trade and Negotiations and Chief Negotiator of NAFTA. He was also responsible for the negotiation of the free trade agreement with the European Union, with the European Free Trade Area, with various Latin American countries and with Israel and launched the process that led to the negotiation of the free trade agreement with Japan. Dr. Blanco holds a B.A. in Economics from Instituto Tecnológico de Estudios Superiores de Monterrey, Monterrey Tech,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76"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Mario Covo </w:t>
      </w:r>
      <w:r>
        <w:rPr>
          <w:rFonts w:ascii="Arial" w:cs="Arial" w:eastAsia="Arial" w:hAnsi="Arial"/>
          <w:sz w:val="17"/>
          <w:szCs w:val="17"/>
          <w:color w:val="auto"/>
        </w:rPr>
        <w:t>has served as a Director of the Board since 1999. Dr. Covo is a Founding Partner of DanaMar LLC in New York, a financial consulting firm</w:t>
      </w:r>
      <w:r>
        <w:rPr>
          <w:rFonts w:ascii="Arial" w:cs="Arial" w:eastAsia="Arial" w:hAnsi="Arial"/>
          <w:sz w:val="17"/>
          <w:szCs w:val="17"/>
          <w:b w:val="1"/>
          <w:bCs w:val="1"/>
          <w:color w:val="auto"/>
        </w:rPr>
        <w:t xml:space="preserve"> </w:t>
      </w:r>
      <w:r>
        <w:rPr>
          <w:rFonts w:ascii="Arial" w:cs="Arial" w:eastAsia="Arial" w:hAnsi="Arial"/>
          <w:sz w:val="17"/>
          <w:szCs w:val="17"/>
          <w:color w:val="auto"/>
        </w:rPr>
        <w:t>established in 2013, and of Larch Lane Partners, an investment advisory firm established in 2019. He was a Founding Partner of Helios, a Founding Partner of Finaccess International, Inc. and a Founding Partner of Columbus Advisors. Dr. Covo worked at Merrill Lynch, where he was Head of Emerging Markets-Capital Markets. Prior to working for Merrill Lynch, Dr. Covo worked at Bankers Trust Company of New York as Vice President in the Latin American Merchant Banking Group, focusing on corporate finance and debt-for-equity swaps. Prior to that Dr. Covo was an International Economist for Chase Econometrics,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172" w:lineRule="exact"/>
        <w:rPr>
          <w:sz w:val="20"/>
          <w:szCs w:val="20"/>
          <w:color w:val="auto"/>
        </w:rPr>
      </w:pPr>
    </w:p>
    <w:p>
      <w:pPr>
        <w:jc w:val="both"/>
        <w:spacing w:after="0" w:line="268" w:lineRule="auto"/>
        <w:rPr>
          <w:sz w:val="20"/>
          <w:szCs w:val="20"/>
          <w:color w:val="auto"/>
        </w:rPr>
      </w:pPr>
      <w:r>
        <w:rPr>
          <w:rFonts w:ascii="Arial" w:cs="Arial" w:eastAsia="Arial" w:hAnsi="Arial"/>
          <w:sz w:val="17"/>
          <w:szCs w:val="17"/>
          <w:b w:val="1"/>
          <w:bCs w:val="1"/>
          <w:color w:val="auto"/>
        </w:rPr>
        <w:t xml:space="preserve">Miguel Heras Castro </w:t>
      </w:r>
      <w:r>
        <w:rPr>
          <w:rFonts w:ascii="Arial" w:cs="Arial" w:eastAsia="Arial" w:hAnsi="Arial"/>
          <w:sz w:val="17"/>
          <w:szCs w:val="17"/>
          <w:color w:val="auto"/>
        </w:rPr>
        <w:t>has served as a Director of the Board since 2015 and was elected Chairman of the Board in 2019. Mr. Heras is the Founder and</w:t>
      </w:r>
      <w:r>
        <w:rPr>
          <w:rFonts w:ascii="Arial" w:cs="Arial" w:eastAsia="Arial" w:hAnsi="Arial"/>
          <w:sz w:val="17"/>
          <w:szCs w:val="17"/>
          <w:b w:val="1"/>
          <w:bCs w:val="1"/>
          <w:color w:val="auto"/>
        </w:rPr>
        <w:t xml:space="preserve"> </w:t>
      </w:r>
      <w:r>
        <w:rPr>
          <w:rFonts w:ascii="Arial" w:cs="Arial" w:eastAsia="Arial" w:hAnsi="Arial"/>
          <w:sz w:val="17"/>
          <w:szCs w:val="17"/>
          <w:color w:val="auto"/>
        </w:rPr>
        <w:t>Managing Partner of MKH Capital Partners, a private equity firm based in Florida, U.S.A. Since 1999, he has served as Managing Director and as a member of the Board of Directors of Inversiones Bahia, Ltd. in Panama, the largest investment group in Central America, focusing on the financial, infrastructure, energy, real estate, and communications markets. Mr. Heras currently serves on the boards of Cable Onda, Gas Natural Atlántico, Televisora Nacional and Bahia Motors. He is also a member of The Wharton School of the University of Pennsylvania Executive Board for Latin America and is Vice President of the Board of the Panama Food Bank Foundation. He obtained extensive knowledge and experience in the banking industry while serving as a member of the Board of Directors and Asset-Liability Committee (ALCO) of Banco Continental de Panama for more than 5 years. Mr. Heras structured the acquisition of several companies and banking institutions, and in 2007 led the negotiation for the integration of the banking businesses of Banco Continental de Panamá and Banco General, which converted Banco General into one of the largest banks in Central America. In addition, Mr. Heras was also a member of the Board of Directors of Amnet Telecommunications Holdings, Cable and Wireless (Panama) Inc. and the Panamanian Stock Exchange. Mr. Heras was Minister of the Treasury of the Republic of Panama and President of the Council on Foreign Trade from 1996 to 1998. He served as Vice Minister of the Treasury from 1994 to 1996. Mr. Heras holds a Bachelor of Science in Economics from the Wharton School of Commerce and Finance of the University of Pennsylvania. Mr. Heras’ professional expertise in economics, finance and private equity and his experience as a board member of different companies qualifies him to serve on the Board.</w:t>
      </w:r>
    </w:p>
    <w:p>
      <w:pPr>
        <w:spacing w:after="0" w:line="184"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Roland Holst </w:t>
      </w:r>
      <w:r>
        <w:rPr>
          <w:rFonts w:ascii="Arial" w:cs="Arial" w:eastAsia="Arial" w:hAnsi="Arial"/>
          <w:sz w:val="16"/>
          <w:szCs w:val="16"/>
          <w:color w:val="auto"/>
        </w:rPr>
        <w:t>has served as a Director of the Board since 2017. Dr. Holst was Treasurer and Member Ex-Officio of the Board from May 2017 to October</w:t>
      </w:r>
      <w:r>
        <w:rPr>
          <w:rFonts w:ascii="Arial" w:cs="Arial" w:eastAsia="Arial" w:hAnsi="Arial"/>
          <w:sz w:val="16"/>
          <w:szCs w:val="16"/>
          <w:b w:val="1"/>
          <w:bCs w:val="1"/>
          <w:color w:val="auto"/>
        </w:rPr>
        <w:t xml:space="preserve"> </w:t>
      </w:r>
      <w:r>
        <w:rPr>
          <w:rFonts w:ascii="Arial" w:cs="Arial" w:eastAsia="Arial" w:hAnsi="Arial"/>
          <w:sz w:val="16"/>
          <w:szCs w:val="16"/>
          <w:color w:val="auto"/>
        </w:rPr>
        <w:t xml:space="preserve">2017 and was previously a Board member from 2014 to 2017. Dr. Holst has served as a board member of Sudameris Bank, Paraguay since 2017 and served as a Director of the Board of Banco Central del Paraguay from 2012 to 2017. He was Head of Fixed Income Research at State Street Global Markets in Boston, Massachusetts and Quantitative Analyst at Starmine Corp. in San Francisco, California. He was a Teaching Assistant of Econometrics, Public Finance, Finance, Program Evaluation, Macroeconomics and Labor Economics at the University of Chicago. Dr. Holst worked at Garantia PFP, a pension fund, as an Investment Manager and was General Manager of Bolsa de Valores de Asunción, Paraguay. He is the author of </w:t>
      </w:r>
      <w:r>
        <w:rPr>
          <w:rFonts w:ascii="Arial" w:cs="Arial" w:eastAsia="Arial" w:hAnsi="Arial"/>
          <w:sz w:val="16"/>
          <w:szCs w:val="16"/>
          <w:i w:val="1"/>
          <w:iCs w:val="1"/>
          <w:color w:val="auto"/>
        </w:rPr>
        <w:t>Social Security and Policy Risk:</w:t>
      </w:r>
      <w:r>
        <w:rPr>
          <w:rFonts w:ascii="Arial" w:cs="Arial" w:eastAsia="Arial" w:hAnsi="Arial"/>
          <w:sz w:val="16"/>
          <w:szCs w:val="16"/>
          <w:color w:val="auto"/>
        </w:rPr>
        <w:t xml:space="preserve"> </w:t>
      </w:r>
      <w:r>
        <w:rPr>
          <w:rFonts w:ascii="Arial" w:cs="Arial" w:eastAsia="Arial" w:hAnsi="Arial"/>
          <w:sz w:val="16"/>
          <w:szCs w:val="16"/>
          <w:i w:val="1"/>
          <w:iCs w:val="1"/>
          <w:color w:val="auto"/>
        </w:rPr>
        <w:t>Evidence of its effects on welfare costs and savings</w:t>
      </w:r>
      <w:r>
        <w:rPr>
          <w:rFonts w:ascii="Arial" w:cs="Arial" w:eastAsia="Arial" w:hAnsi="Arial"/>
          <w:sz w:val="16"/>
          <w:szCs w:val="16"/>
          <w:color w:val="auto"/>
        </w:rPr>
        <w:t>, published in 2007. Dr. Holst holds a Ph.D. in Public Policy and a Master in Economics from the</w:t>
      </w:r>
      <w:r>
        <w:rPr>
          <w:rFonts w:ascii="Arial" w:cs="Arial" w:eastAsia="Arial" w:hAnsi="Arial"/>
          <w:sz w:val="16"/>
          <w:szCs w:val="16"/>
          <w:i w:val="1"/>
          <w:iCs w:val="1"/>
          <w:color w:val="auto"/>
        </w:rPr>
        <w:t xml:space="preserve"> </w:t>
      </w:r>
      <w:r>
        <w:rPr>
          <w:rFonts w:ascii="Arial" w:cs="Arial" w:eastAsia="Arial" w:hAnsi="Arial"/>
          <w:sz w:val="16"/>
          <w:szCs w:val="16"/>
          <w:color w:val="auto"/>
        </w:rPr>
        <w:t>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accomplishments qualify him to serve on the Board.</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4" w:name="page95"/>
    <w:bookmarkEnd w:id="94"/>
    <w:p>
      <w:pPr>
        <w:jc w:val="both"/>
        <w:spacing w:after="0" w:line="272" w:lineRule="auto"/>
        <w:rPr>
          <w:sz w:val="20"/>
          <w:szCs w:val="20"/>
          <w:color w:val="auto"/>
        </w:rPr>
      </w:pPr>
      <w:r>
        <w:rPr>
          <w:rFonts w:ascii="Arial" w:cs="Arial" w:eastAsia="Arial" w:hAnsi="Arial"/>
          <w:sz w:val="17"/>
          <w:szCs w:val="17"/>
          <w:b w:val="1"/>
          <w:bCs w:val="1"/>
          <w:color w:val="auto"/>
        </w:rPr>
        <w:t xml:space="preserve">Isela Costantini </w:t>
      </w:r>
      <w:r>
        <w:rPr>
          <w:rFonts w:ascii="Arial" w:cs="Arial" w:eastAsia="Arial" w:hAnsi="Arial"/>
          <w:sz w:val="17"/>
          <w:szCs w:val="17"/>
          <w:color w:val="auto"/>
        </w:rPr>
        <w:t>has served as a Director of the Board since 2019. Ms. Costantini is currently the Chief Executive Officer of GST Financial Services in</w:t>
      </w:r>
      <w:r>
        <w:rPr>
          <w:rFonts w:ascii="Arial" w:cs="Arial" w:eastAsia="Arial" w:hAnsi="Arial"/>
          <w:sz w:val="17"/>
          <w:szCs w:val="17"/>
          <w:b w:val="1"/>
          <w:bCs w:val="1"/>
          <w:color w:val="auto"/>
        </w:rPr>
        <w:t xml:space="preserve"> </w:t>
      </w:r>
      <w:r>
        <w:rPr>
          <w:rFonts w:ascii="Arial" w:cs="Arial" w:eastAsia="Arial" w:hAnsi="Arial"/>
          <w:sz w:val="17"/>
          <w:szCs w:val="17"/>
          <w:color w:val="auto"/>
        </w:rPr>
        <w:t>Argentina. She has served as a member of the boards of each of San Miguel S.A. and Novae since 2019, IRSA S.A. since 2017, and the Food Bank of Argentina since 2015. In addition, she is a counsel member of CIPPEC (Centro de Implementación de Políticas Públicas para la Equidad y el Crecimiento) since 2017. She has previously served as President and Chief Executive Officer of Aerolíneas Argentinas and held multiple positions at General Motors, where she began working in 1998 and became President of the company for Argentina, Paraguay and Uruguay. Ms. Costantini holds a Social Communications Degree, with a Major in Advertising from Pontificia Universidade Catolica do Parana (PUC-PR), Brazil and an MBA, with specialization in Marketing and International Business from Loyola University in Chicago. Ms. Costantini professional expertise in restructuring, marketing and communications, and experience as a board member and in leadership roles in different entities, qualify her to serve on the Board.</w:t>
      </w:r>
    </w:p>
    <w:p>
      <w:pPr>
        <w:spacing w:after="0" w:line="172"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Alexandra M. Aguirre </w:t>
      </w:r>
      <w:r>
        <w:rPr>
          <w:rFonts w:ascii="Arial" w:cs="Arial" w:eastAsia="Arial" w:hAnsi="Arial"/>
          <w:sz w:val="16"/>
          <w:szCs w:val="16"/>
          <w:color w:val="auto"/>
        </w:rPr>
        <w:t>has served as a Director of the Board since 2020. Ms. Aguirre is a partner at Morrison &amp; Foerster, LLP. Previously, Ms. Aguirre</w:t>
      </w:r>
      <w:r>
        <w:rPr>
          <w:rFonts w:ascii="Arial" w:cs="Arial" w:eastAsia="Arial" w:hAnsi="Arial"/>
          <w:sz w:val="16"/>
          <w:szCs w:val="16"/>
          <w:b w:val="1"/>
          <w:bCs w:val="1"/>
          <w:color w:val="auto"/>
        </w:rPr>
        <w:t xml:space="preserve"> </w:t>
      </w:r>
      <w:r>
        <w:rPr>
          <w:rFonts w:ascii="Arial" w:cs="Arial" w:eastAsia="Arial" w:hAnsi="Arial"/>
          <w:sz w:val="16"/>
          <w:szCs w:val="16"/>
          <w:color w:val="auto"/>
        </w:rPr>
        <w:t>was a shareholder at Greenberg Traurig LLP. Ms. Aguirre has been acting as Secretary and General Counsel and Vice-Chair of the Governance and Nominations Committee of Pan American Development Foundation and Director of Fundación Uno since 2015, member of the Presidential Advisory Council (PAC) of INCAE Business School since 2019. She has also served as a board member of the Women Lawyer’s Interest of the International Bar Association since 2019. Ms. Aguirre holds a Bachelor’s Degree in Marketing and Entrepreneurial from Babson College and a Juris Doctor from Northeastern University School of Law. Ms. Aguirre has been listed for the awards of “40 under 40” (The M&amp;A Advisor 2015) and the Florida Super Lawyers, Rising Star (Super Lawyers Magazine 2009). She was also a finalist to receive the Top Dealmaker of the Year Award, Corporate Category (Daily Business Review 2012) and recipient of M&amp;A Deal of the Year Award (Latin Lawyers Magazine 2008). Ms. Aguirre is admitted to practice law in Florida, District of Columbia and New York. Ms. Aguirre's professional expertise in corporate finance law, corporate governance and cross-border financing transactions in Latin America and United States and her experience as board member in different entities, qualify her to serve on the Board.</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5" w:name="page96"/>
    <w:bookmarkEnd w:id="95"/>
    <w:p>
      <w:pPr>
        <w:jc w:val="both"/>
        <w:ind w:right="20"/>
        <w:spacing w:after="0" w:line="277" w:lineRule="auto"/>
        <w:rPr>
          <w:sz w:val="20"/>
          <w:szCs w:val="20"/>
          <w:color w:val="auto"/>
        </w:rPr>
      </w:pPr>
      <w:r>
        <w:rPr>
          <w:rFonts w:ascii="Arial" w:cs="Arial" w:eastAsia="Arial" w:hAnsi="Arial"/>
          <w:sz w:val="18"/>
          <w:szCs w:val="18"/>
          <w:color w:val="auto"/>
        </w:rPr>
        <w:t>See Item 10, “Additional Information – Memorandum and Articles of Association” for a description of the shareholders’ voting rights with respect to the election of directors.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Executive Officers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following table and biographies set forth the names of the executive officers of the Bank, their respective positions at the date hereof and positions held by them with the Bank and other entities in prior years: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960" w:type="dxa"/>
            <w:vAlign w:val="bottom"/>
            <w:gridSpan w:val="2"/>
          </w:tcPr>
          <w:p>
            <w:pPr>
              <w:spacing w:after="0"/>
              <w:rPr>
                <w:sz w:val="20"/>
                <w:szCs w:val="20"/>
                <w:color w:val="auto"/>
              </w:rPr>
            </w:pPr>
            <w:r>
              <w:rPr>
                <w:rFonts w:ascii="Arial" w:cs="Arial" w:eastAsia="Arial" w:hAnsi="Arial"/>
                <w:sz w:val="18"/>
                <w:szCs w:val="18"/>
                <w:b w:val="1"/>
                <w:bCs w:val="1"/>
                <w:color w:val="auto"/>
              </w:rPr>
              <w:t>Name</w:t>
            </w:r>
          </w:p>
        </w:tc>
        <w:tc>
          <w:tcPr>
            <w:tcW w:w="2800" w:type="dxa"/>
            <w:vAlign w:val="bottom"/>
            <w:gridSpan w:val="2"/>
          </w:tcPr>
          <w:p>
            <w:pPr>
              <w:ind w:left="260"/>
              <w:spacing w:after="0"/>
              <w:rPr>
                <w:sz w:val="20"/>
                <w:szCs w:val="20"/>
                <w:color w:val="auto"/>
              </w:rPr>
            </w:pPr>
            <w:r>
              <w:rPr>
                <w:rFonts w:ascii="Arial" w:cs="Arial" w:eastAsia="Arial" w:hAnsi="Arial"/>
                <w:sz w:val="18"/>
                <w:szCs w:val="18"/>
                <w:b w:val="1"/>
                <w:bCs w:val="1"/>
                <w:color w:val="auto"/>
              </w:rPr>
              <w:t>Position Held with the Bank</w:t>
            </w:r>
          </w:p>
        </w:tc>
        <w:tc>
          <w:tcPr>
            <w:tcW w:w="28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Country of Citizenship</w:t>
            </w:r>
          </w:p>
        </w:tc>
        <w:tc>
          <w:tcPr>
            <w:tcW w:w="2680" w:type="dxa"/>
            <w:vAlign w:val="bottom"/>
            <w:gridSpan w:val="2"/>
          </w:tcPr>
          <w:p>
            <w:pPr>
              <w:jc w:val="right"/>
              <w:ind w:right="1240"/>
              <w:spacing w:after="0"/>
              <w:rPr>
                <w:sz w:val="20"/>
                <w:szCs w:val="20"/>
                <w:color w:val="auto"/>
              </w:rPr>
            </w:pPr>
            <w:r>
              <w:rPr>
                <w:rFonts w:ascii="Arial" w:cs="Arial" w:eastAsia="Arial" w:hAnsi="Arial"/>
                <w:sz w:val="18"/>
                <w:szCs w:val="18"/>
                <w:b w:val="1"/>
                <w:bCs w:val="1"/>
                <w:color w:val="auto"/>
              </w:rPr>
              <w:t>Age</w:t>
            </w:r>
          </w:p>
        </w:tc>
        <w:tc>
          <w:tcPr>
            <w:tcW w:w="0" w:type="dxa"/>
            <w:vAlign w:val="bottom"/>
          </w:tcPr>
          <w:p>
            <w:pPr>
              <w:spacing w:after="0"/>
              <w:rPr>
                <w:sz w:val="1"/>
                <w:szCs w:val="1"/>
                <w:color w:val="auto"/>
              </w:rPr>
            </w:pPr>
          </w:p>
        </w:tc>
      </w:tr>
      <w:tr>
        <w:trPr>
          <w:trHeight w:val="210"/>
        </w:trPr>
        <w:tc>
          <w:tcPr>
            <w:tcW w:w="2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Jorge Salas</w:t>
            </w:r>
          </w:p>
        </w:tc>
        <w:tc>
          <w:tcPr>
            <w:tcW w:w="140" w:type="dxa"/>
            <w:vAlign w:val="bottom"/>
            <w:tcBorders>
              <w:top w:val="single" w:sz="8" w:color="CCEEFF"/>
            </w:tcBorders>
            <w:shd w:val="clear" w:color="auto" w:fill="CCEEFF"/>
          </w:tcPr>
          <w:p>
            <w:pPr>
              <w:spacing w:after="0"/>
              <w:rPr>
                <w:sz w:val="18"/>
                <w:szCs w:val="18"/>
                <w:color w:val="auto"/>
              </w:rPr>
            </w:pPr>
          </w:p>
        </w:tc>
        <w:tc>
          <w:tcPr>
            <w:tcW w:w="27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Chief Executive Officer</w:t>
            </w:r>
          </w:p>
        </w:tc>
        <w:tc>
          <w:tcPr>
            <w:tcW w:w="100" w:type="dxa"/>
            <w:vAlign w:val="bottom"/>
            <w:tcBorders>
              <w:top w:val="single" w:sz="8" w:color="CCEEFF"/>
            </w:tcBorders>
            <w:shd w:val="clear" w:color="auto" w:fill="CCEEFF"/>
          </w:tcPr>
          <w:p>
            <w:pPr>
              <w:spacing w:after="0"/>
              <w:rPr>
                <w:sz w:val="18"/>
                <w:szCs w:val="18"/>
                <w:color w:val="auto"/>
              </w:rPr>
            </w:pPr>
          </w:p>
        </w:tc>
        <w:tc>
          <w:tcPr>
            <w:tcW w:w="26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6"/>
              </w:rPr>
              <w:t>Spain</w:t>
            </w:r>
          </w:p>
        </w:tc>
        <w:tc>
          <w:tcPr>
            <w:tcW w:w="120" w:type="dxa"/>
            <w:vAlign w:val="bottom"/>
            <w:tcBorders>
              <w:top w:val="single" w:sz="8" w:color="CCEEFF"/>
            </w:tcBorders>
            <w:shd w:val="clear" w:color="auto" w:fill="CCEEFF"/>
          </w:tcPr>
          <w:p>
            <w:pPr>
              <w:spacing w:after="0"/>
              <w:rPr>
                <w:sz w:val="18"/>
                <w:szCs w:val="18"/>
                <w:color w:val="auto"/>
              </w:rPr>
            </w:pPr>
          </w:p>
        </w:tc>
        <w:tc>
          <w:tcPr>
            <w:tcW w:w="2580" w:type="dxa"/>
            <w:vAlign w:val="bottom"/>
            <w:tcBorders>
              <w:top w:val="single" w:sz="8" w:color="auto"/>
            </w:tcBorders>
            <w:shd w:val="clear" w:color="auto" w:fill="CCEEFF"/>
          </w:tcPr>
          <w:p>
            <w:pPr>
              <w:jc w:val="right"/>
              <w:ind w:right="1070"/>
              <w:spacing w:after="0"/>
              <w:rPr>
                <w:sz w:val="20"/>
                <w:szCs w:val="20"/>
                <w:color w:val="auto"/>
              </w:rPr>
            </w:pPr>
            <w:r>
              <w:rPr>
                <w:rFonts w:ascii="Arial" w:cs="Arial" w:eastAsia="Arial" w:hAnsi="Arial"/>
                <w:sz w:val="18"/>
                <w:szCs w:val="18"/>
                <w:color w:val="auto"/>
              </w:rPr>
              <w:t>50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960" w:type="dxa"/>
            <w:vAlign w:val="bottom"/>
            <w:gridSpan w:val="2"/>
            <w:vMerge w:val="restart"/>
          </w:tcPr>
          <w:p>
            <w:pPr>
              <w:spacing w:after="0"/>
              <w:rPr>
                <w:sz w:val="20"/>
                <w:szCs w:val="20"/>
                <w:color w:val="auto"/>
              </w:rPr>
            </w:pPr>
            <w:r>
              <w:rPr>
                <w:rFonts w:ascii="Arial" w:cs="Arial" w:eastAsia="Arial" w:hAnsi="Arial"/>
                <w:sz w:val="18"/>
                <w:szCs w:val="18"/>
                <w:color w:val="auto"/>
              </w:rPr>
              <w:t>Erica Lijtztain</w:t>
            </w: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vMerge w:val="restart"/>
          </w:tcPr>
          <w:p>
            <w:pPr>
              <w:jc w:val="right"/>
              <w:ind w:right="1070"/>
              <w:spacing w:after="0"/>
              <w:rPr>
                <w:sz w:val="20"/>
                <w:szCs w:val="20"/>
                <w:color w:val="auto"/>
              </w:rPr>
            </w:pPr>
            <w:r>
              <w:rPr>
                <w:rFonts w:ascii="Arial" w:cs="Arial" w:eastAsia="Arial" w:hAnsi="Arial"/>
                <w:sz w:val="18"/>
                <w:szCs w:val="18"/>
                <w:color w:val="auto"/>
              </w:rPr>
              <w:t>49</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continue"/>
          </w:tcPr>
          <w:p>
            <w:pPr>
              <w:spacing w:after="0"/>
              <w:rPr>
                <w:sz w:val="10"/>
                <w:szCs w:val="10"/>
                <w:color w:val="auto"/>
              </w:rPr>
            </w:pPr>
          </w:p>
        </w:tc>
        <w:tc>
          <w:tcPr>
            <w:tcW w:w="2800" w:type="dxa"/>
            <w:vAlign w:val="bottom"/>
            <w:gridSpan w:val="2"/>
            <w:vMerge w:val="restart"/>
          </w:tcPr>
          <w:p>
            <w:pPr>
              <w:spacing w:after="0"/>
              <w:rPr>
                <w:sz w:val="20"/>
                <w:szCs w:val="20"/>
                <w:color w:val="auto"/>
              </w:rPr>
            </w:pPr>
            <w:r>
              <w:rPr>
                <w:rFonts w:ascii="Arial" w:cs="Arial" w:eastAsia="Arial" w:hAnsi="Arial"/>
                <w:sz w:val="18"/>
                <w:szCs w:val="18"/>
                <w:color w:val="auto"/>
              </w:rPr>
              <w:t>Chief Operating Officer</w:t>
            </w:r>
          </w:p>
        </w:tc>
        <w:tc>
          <w:tcPr>
            <w:tcW w:w="2800" w:type="dxa"/>
            <w:vAlign w:val="bottom"/>
            <w:gridSpan w:val="2"/>
            <w:vMerge w:val="continue"/>
          </w:tcPr>
          <w:p>
            <w:pPr>
              <w:spacing w:after="0"/>
              <w:rPr>
                <w:sz w:val="10"/>
                <w:szCs w:val="10"/>
                <w:color w:val="auto"/>
              </w:rPr>
            </w:pPr>
          </w:p>
        </w:tc>
        <w:tc>
          <w:tcPr>
            <w:tcW w:w="258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820" w:type="dxa"/>
            <w:vAlign w:val="bottom"/>
          </w:tcPr>
          <w:p>
            <w:pPr>
              <w:spacing w:after="0"/>
              <w:rPr>
                <w:sz w:val="9"/>
                <w:szCs w:val="9"/>
                <w:color w:val="auto"/>
              </w:rPr>
            </w:pPr>
          </w:p>
        </w:tc>
        <w:tc>
          <w:tcPr>
            <w:tcW w:w="140" w:type="dxa"/>
            <w:vAlign w:val="bottom"/>
          </w:tcPr>
          <w:p>
            <w:pPr>
              <w:spacing w:after="0"/>
              <w:rPr>
                <w:sz w:val="9"/>
                <w:szCs w:val="9"/>
                <w:color w:val="auto"/>
              </w:rPr>
            </w:pPr>
          </w:p>
        </w:tc>
        <w:tc>
          <w:tcPr>
            <w:tcW w:w="2800" w:type="dxa"/>
            <w:vAlign w:val="bottom"/>
            <w:gridSpan w:val="2"/>
            <w:vMerge w:val="continue"/>
          </w:tcPr>
          <w:p>
            <w:pPr>
              <w:spacing w:after="0"/>
              <w:rPr>
                <w:sz w:val="9"/>
                <w:szCs w:val="9"/>
                <w:color w:val="auto"/>
              </w:rPr>
            </w:pPr>
          </w:p>
        </w:tc>
        <w:tc>
          <w:tcPr>
            <w:tcW w:w="2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9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Alejandro Jaramillo</w:t>
            </w: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94"/>
              </w:rPr>
              <w:t>Colombia</w:t>
            </w:r>
          </w:p>
        </w:tc>
        <w:tc>
          <w:tcPr>
            <w:tcW w:w="2580" w:type="dxa"/>
            <w:vAlign w:val="bottom"/>
            <w:vMerge w:val="restart"/>
            <w:shd w:val="clear" w:color="auto" w:fill="CCEEFF"/>
          </w:tcPr>
          <w:p>
            <w:pPr>
              <w:jc w:val="right"/>
              <w:ind w:right="1070"/>
              <w:spacing w:after="0"/>
              <w:rPr>
                <w:sz w:val="20"/>
                <w:szCs w:val="20"/>
                <w:color w:val="auto"/>
              </w:rPr>
            </w:pPr>
            <w:r>
              <w:rPr>
                <w:rFonts w:ascii="Arial" w:cs="Arial" w:eastAsia="Arial" w:hAnsi="Arial"/>
                <w:sz w:val="18"/>
                <w:szCs w:val="18"/>
                <w:color w:val="auto"/>
              </w:rPr>
              <w:t>45</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continue"/>
            <w:shd w:val="clear" w:color="auto" w:fill="CCEEFF"/>
          </w:tcPr>
          <w:p>
            <w:pPr>
              <w:spacing w:after="0"/>
              <w:rPr>
                <w:sz w:val="10"/>
                <w:szCs w:val="10"/>
                <w:color w:val="auto"/>
              </w:rPr>
            </w:pPr>
          </w:p>
        </w:tc>
        <w:tc>
          <w:tcPr>
            <w:tcW w:w="280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Chief Commercial Officer</w:t>
            </w:r>
          </w:p>
        </w:tc>
        <w:tc>
          <w:tcPr>
            <w:tcW w:w="2800" w:type="dxa"/>
            <w:vAlign w:val="bottom"/>
            <w:gridSpan w:val="2"/>
            <w:vMerge w:val="continue"/>
            <w:shd w:val="clear" w:color="auto" w:fill="CCEEFF"/>
          </w:tcPr>
          <w:p>
            <w:pPr>
              <w:spacing w:after="0"/>
              <w:rPr>
                <w:sz w:val="10"/>
                <w:szCs w:val="10"/>
                <w:color w:val="auto"/>
              </w:rPr>
            </w:pPr>
          </w:p>
        </w:tc>
        <w:tc>
          <w:tcPr>
            <w:tcW w:w="2580" w:type="dxa"/>
            <w:vAlign w:val="bottom"/>
            <w:vMerge w:val="continue"/>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8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2800" w:type="dxa"/>
            <w:vAlign w:val="bottom"/>
            <w:gridSpan w:val="2"/>
            <w:vMerge w:val="continue"/>
            <w:shd w:val="clear" w:color="auto" w:fill="CCEEFF"/>
          </w:tcPr>
          <w:p>
            <w:pPr>
              <w:spacing w:after="0"/>
              <w:rPr>
                <w:sz w:val="9"/>
                <w:szCs w:val="9"/>
                <w:color w:val="auto"/>
              </w:rPr>
            </w:pPr>
          </w:p>
        </w:tc>
        <w:tc>
          <w:tcPr>
            <w:tcW w:w="26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2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960" w:type="dxa"/>
            <w:vAlign w:val="bottom"/>
            <w:gridSpan w:val="2"/>
            <w:vMerge w:val="restart"/>
          </w:tcPr>
          <w:p>
            <w:pPr>
              <w:spacing w:after="0"/>
              <w:rPr>
                <w:sz w:val="20"/>
                <w:szCs w:val="20"/>
                <w:color w:val="auto"/>
              </w:rPr>
            </w:pPr>
            <w:r>
              <w:rPr>
                <w:rFonts w:ascii="Arial" w:cs="Arial" w:eastAsia="Arial" w:hAnsi="Arial"/>
                <w:sz w:val="18"/>
                <w:szCs w:val="18"/>
                <w:color w:val="auto"/>
              </w:rPr>
              <w:t>Ana Graciela de Méndez</w:t>
            </w: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vMerge w:val="restart"/>
          </w:tcPr>
          <w:p>
            <w:pPr>
              <w:jc w:val="right"/>
              <w:ind w:right="1070"/>
              <w:spacing w:after="0"/>
              <w:rPr>
                <w:sz w:val="20"/>
                <w:szCs w:val="20"/>
                <w:color w:val="auto"/>
              </w:rPr>
            </w:pPr>
            <w:r>
              <w:rPr>
                <w:rFonts w:ascii="Arial" w:cs="Arial" w:eastAsia="Arial" w:hAnsi="Arial"/>
                <w:sz w:val="18"/>
                <w:szCs w:val="18"/>
                <w:color w:val="auto"/>
              </w:rPr>
              <w:t>54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continue"/>
          </w:tcPr>
          <w:p>
            <w:pPr>
              <w:spacing w:after="0"/>
              <w:rPr>
                <w:sz w:val="10"/>
                <w:szCs w:val="10"/>
                <w:color w:val="auto"/>
              </w:rPr>
            </w:pPr>
          </w:p>
        </w:tc>
        <w:tc>
          <w:tcPr>
            <w:tcW w:w="2800" w:type="dxa"/>
            <w:vAlign w:val="bottom"/>
            <w:gridSpan w:val="2"/>
            <w:vMerge w:val="restart"/>
          </w:tcPr>
          <w:p>
            <w:pPr>
              <w:spacing w:after="0"/>
              <w:rPr>
                <w:sz w:val="20"/>
                <w:szCs w:val="20"/>
                <w:color w:val="auto"/>
              </w:rPr>
            </w:pPr>
            <w:r>
              <w:rPr>
                <w:rFonts w:ascii="Arial" w:cs="Arial" w:eastAsia="Arial" w:hAnsi="Arial"/>
                <w:sz w:val="18"/>
                <w:szCs w:val="18"/>
                <w:color w:val="auto"/>
              </w:rPr>
              <w:t>Chief Financial Officer</w:t>
            </w:r>
          </w:p>
        </w:tc>
        <w:tc>
          <w:tcPr>
            <w:tcW w:w="2800" w:type="dxa"/>
            <w:vAlign w:val="bottom"/>
            <w:gridSpan w:val="2"/>
            <w:vMerge w:val="continue"/>
          </w:tcPr>
          <w:p>
            <w:pPr>
              <w:spacing w:after="0"/>
              <w:rPr>
                <w:sz w:val="10"/>
                <w:szCs w:val="10"/>
                <w:color w:val="auto"/>
              </w:rPr>
            </w:pPr>
          </w:p>
        </w:tc>
        <w:tc>
          <w:tcPr>
            <w:tcW w:w="258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820" w:type="dxa"/>
            <w:vAlign w:val="bottom"/>
          </w:tcPr>
          <w:p>
            <w:pPr>
              <w:spacing w:after="0"/>
              <w:rPr>
                <w:sz w:val="9"/>
                <w:szCs w:val="9"/>
                <w:color w:val="auto"/>
              </w:rPr>
            </w:pPr>
          </w:p>
        </w:tc>
        <w:tc>
          <w:tcPr>
            <w:tcW w:w="140" w:type="dxa"/>
            <w:vAlign w:val="bottom"/>
          </w:tcPr>
          <w:p>
            <w:pPr>
              <w:spacing w:after="0"/>
              <w:rPr>
                <w:sz w:val="9"/>
                <w:szCs w:val="9"/>
                <w:color w:val="auto"/>
              </w:rPr>
            </w:pPr>
          </w:p>
        </w:tc>
        <w:tc>
          <w:tcPr>
            <w:tcW w:w="2800" w:type="dxa"/>
            <w:vAlign w:val="bottom"/>
            <w:gridSpan w:val="2"/>
            <w:vMerge w:val="continue"/>
          </w:tcPr>
          <w:p>
            <w:pPr>
              <w:spacing w:after="0"/>
              <w:rPr>
                <w:sz w:val="9"/>
                <w:szCs w:val="9"/>
                <w:color w:val="auto"/>
              </w:rPr>
            </w:pPr>
          </w:p>
        </w:tc>
        <w:tc>
          <w:tcPr>
            <w:tcW w:w="2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9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Eduardo Vivone</w:t>
            </w: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vMerge w:val="restart"/>
            <w:shd w:val="clear" w:color="auto" w:fill="CCEEFF"/>
          </w:tcPr>
          <w:p>
            <w:pPr>
              <w:jc w:val="right"/>
              <w:ind w:right="1070"/>
              <w:spacing w:after="0"/>
              <w:rPr>
                <w:sz w:val="20"/>
                <w:szCs w:val="20"/>
                <w:color w:val="auto"/>
              </w:rPr>
            </w:pPr>
            <w:r>
              <w:rPr>
                <w:rFonts w:ascii="Arial" w:cs="Arial" w:eastAsia="Arial" w:hAnsi="Arial"/>
                <w:sz w:val="18"/>
                <w:szCs w:val="18"/>
                <w:color w:val="auto"/>
              </w:rPr>
              <w:t>56</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continue"/>
            <w:shd w:val="clear" w:color="auto" w:fill="CCEEFF"/>
          </w:tcPr>
          <w:p>
            <w:pPr>
              <w:spacing w:after="0"/>
              <w:rPr>
                <w:sz w:val="10"/>
                <w:szCs w:val="10"/>
                <w:color w:val="auto"/>
              </w:rPr>
            </w:pPr>
          </w:p>
        </w:tc>
        <w:tc>
          <w:tcPr>
            <w:tcW w:w="280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Treasury and Capital Markets</w:t>
            </w:r>
          </w:p>
        </w:tc>
        <w:tc>
          <w:tcPr>
            <w:tcW w:w="2800" w:type="dxa"/>
            <w:vAlign w:val="bottom"/>
            <w:gridSpan w:val="2"/>
            <w:vMerge w:val="continue"/>
            <w:shd w:val="clear" w:color="auto" w:fill="CCEEFF"/>
          </w:tcPr>
          <w:p>
            <w:pPr>
              <w:spacing w:after="0"/>
              <w:rPr>
                <w:sz w:val="10"/>
                <w:szCs w:val="10"/>
                <w:color w:val="auto"/>
              </w:rPr>
            </w:pPr>
          </w:p>
        </w:tc>
        <w:tc>
          <w:tcPr>
            <w:tcW w:w="2580" w:type="dxa"/>
            <w:vAlign w:val="bottom"/>
            <w:vMerge w:val="continue"/>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82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2800" w:type="dxa"/>
            <w:vAlign w:val="bottom"/>
            <w:gridSpan w:val="2"/>
            <w:vMerge w:val="continue"/>
            <w:shd w:val="clear" w:color="auto" w:fill="CCEEFF"/>
          </w:tcPr>
          <w:p>
            <w:pPr>
              <w:spacing w:after="0"/>
              <w:rPr>
                <w:sz w:val="9"/>
                <w:szCs w:val="9"/>
                <w:color w:val="auto"/>
              </w:rPr>
            </w:pPr>
          </w:p>
        </w:tc>
        <w:tc>
          <w:tcPr>
            <w:tcW w:w="26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2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960" w:type="dxa"/>
            <w:vAlign w:val="bottom"/>
            <w:gridSpan w:val="2"/>
            <w:vMerge w:val="restart"/>
          </w:tcPr>
          <w:p>
            <w:pPr>
              <w:spacing w:after="0"/>
              <w:rPr>
                <w:sz w:val="20"/>
                <w:szCs w:val="20"/>
                <w:color w:val="auto"/>
              </w:rPr>
            </w:pPr>
            <w:r>
              <w:rPr>
                <w:rFonts w:ascii="Arial" w:cs="Arial" w:eastAsia="Arial" w:hAnsi="Arial"/>
                <w:sz w:val="18"/>
                <w:szCs w:val="18"/>
                <w:color w:val="auto"/>
              </w:rPr>
              <w:t>Alejandro Tizzoni</w:t>
            </w: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93"/>
              </w:rPr>
              <w:t>Argentina</w:t>
            </w:r>
          </w:p>
        </w:tc>
        <w:tc>
          <w:tcPr>
            <w:tcW w:w="2580" w:type="dxa"/>
            <w:vAlign w:val="bottom"/>
            <w:vMerge w:val="restart"/>
          </w:tcPr>
          <w:p>
            <w:pPr>
              <w:jc w:val="right"/>
              <w:ind w:right="1070"/>
              <w:spacing w:after="0"/>
              <w:rPr>
                <w:sz w:val="20"/>
                <w:szCs w:val="20"/>
                <w:color w:val="auto"/>
              </w:rPr>
            </w:pPr>
            <w:r>
              <w:rPr>
                <w:rFonts w:ascii="Arial" w:cs="Arial" w:eastAsia="Arial" w:hAnsi="Arial"/>
                <w:sz w:val="18"/>
                <w:szCs w:val="18"/>
                <w:color w:val="auto"/>
              </w:rPr>
              <w:t>44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continue"/>
          </w:tcPr>
          <w:p>
            <w:pPr>
              <w:spacing w:after="0"/>
              <w:rPr>
                <w:sz w:val="10"/>
                <w:szCs w:val="10"/>
                <w:color w:val="auto"/>
              </w:rPr>
            </w:pPr>
          </w:p>
        </w:tc>
        <w:tc>
          <w:tcPr>
            <w:tcW w:w="2800" w:type="dxa"/>
            <w:vAlign w:val="bottom"/>
            <w:gridSpan w:val="2"/>
            <w:vMerge w:val="restart"/>
          </w:tcPr>
          <w:p>
            <w:pPr>
              <w:spacing w:after="0"/>
              <w:rPr>
                <w:sz w:val="20"/>
                <w:szCs w:val="20"/>
                <w:color w:val="auto"/>
              </w:rPr>
            </w:pPr>
            <w:r>
              <w:rPr>
                <w:rFonts w:ascii="Arial" w:cs="Arial" w:eastAsia="Arial" w:hAnsi="Arial"/>
                <w:sz w:val="18"/>
                <w:szCs w:val="18"/>
                <w:color w:val="auto"/>
              </w:rPr>
              <w:t>Chief Risk Officer</w:t>
            </w:r>
          </w:p>
        </w:tc>
        <w:tc>
          <w:tcPr>
            <w:tcW w:w="2800" w:type="dxa"/>
            <w:vAlign w:val="bottom"/>
            <w:gridSpan w:val="2"/>
            <w:vMerge w:val="continue"/>
          </w:tcPr>
          <w:p>
            <w:pPr>
              <w:spacing w:after="0"/>
              <w:rPr>
                <w:sz w:val="10"/>
                <w:szCs w:val="10"/>
                <w:color w:val="auto"/>
              </w:rPr>
            </w:pPr>
          </w:p>
        </w:tc>
        <w:tc>
          <w:tcPr>
            <w:tcW w:w="258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820" w:type="dxa"/>
            <w:vAlign w:val="bottom"/>
          </w:tcPr>
          <w:p>
            <w:pPr>
              <w:spacing w:after="0"/>
              <w:rPr>
                <w:sz w:val="9"/>
                <w:szCs w:val="9"/>
                <w:color w:val="auto"/>
              </w:rPr>
            </w:pPr>
          </w:p>
        </w:tc>
        <w:tc>
          <w:tcPr>
            <w:tcW w:w="140" w:type="dxa"/>
            <w:vAlign w:val="bottom"/>
          </w:tcPr>
          <w:p>
            <w:pPr>
              <w:spacing w:after="0"/>
              <w:rPr>
                <w:sz w:val="9"/>
                <w:szCs w:val="9"/>
                <w:color w:val="auto"/>
              </w:rPr>
            </w:pPr>
          </w:p>
        </w:tc>
        <w:tc>
          <w:tcPr>
            <w:tcW w:w="2800" w:type="dxa"/>
            <w:vAlign w:val="bottom"/>
            <w:gridSpan w:val="2"/>
            <w:vMerge w:val="continue"/>
          </w:tcPr>
          <w:p>
            <w:pPr>
              <w:spacing w:after="0"/>
              <w:rPr>
                <w:sz w:val="9"/>
                <w:szCs w:val="9"/>
                <w:color w:val="auto"/>
              </w:rPr>
            </w:pPr>
          </w:p>
        </w:tc>
        <w:tc>
          <w:tcPr>
            <w:tcW w:w="2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02"/>
        </w:trPr>
        <w:tc>
          <w:tcPr>
            <w:tcW w:w="2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8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Executive Vice President</w:t>
            </w:r>
          </w:p>
        </w:tc>
        <w:tc>
          <w:tcPr>
            <w:tcW w:w="26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5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9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Jorge Luis Real</w:t>
            </w: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Chief Legal Officer and Corporate</w:t>
            </w:r>
          </w:p>
        </w:tc>
        <w:tc>
          <w:tcPr>
            <w:tcW w:w="28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shd w:val="clear" w:color="auto" w:fill="CCEEFF"/>
          </w:tcPr>
          <w:p>
            <w:pPr>
              <w:jc w:val="right"/>
              <w:ind w:right="1070"/>
              <w:spacing w:after="0"/>
              <w:rPr>
                <w:sz w:val="20"/>
                <w:szCs w:val="20"/>
                <w:color w:val="auto"/>
              </w:rPr>
            </w:pPr>
            <w:r>
              <w:rPr>
                <w:rFonts w:ascii="Arial" w:cs="Arial" w:eastAsia="Arial" w:hAnsi="Arial"/>
                <w:sz w:val="18"/>
                <w:szCs w:val="18"/>
                <w:color w:val="auto"/>
              </w:rPr>
              <w:t>48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8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28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Secretary</w:t>
            </w:r>
          </w:p>
        </w:tc>
        <w:tc>
          <w:tcPr>
            <w:tcW w:w="26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5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800" w:type="dxa"/>
            <w:vAlign w:val="bottom"/>
            <w:gridSpan w:val="2"/>
          </w:tcPr>
          <w:p>
            <w:pPr>
              <w:spacing w:after="0" w:line="201" w:lineRule="exact"/>
              <w:rPr>
                <w:sz w:val="20"/>
                <w:szCs w:val="20"/>
                <w:color w:val="auto"/>
              </w:rPr>
            </w:pPr>
            <w:r>
              <w:rPr>
                <w:rFonts w:ascii="Arial" w:cs="Arial" w:eastAsia="Arial" w:hAnsi="Arial"/>
                <w:sz w:val="18"/>
                <w:szCs w:val="18"/>
                <w:color w:val="auto"/>
              </w:rPr>
              <w:t>Executive Vice President</w:t>
            </w:r>
          </w:p>
        </w:tc>
        <w:tc>
          <w:tcPr>
            <w:tcW w:w="280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3"/>
              </w:rPr>
              <w:t>Panama</w:t>
            </w:r>
          </w:p>
        </w:tc>
        <w:tc>
          <w:tcPr>
            <w:tcW w:w="2580" w:type="dxa"/>
            <w:vAlign w:val="bottom"/>
            <w:vMerge w:val="restart"/>
          </w:tcPr>
          <w:p>
            <w:pPr>
              <w:jc w:val="right"/>
              <w:ind w:right="1070"/>
              <w:spacing w:after="0"/>
              <w:rPr>
                <w:sz w:val="20"/>
                <w:szCs w:val="20"/>
                <w:color w:val="auto"/>
              </w:rPr>
            </w:pPr>
            <w:r>
              <w:rPr>
                <w:rFonts w:ascii="Arial" w:cs="Arial" w:eastAsia="Arial" w:hAnsi="Arial"/>
                <w:sz w:val="18"/>
                <w:szCs w:val="18"/>
                <w:color w:val="auto"/>
              </w:rPr>
              <w:t>47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22"/>
        </w:trPr>
        <w:tc>
          <w:tcPr>
            <w:tcW w:w="2960" w:type="dxa"/>
            <w:vAlign w:val="bottom"/>
            <w:gridSpan w:val="2"/>
            <w:vMerge w:val="restart"/>
          </w:tcPr>
          <w:p>
            <w:pPr>
              <w:spacing w:after="0"/>
              <w:rPr>
                <w:sz w:val="20"/>
                <w:szCs w:val="20"/>
                <w:color w:val="auto"/>
              </w:rPr>
            </w:pPr>
            <w:r>
              <w:rPr>
                <w:rFonts w:ascii="Arial" w:cs="Arial" w:eastAsia="Arial" w:hAnsi="Arial"/>
                <w:sz w:val="18"/>
                <w:szCs w:val="18"/>
                <w:color w:val="auto"/>
              </w:rPr>
              <w:t>Jorge Córdoba</w:t>
            </w:r>
          </w:p>
        </w:tc>
        <w:tc>
          <w:tcPr>
            <w:tcW w:w="2800" w:type="dxa"/>
            <w:vAlign w:val="bottom"/>
            <w:gridSpan w:val="2"/>
            <w:vMerge w:val="restart"/>
          </w:tcPr>
          <w:p>
            <w:pPr>
              <w:spacing w:after="0"/>
              <w:rPr>
                <w:sz w:val="20"/>
                <w:szCs w:val="20"/>
                <w:color w:val="auto"/>
              </w:rPr>
            </w:pPr>
            <w:r>
              <w:rPr>
                <w:rFonts w:ascii="Arial" w:cs="Arial" w:eastAsia="Arial" w:hAnsi="Arial"/>
                <w:sz w:val="18"/>
                <w:szCs w:val="18"/>
                <w:color w:val="auto"/>
              </w:rPr>
              <w:t>Chief Audit Officer</w:t>
            </w:r>
          </w:p>
        </w:tc>
        <w:tc>
          <w:tcPr>
            <w:tcW w:w="2800" w:type="dxa"/>
            <w:vAlign w:val="bottom"/>
            <w:gridSpan w:val="2"/>
            <w:vMerge w:val="continue"/>
          </w:tcPr>
          <w:p>
            <w:pPr>
              <w:spacing w:after="0"/>
              <w:rPr>
                <w:sz w:val="10"/>
                <w:szCs w:val="10"/>
                <w:color w:val="auto"/>
              </w:rPr>
            </w:pPr>
          </w:p>
        </w:tc>
        <w:tc>
          <w:tcPr>
            <w:tcW w:w="2580" w:type="dxa"/>
            <w:vAlign w:val="bottom"/>
            <w:vMerge w:val="continue"/>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8"/>
        </w:trPr>
        <w:tc>
          <w:tcPr>
            <w:tcW w:w="2960" w:type="dxa"/>
            <w:vAlign w:val="bottom"/>
            <w:gridSpan w:val="2"/>
            <w:vMerge w:val="continue"/>
          </w:tcPr>
          <w:p>
            <w:pPr>
              <w:spacing w:after="0"/>
              <w:rPr>
                <w:sz w:val="9"/>
                <w:szCs w:val="9"/>
                <w:color w:val="auto"/>
              </w:rPr>
            </w:pPr>
          </w:p>
        </w:tc>
        <w:tc>
          <w:tcPr>
            <w:tcW w:w="2800" w:type="dxa"/>
            <w:vAlign w:val="bottom"/>
            <w:gridSpan w:val="2"/>
            <w:vMerge w:val="continue"/>
          </w:tcPr>
          <w:p>
            <w:pPr>
              <w:spacing w:after="0"/>
              <w:rPr>
                <w:sz w:val="9"/>
                <w:szCs w:val="9"/>
                <w:color w:val="auto"/>
              </w:rPr>
            </w:pPr>
          </w:p>
        </w:tc>
        <w:tc>
          <w:tcPr>
            <w:tcW w:w="2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198" w:lineRule="exact"/>
        <w:rPr>
          <w:sz w:val="20"/>
          <w:szCs w:val="20"/>
          <w:color w:val="auto"/>
        </w:rPr>
      </w:pPr>
    </w:p>
    <w:p>
      <w:pPr>
        <w:jc w:val="both"/>
        <w:spacing w:after="0" w:line="277" w:lineRule="auto"/>
        <w:rPr>
          <w:sz w:val="20"/>
          <w:szCs w:val="20"/>
          <w:color w:val="auto"/>
        </w:rPr>
      </w:pPr>
      <w:r>
        <w:rPr>
          <w:rFonts w:ascii="Arial" w:cs="Arial" w:eastAsia="Arial" w:hAnsi="Arial"/>
          <w:sz w:val="17"/>
          <w:szCs w:val="17"/>
          <w:b w:val="1"/>
          <w:bCs w:val="1"/>
          <w:color w:val="auto"/>
        </w:rPr>
        <w:t xml:space="preserve">Jorge Salas </w:t>
      </w:r>
      <w:r>
        <w:rPr>
          <w:rFonts w:ascii="Arial" w:cs="Arial" w:eastAsia="Arial" w:hAnsi="Arial"/>
          <w:sz w:val="17"/>
          <w:szCs w:val="17"/>
          <w:color w:val="auto"/>
        </w:rPr>
        <w:t>has been the Chief Executive Officer of the Bank since March 9, 2020. Before joining Bladex, Mr. Salas served as President and Chief</w:t>
      </w:r>
      <w:r>
        <w:rPr>
          <w:rFonts w:ascii="Arial" w:cs="Arial" w:eastAsia="Arial" w:hAnsi="Arial"/>
          <w:sz w:val="17"/>
          <w:szCs w:val="17"/>
          <w:b w:val="1"/>
          <w:bCs w:val="1"/>
          <w:color w:val="auto"/>
        </w:rPr>
        <w:t xml:space="preserve"> </w:t>
      </w:r>
      <w:r>
        <w:rPr>
          <w:rFonts w:ascii="Arial" w:cs="Arial" w:eastAsia="Arial" w:hAnsi="Arial"/>
          <w:sz w:val="17"/>
          <w:szCs w:val="17"/>
          <w:color w:val="auto"/>
        </w:rPr>
        <w:t>Executive Officer of Banesco USA, in Coral Gables Florida for 5 years, and previously worked in various capacities in the Banesco Financial group since 2000, including as President and Chief Executive Officer of Banesco Panama from 2008 to 2014. Mr. Salas holds a Degree in Business Administration (Banking and Finance) from Universidad Metropolitana, in Caracas, Venezuela, a Diploma for Specialization in Economics from the University of Colorado at Boulder, as well as a Master in Public Policy and an MBA both from the University of Chicago.</w:t>
      </w:r>
    </w:p>
    <w:p>
      <w:pPr>
        <w:spacing w:after="0" w:line="168" w:lineRule="exact"/>
        <w:rPr>
          <w:sz w:val="20"/>
          <w:szCs w:val="20"/>
          <w:color w:val="auto"/>
        </w:rPr>
      </w:pPr>
    </w:p>
    <w:p>
      <w:pPr>
        <w:jc w:val="both"/>
        <w:spacing w:after="0" w:line="256" w:lineRule="auto"/>
        <w:rPr>
          <w:sz w:val="20"/>
          <w:szCs w:val="20"/>
          <w:color w:val="auto"/>
        </w:rPr>
      </w:pPr>
      <w:r>
        <w:rPr>
          <w:rFonts w:ascii="Arial" w:cs="Arial" w:eastAsia="Arial" w:hAnsi="Arial"/>
          <w:sz w:val="18"/>
          <w:szCs w:val="18"/>
          <w:b w:val="1"/>
          <w:bCs w:val="1"/>
          <w:color w:val="auto"/>
        </w:rPr>
        <w:t xml:space="preserve">Erica Lijtztain </w:t>
      </w:r>
      <w:r>
        <w:rPr>
          <w:rFonts w:ascii="Arial" w:cs="Arial" w:eastAsia="Arial" w:hAnsi="Arial"/>
          <w:sz w:val="18"/>
          <w:szCs w:val="18"/>
          <w:color w:val="auto"/>
        </w:rPr>
        <w:t>was appointed Executive Vice President, Chief Operating Officer in February 2018, and has served as Senior Vice President, Corporate</w:t>
      </w:r>
      <w:r>
        <w:rPr>
          <w:rFonts w:ascii="Arial" w:cs="Arial" w:eastAsia="Arial" w:hAnsi="Arial"/>
          <w:sz w:val="18"/>
          <w:szCs w:val="18"/>
          <w:b w:val="1"/>
          <w:bCs w:val="1"/>
          <w:color w:val="auto"/>
        </w:rPr>
        <w:t xml:space="preserve"> </w:t>
      </w:r>
      <w:r>
        <w:rPr>
          <w:rFonts w:ascii="Arial" w:cs="Arial" w:eastAsia="Arial" w:hAnsi="Arial"/>
          <w:sz w:val="18"/>
          <w:szCs w:val="18"/>
          <w:color w:val="auto"/>
        </w:rPr>
        <w:t>Services, since June 2017. She previously served in various capacities for Banco Patagonia, S.A. in Argentina: Executive Manager – Risk Management from 2015 to 2017, Budget and Information Manager from 2008 to 2015, Manager – Special Projects from 2003 to 2008, and Manager – Commercial Planning and Control from 2001 to 2003. Ms. Lijtztain is a Certified International Investment Analyst, and holds a Master’s degree in Business Administration from University Torcuato di Tella, Argentina, and a Bachelor’s degree in Economic Science – Actuary from University of Buenos Aires, Argentina.</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b w:val="1"/>
          <w:bCs w:val="1"/>
          <w:color w:val="auto"/>
        </w:rPr>
        <w:t xml:space="preserve">Alejandro Jaramillo </w:t>
      </w:r>
      <w:r>
        <w:rPr>
          <w:rFonts w:ascii="Arial" w:cs="Arial" w:eastAsia="Arial" w:hAnsi="Arial"/>
          <w:sz w:val="17"/>
          <w:szCs w:val="17"/>
          <w:color w:val="auto"/>
        </w:rPr>
        <w:t>was appointed Executive Vice President, Chief Commercial Officer of the Bank on May 1, 2017. Mr. Jaramillo joined the Bank in</w:t>
      </w:r>
      <w:r>
        <w:rPr>
          <w:rFonts w:ascii="Arial" w:cs="Arial" w:eastAsia="Arial" w:hAnsi="Arial"/>
          <w:sz w:val="17"/>
          <w:szCs w:val="17"/>
          <w:b w:val="1"/>
          <w:bCs w:val="1"/>
          <w:color w:val="auto"/>
        </w:rPr>
        <w:t xml:space="preserve"> </w:t>
      </w:r>
      <w:r>
        <w:rPr>
          <w:rFonts w:ascii="Arial" w:cs="Arial" w:eastAsia="Arial" w:hAnsi="Arial"/>
          <w:sz w:val="17"/>
          <w:szCs w:val="17"/>
          <w:color w:val="auto"/>
        </w:rPr>
        <w:t>2012, working in the Bank’s Treasury department as the Head of Funding. In 2013, he became the Head of Loan Structuring &amp; Distribution, spearheading the growth and development of the Bank’s Loan Syndication business. Prior to joining the Bank, Mr. Jaramillo worked for nine years at BNP Paribas, both in New York and in Bogota, Colombia. At BNP Paribas, he contributed to the development of the bank´s Commodity Structured Finance business in Latin America, and he was a Director in the Bank´s Corporate &amp; Investment Banking unit. Before that, he worked at Standard Chartered Bank as a credit analyst in their Bogota, Colombia office, as well as in the Global Commodity Finance unit in New York. Mr. Jaramillo has a Bachelor´s degree in Industrial Engineering from Universidad de los Andes - Bogota, Colombia, and an MBA from Columbia University in New York.</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96" w:name="page97"/>
    <w:bookmarkEnd w:id="96"/>
    <w:p>
      <w:pPr>
        <w:jc w:val="both"/>
        <w:spacing w:after="0" w:line="255" w:lineRule="auto"/>
        <w:rPr>
          <w:sz w:val="20"/>
          <w:szCs w:val="20"/>
          <w:color w:val="auto"/>
        </w:rPr>
      </w:pPr>
      <w:r>
        <w:rPr>
          <w:rFonts w:ascii="Arial" w:cs="Arial" w:eastAsia="Arial" w:hAnsi="Arial"/>
          <w:sz w:val="18"/>
          <w:szCs w:val="18"/>
          <w:b w:val="1"/>
          <w:bCs w:val="1"/>
          <w:color w:val="auto"/>
        </w:rPr>
        <w:t xml:space="preserve">Ana Graciela de Méndez </w:t>
      </w:r>
      <w:r>
        <w:rPr>
          <w:rFonts w:ascii="Arial" w:cs="Arial" w:eastAsia="Arial" w:hAnsi="Arial"/>
          <w:sz w:val="18"/>
          <w:szCs w:val="18"/>
          <w:color w:val="auto"/>
        </w:rPr>
        <w:t>has served as Executive Vice President, Chief Financial Officer or CFO of the Bank since December 2017. She previously</w:t>
      </w:r>
      <w:r>
        <w:rPr>
          <w:rFonts w:ascii="Arial" w:cs="Arial" w:eastAsia="Arial" w:hAnsi="Arial"/>
          <w:sz w:val="18"/>
          <w:szCs w:val="18"/>
          <w:b w:val="1"/>
          <w:bCs w:val="1"/>
          <w:color w:val="auto"/>
        </w:rPr>
        <w:t xml:space="preserve"> </w:t>
      </w:r>
      <w:r>
        <w:rPr>
          <w:rFonts w:ascii="Arial" w:cs="Arial" w:eastAsia="Arial" w:hAnsi="Arial"/>
          <w:sz w:val="18"/>
          <w:szCs w:val="18"/>
          <w:color w:val="auto"/>
        </w:rPr>
        <w:t>served in various capacities within the Bank, including as Senior Vice President of Finance and the alternate to the CFO from 2014 to 2017, as Vice President of Financial Planning and Analysis from 2002 to 2014, and several other assignments within the Bank’s Finance, Commercial and Economic areas since 1990, when she joined the Bank. Mrs. Méndez holds a Master’s Degree in Finance from the A.B. Freeman School of Business at Tulane University (USA) and from the Business School at Universidad Francisco Marroquin (Guatemala); completed Panama´s Advanced Management Program from the Haas School of Business at UC Berkeley (USA); and holds a Bachelor’s Degree in Business and Economics with specialization in Economics and Mathematics, from Albertus Magnus College (USA).</w:t>
      </w:r>
    </w:p>
    <w:p>
      <w:pPr>
        <w:spacing w:after="0" w:line="189" w:lineRule="exact"/>
        <w:rPr>
          <w:sz w:val="20"/>
          <w:szCs w:val="20"/>
          <w:color w:val="auto"/>
        </w:rPr>
      </w:pPr>
    </w:p>
    <w:p>
      <w:pPr>
        <w:jc w:val="both"/>
        <w:spacing w:after="0" w:line="292" w:lineRule="auto"/>
        <w:rPr>
          <w:sz w:val="20"/>
          <w:szCs w:val="20"/>
          <w:color w:val="auto"/>
        </w:rPr>
      </w:pPr>
      <w:r>
        <w:rPr>
          <w:rFonts w:ascii="Arial" w:cs="Arial" w:eastAsia="Arial" w:hAnsi="Arial"/>
          <w:sz w:val="16"/>
          <w:szCs w:val="16"/>
          <w:b w:val="1"/>
          <w:bCs w:val="1"/>
          <w:color w:val="auto"/>
        </w:rPr>
        <w:t xml:space="preserve">Eduardo Vivone </w:t>
      </w:r>
      <w:r>
        <w:rPr>
          <w:rFonts w:ascii="Arial" w:cs="Arial" w:eastAsia="Arial" w:hAnsi="Arial"/>
          <w:sz w:val="16"/>
          <w:szCs w:val="16"/>
          <w:color w:val="auto"/>
        </w:rPr>
        <w:t>was appointed Executive Vice President, Treasury and Capital Markets, in February 2018, and has served as Senior Vice President, Head</w:t>
      </w:r>
      <w:r>
        <w:rPr>
          <w:rFonts w:ascii="Arial" w:cs="Arial" w:eastAsia="Arial" w:hAnsi="Arial"/>
          <w:sz w:val="16"/>
          <w:szCs w:val="16"/>
          <w:b w:val="1"/>
          <w:bCs w:val="1"/>
          <w:color w:val="auto"/>
        </w:rPr>
        <w:t xml:space="preserve"> </w:t>
      </w:r>
      <w:r>
        <w:rPr>
          <w:rFonts w:ascii="Arial" w:cs="Arial" w:eastAsia="Arial" w:hAnsi="Arial"/>
          <w:sz w:val="16"/>
          <w:szCs w:val="16"/>
          <w:color w:val="auto"/>
        </w:rPr>
        <w:t>of Treasury, since September 2013. He also served as Senior Vice President, Funding, from April through August 2013. Before joining the Bank, he served as Head of Global Markets for HSBC Bank Panama from 2010 to 2012, Regional Sector Head, Government Sector – Global Banking, Americas for HSBC Securities, New York from 2007 to 2010, Head of Treasury for HSBC Bank, Spain from 2003 to 2007, Head of Balance Sheet Management and Forward Foreign Exchange for HSBC Bank, Argentina from 1998 to 2003, and he served in diverse capacities for Banco Roberts, Buenos Aires from 1990 to 1998, serving his last two years as Head of Financial Planning. Mr. Vivone is a Certified Public Accountant and holds a Master’s degree in Finance from the University of CEMA, Buenos Aires, Argentina, and a Bachelor´s degree in Accounting from University of Buenos Aires, Argentina.</w:t>
      </w:r>
    </w:p>
    <w:p>
      <w:pPr>
        <w:spacing w:after="0" w:line="16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b w:val="1"/>
          <w:bCs w:val="1"/>
          <w:color w:val="auto"/>
        </w:rPr>
        <w:t xml:space="preserve">Alejandro Tizzoni </w:t>
      </w:r>
      <w:r>
        <w:rPr>
          <w:rFonts w:ascii="Arial" w:cs="Arial" w:eastAsia="Arial" w:hAnsi="Arial"/>
          <w:sz w:val="16"/>
          <w:szCs w:val="16"/>
          <w:color w:val="auto"/>
        </w:rPr>
        <w:t>has served as Executive Vice President, Chief Risk Officer of the Bank since May 2016. He also served in various capacities within the</w:t>
      </w:r>
      <w:r>
        <w:rPr>
          <w:rFonts w:ascii="Arial" w:cs="Arial" w:eastAsia="Arial" w:hAnsi="Arial"/>
          <w:sz w:val="16"/>
          <w:szCs w:val="16"/>
          <w:b w:val="1"/>
          <w:bCs w:val="1"/>
          <w:color w:val="auto"/>
        </w:rPr>
        <w:t xml:space="preserve"> </w:t>
      </w:r>
      <w:r>
        <w:rPr>
          <w:rFonts w:ascii="Arial" w:cs="Arial" w:eastAsia="Arial" w:hAnsi="Arial"/>
          <w:sz w:val="16"/>
          <w:szCs w:val="16"/>
          <w:color w:val="auto"/>
        </w:rPr>
        <w:t>Risk Management Department since 2006, as Senior Vice President from 2012 to 2016, Vice President from 2008 to 2012 and Senior Analyst from 2006 to 2008. Mr. Tizzoni served in different capacities in the credit risk area in banking and the international private sector in Argentina and Chile from 1997 to</w:t>
      </w:r>
    </w:p>
    <w:p>
      <w:pPr>
        <w:spacing w:after="0" w:line="2"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2006. Mr. Tizzoni is a FIBA Anti-Money Laundering certified associate (AMLCA) by Florida International University, performed a fintech programme by Saïd Business School, University of Oxford, holds a Master Degree in Enterprise Risk Management from the NYU Stern School of Business, an MBA from the University of Louisville, and a Bachelor's degree in Business Administration and a Certified Public Accountant, both from the University of Buenos Aires in Argentina.</w:t>
      </w:r>
    </w:p>
    <w:p>
      <w:pPr>
        <w:spacing w:after="0" w:line="18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b w:val="1"/>
          <w:bCs w:val="1"/>
          <w:color w:val="auto"/>
        </w:rPr>
        <w:t xml:space="preserve">Jorge Luis Real </w:t>
      </w:r>
      <w:r>
        <w:rPr>
          <w:rFonts w:ascii="Arial" w:cs="Arial" w:eastAsia="Arial" w:hAnsi="Arial"/>
          <w:sz w:val="17"/>
          <w:szCs w:val="17"/>
          <w:color w:val="auto"/>
        </w:rPr>
        <w:t>serves as Executive Vice President, Legal and Corporate Secretary since February 2018. He previously served as Senior Vice President,</w:t>
      </w:r>
      <w:r>
        <w:rPr>
          <w:rFonts w:ascii="Arial" w:cs="Arial" w:eastAsia="Arial" w:hAnsi="Arial"/>
          <w:sz w:val="17"/>
          <w:szCs w:val="17"/>
          <w:b w:val="1"/>
          <w:bCs w:val="1"/>
          <w:color w:val="auto"/>
        </w:rPr>
        <w:t xml:space="preserve"> </w:t>
      </w:r>
      <w:r>
        <w:rPr>
          <w:rFonts w:ascii="Arial" w:cs="Arial" w:eastAsia="Arial" w:hAnsi="Arial"/>
          <w:sz w:val="17"/>
          <w:szCs w:val="17"/>
          <w:color w:val="auto"/>
        </w:rPr>
        <w:t>Chief Legal Officer of the Bank from 2016 to 2018 and was appointed Secretary of the Board of Directors in April of 2016. He previously served as Head of Legal Risk of the Bank from 2014 to 2016. Before joining the Bank, he was Coordinator of Latin American Legal Affairs at BNP Paribas, New York from 2010 to 2014, Head of Legal Department at BNP Paribas Panama from 2005 to 2010, Head of Legal Department Panama Group of BBVA from 2000 to 2005 and Lawyer at Mauad &amp; Mauad in Panama in 2000. Mr. Real has a Law and Political Science degree from Universidad Católica Santa María La Antigua in Panama, holds a Master’s degree in Commercial and Corporate Law from Université Panthéon-Assas (Paris II) in France. He was admitted to practice law in Panama by the Panamanian Supreme Court of Justice in 1998. Mr. Real is a Florida International Banker’s Association (FIBA) Anti-Money Laundering certified associate (AMLCA), certified by the Florida International University.</w:t>
      </w:r>
    </w:p>
    <w:p>
      <w:pPr>
        <w:spacing w:after="0" w:line="172" w:lineRule="exact"/>
        <w:rPr>
          <w:sz w:val="20"/>
          <w:szCs w:val="20"/>
          <w:color w:val="auto"/>
        </w:rPr>
      </w:pPr>
    </w:p>
    <w:p>
      <w:pPr>
        <w:jc w:val="both"/>
        <w:spacing w:after="0" w:line="254" w:lineRule="auto"/>
        <w:rPr>
          <w:sz w:val="20"/>
          <w:szCs w:val="20"/>
          <w:color w:val="auto"/>
        </w:rPr>
      </w:pPr>
      <w:r>
        <w:rPr>
          <w:rFonts w:ascii="Arial" w:cs="Arial" w:eastAsia="Arial" w:hAnsi="Arial"/>
          <w:sz w:val="18"/>
          <w:szCs w:val="18"/>
          <w:b w:val="1"/>
          <w:bCs w:val="1"/>
          <w:color w:val="auto"/>
        </w:rPr>
        <w:t xml:space="preserve">Jorge Córdoba </w:t>
      </w:r>
      <w:r>
        <w:rPr>
          <w:rFonts w:ascii="Arial" w:cs="Arial" w:eastAsia="Arial" w:hAnsi="Arial"/>
          <w:sz w:val="18"/>
          <w:szCs w:val="18"/>
          <w:color w:val="auto"/>
        </w:rPr>
        <w:t>joined the Bank as Executive Vice President, Chief Audit Officer in October 2017. Previously, Mr. Córdoba served as Director of Internal</w:t>
      </w:r>
      <w:r>
        <w:rPr>
          <w:rFonts w:ascii="Arial" w:cs="Arial" w:eastAsia="Arial" w:hAnsi="Arial"/>
          <w:sz w:val="18"/>
          <w:szCs w:val="18"/>
          <w:b w:val="1"/>
          <w:bCs w:val="1"/>
          <w:color w:val="auto"/>
        </w:rPr>
        <w:t xml:space="preserve"> </w:t>
      </w:r>
      <w:r>
        <w:rPr>
          <w:rFonts w:ascii="Arial" w:cs="Arial" w:eastAsia="Arial" w:hAnsi="Arial"/>
          <w:sz w:val="18"/>
          <w:szCs w:val="18"/>
          <w:color w:val="auto"/>
        </w:rPr>
        <w:t>Audit LATAM for Credit Andorra Financial Group from 2013 to 2017, where he supervised from Panama the internal audit of the Group business in Panama, Mexico, Peru, Paraguay, Uruguay, Colombia and Miami, U.S.A. Between the years 2002 and 2013, he served as International Internal Auditor for Pan-American Life Insurance Group (PALIG) in charge of the branch offices and affiliates in some Latin American countries and U.S. cities. During 2001 and 2002, he served as Internal Auditor for Dresdner Bank Lateinamerica AG – Panama, and from 1992 to 2001, he served as Senior Auditor for PricewaterhouseCoopers. Mr. Córdoba is a FIBA Anti-Money Laundering Certified Associate (AMLCA) by Florida International University, earned a COSO Internal Control Certificate from the Institute of Internal Auditor, is a Certified Public Accountant and holds a Degree in Accounting from Universidad de Panama. He also holds a Post Graduate Certificate in International Trade Management from St. Clair College of Applied Arts and Technology in Ontario, Canada.</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7" w:name="page98"/>
    <w:bookmarkEnd w:id="97"/>
    <w:p>
      <w:pPr>
        <w:ind w:left="480" w:hanging="472"/>
        <w:spacing w:after="0"/>
        <w:tabs>
          <w:tab w:leader="none" w:pos="48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Compensation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of Executive Officers and Directors</w:t>
      </w:r>
    </w:p>
    <w:p>
      <w:pPr>
        <w:spacing w:after="0" w:line="229"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Compensation Committee has reviewed and discussed the below “Compensation of Executive Officers and Directors” section with the Bank’s management, and based on this review and discussion, the Compensation Committee recommended to the Board that the discussion be included in the proxy statement for the Annual Shareholders’ Meeting held April 21, 2021 (commonly referred to as the “say on pay” proposal).</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Consultant</w:t>
      </w:r>
    </w:p>
    <w:p>
      <w:pPr>
        <w:spacing w:after="0" w:line="229"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The Compensation Committee has authority to retain compensation consulting firms to assist it in the evaluation of executive officer and employee compensation and benefit programs. In 2020, the Compensation Committee retained a specialized consultant to review the Bank's Salary Compensation scheme. The results of the consultant’s review are expected to be presented to the Board for consideration during the course of 2021.</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Executive Officers Compensation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in stock options and/or restricted stock units.</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2020, the aggregate amount of variable cash compensation paid by the Bank to its current executive officers for their services was $2,357,570.</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(“2015 Plan”).</w:t>
      </w:r>
    </w:p>
    <w:p>
      <w:pPr>
        <w:spacing w:after="0" w:line="16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On February 7, 2020, the Bank granted to current executive officers 51,829 restricted stock units corresponding to 2019 performance. These restricted stock units vest 25% of the amount granted per year, with the first vesting on February 7, 2021, and the subsequent vestings on each anniversary of the first vesting date. As of December 31, 2020, the compensation cost charged against the Bank’s 2020 income in connection with these restricted stock units was $440,296. The total remaining compensation cost of $462,134 will be charged over a period of 3.1 years.</w:t>
      </w:r>
    </w:p>
    <w:p>
      <w:pPr>
        <w:spacing w:after="0" w:line="17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2020, the Bank charged to salaries expense $70,733 with respect to the contribution plan.</w:t>
      </w:r>
    </w:p>
    <w:p>
      <w:pPr>
        <w:spacing w:after="0" w:line="38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8" w:name="page99"/>
    <w:bookmarkEnd w:id="98"/>
    <w:p>
      <w:pPr>
        <w:spacing w:after="0"/>
        <w:rPr>
          <w:sz w:val="20"/>
          <w:szCs w:val="20"/>
          <w:color w:val="auto"/>
        </w:rPr>
      </w:pPr>
      <w:r>
        <w:rPr>
          <w:rFonts w:ascii="Arial" w:cs="Arial" w:eastAsia="Arial" w:hAnsi="Arial"/>
          <w:sz w:val="18"/>
          <w:szCs w:val="18"/>
          <w:b w:val="1"/>
          <w:bCs w:val="1"/>
          <w:color w:val="auto"/>
        </w:rPr>
        <w:t>2020 Chief Executive Officer Compensation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Bank’s current Chief Executive Officer’s compensation for 2020 included an annual base salary of $500,000, a signing bonus of $300,000, and limited perquisites and other benefits amounting to $19,690. The Chief Executive Officer is eligible to receive a severance payment of $1,000,000 upon his departure.</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compensation of the Bank’s former Chief Executive Officer through March 9, 2020 included an annual base salary of $350,000, a performance-based cash bonus of $1,050,000, an aggregate of $2,333 related to the former Chief Executive Officer’s contribution plan, and limited perquisites and other benefits amounting to $1,557. In addition, the former Chief Executive Officer received a severance payment of $350,000 and other moving expenses totaling $28,567.</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of the 2020 Advisory Vote on Compensation of Executive Officers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At the Bank’s annual meeting of shareholders held on April 29, 2020, our shareholders were asked to approve, on an advisory basis, the Bank's fiscal year 2019 executive officers’ compensation programs (commonly referred to as the “say on pay” proposal). A substantial majority (93.85%) of the votes cast on the say-on-pay proposal at that meeting were voted in favor of the proposal. The Compensation Committee believes that these results affirm our shareholders’ support for the Bank’s approach to executive compensation, and therefore did not change its approach in fiscal year 2020. The Compensation Committee will continue working to ensure that the design of the Bank’s executive officers’ compensation program is focused on long-term shareholder value creation and emphasizes pay for performance.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Compensation and Risk</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 reviews and monitors the extent to which compensation practices and programs for senior executives and employees whose activities, individually or as a group, may create incentives for excessive risk taking.</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Board of Directors Compensation</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non-employee Director of the Bank receives an annual cash retainer of $85,000 for his or her services as a Director and the Chairman of the Board receives an annual cash retainer in the amount of $135,000.</w:t>
      </w:r>
    </w:p>
    <w:p>
      <w:pPr>
        <w:spacing w:after="0" w:line="170" w:lineRule="exact"/>
        <w:rPr>
          <w:sz w:val="20"/>
          <w:szCs w:val="20"/>
          <w:color w:val="auto"/>
        </w:rPr>
      </w:pPr>
    </w:p>
    <w:p>
      <w:pPr>
        <w:jc w:val="both"/>
        <w:ind w:right="20"/>
        <w:spacing w:after="0" w:line="279" w:lineRule="auto"/>
        <w:rPr>
          <w:sz w:val="20"/>
          <w:szCs w:val="20"/>
          <w:color w:val="auto"/>
        </w:rPr>
      </w:pPr>
      <w:r>
        <w:rPr>
          <w:rFonts w:ascii="Arial" w:cs="Arial" w:eastAsia="Arial" w:hAnsi="Arial"/>
          <w:sz w:val="17"/>
          <w:szCs w:val="17"/>
          <w:color w:val="auto"/>
        </w:rPr>
        <w:t>The Chairman of the Audit Committee receives an additional annual retainer of $8,500 and the Chairmen of each of the Compensation Committee, Risk Policy and Assessment Committee, Finance and Business Committee, and Compliance and Anti-Money Laundering Committee each receives an additional annual retainer of $5,000. The non-Chairman members of the Audit Committee receive an additional annual retainer of $3,000 and each member of the Board receives an additional annual retainer of $8,500 for his or her participation in excess of two committees.</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aggregate amount of cash compensation paid by the Bank during the year ended December 31, 2020 to the Directors of the Bank as a group for their services as Directors was $950,375.</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9" w:name="page100"/>
    <w:bookmarkEnd w:id="99"/>
    <w:p>
      <w:pPr>
        <w:jc w:val="both"/>
        <w:spacing w:after="0" w:line="342" w:lineRule="auto"/>
        <w:rPr>
          <w:sz w:val="20"/>
          <w:szCs w:val="20"/>
          <w:color w:val="auto"/>
        </w:rPr>
      </w:pPr>
      <w:r>
        <w:rPr>
          <w:rFonts w:ascii="Arial" w:cs="Arial" w:eastAsia="Arial" w:hAnsi="Arial"/>
          <w:sz w:val="16"/>
          <w:szCs w:val="16"/>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12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During the fiscal year ended December 31, 2020, the aggregate number of restricted shares awarded to non-employee directors of the Bank as a group under the 2015 Plan was 63,000 Class E shares. These restricted shares vest 35% on each of the first and second anniversaries of the award date, and 30% on the third anniversary of the award date. As of December 31, 2020, the total cost for these restricted shares amounted to $727,020 of which $306,245 was registered during 2020, and the remaining compensation cost of $420,775 for these restricted shares will be charged against income over a period of 2.3 years.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Beneficial Ownership</w:t>
      </w:r>
    </w:p>
    <w:p>
      <w:pPr>
        <w:spacing w:after="0" w:line="229"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As of December 31, 2020, the Bank’s Executive Officers and Directors, as a group, beneficially owned an aggregate of 360,704 Class E shares, representing approximately 1% (based on 31,157,386 Class E shares outstanding as of December 31, 2020)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2020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7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stock units and holdings of unvested stock options and unvested restricted stock units by the Bank’s executive officers eligible to receive restricted stock units as of December 31, 2020. Except where noted, all holders listed below have sole voting power and investment power over the shares beneficially owned by them. Unless otherwise noted, the address of each person listed below is c/o Torre V, Business Park, Avenida La Rotonda, Urbanización Costa del Este, Panama, Republic of Panama.</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3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3"/>
              </w:rPr>
              <w:t>Number of</w:t>
            </w: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21"/>
        </w:trPr>
        <w:tc>
          <w:tcPr>
            <w:tcW w:w="34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Number of</w:t>
            </w:r>
          </w:p>
        </w:tc>
        <w:tc>
          <w:tcPr>
            <w:tcW w:w="13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Shares that may</w:t>
            </w:r>
          </w:p>
        </w:tc>
        <w:tc>
          <w:tcPr>
            <w:tcW w:w="80" w:type="dxa"/>
            <w:vAlign w:val="bottom"/>
          </w:tcPr>
          <w:p>
            <w:pPr>
              <w:spacing w:after="0"/>
              <w:rPr>
                <w:sz w:val="19"/>
                <w:szCs w:val="19"/>
                <w:color w:val="auto"/>
              </w:rPr>
            </w:pPr>
          </w:p>
        </w:tc>
        <w:tc>
          <w:tcPr>
            <w:tcW w:w="9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Total</w:t>
            </w:r>
          </w:p>
        </w:tc>
        <w:tc>
          <w:tcPr>
            <w:tcW w:w="9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16"/>
        </w:trPr>
        <w:tc>
          <w:tcPr>
            <w:tcW w:w="3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Shares</w:t>
            </w:r>
          </w:p>
        </w:tc>
        <w:tc>
          <w:tcPr>
            <w:tcW w:w="13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be acquired</w:t>
            </w:r>
          </w:p>
        </w:tc>
        <w:tc>
          <w:tcPr>
            <w:tcW w:w="80" w:type="dxa"/>
            <w:vAlign w:val="bottom"/>
          </w:tcPr>
          <w:p>
            <w:pPr>
              <w:spacing w:after="0"/>
              <w:rPr>
                <w:sz w:val="18"/>
                <w:szCs w:val="18"/>
                <w:color w:val="auto"/>
              </w:rPr>
            </w:pPr>
          </w:p>
        </w:tc>
        <w:tc>
          <w:tcPr>
            <w:tcW w:w="9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Number of</w:t>
            </w:r>
          </w:p>
        </w:tc>
        <w:tc>
          <w:tcPr>
            <w:tcW w:w="1080" w:type="dxa"/>
            <w:vAlign w:val="bottom"/>
            <w:gridSpan w:val="2"/>
          </w:tcPr>
          <w:p>
            <w:pPr>
              <w:jc w:val="center"/>
              <w:ind w:right="90"/>
              <w:spacing w:after="0"/>
              <w:rPr>
                <w:sz w:val="20"/>
                <w:szCs w:val="20"/>
                <w:color w:val="auto"/>
              </w:rPr>
            </w:pPr>
            <w:r>
              <w:rPr>
                <w:rFonts w:ascii="Arial" w:cs="Arial" w:eastAsia="Arial" w:hAnsi="Arial"/>
                <w:sz w:val="18"/>
                <w:szCs w:val="18"/>
                <w:b w:val="1"/>
                <w:bCs w:val="1"/>
                <w:color w:val="auto"/>
                <w:w w:val="88"/>
              </w:rPr>
              <w:t>Percent of</w:t>
            </w:r>
          </w:p>
        </w:tc>
        <w:tc>
          <w:tcPr>
            <w:tcW w:w="13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3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Owned as of</w:t>
            </w:r>
          </w:p>
        </w:tc>
        <w:tc>
          <w:tcPr>
            <w:tcW w:w="13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within 60 days</w:t>
            </w:r>
          </w:p>
        </w:tc>
        <w:tc>
          <w:tcPr>
            <w:tcW w:w="80" w:type="dxa"/>
            <w:vAlign w:val="bottom"/>
          </w:tcPr>
          <w:p>
            <w:pPr>
              <w:spacing w:after="0"/>
              <w:rPr>
                <w:sz w:val="18"/>
                <w:szCs w:val="18"/>
                <w:color w:val="auto"/>
              </w:rPr>
            </w:pPr>
          </w:p>
        </w:tc>
        <w:tc>
          <w:tcPr>
            <w:tcW w:w="9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Shares</w:t>
            </w:r>
          </w:p>
        </w:tc>
        <w:tc>
          <w:tcPr>
            <w:tcW w:w="1080" w:type="dxa"/>
            <w:vAlign w:val="bottom"/>
            <w:gridSpan w:val="2"/>
          </w:tcPr>
          <w:p>
            <w:pPr>
              <w:jc w:val="center"/>
              <w:ind w:right="90"/>
              <w:spacing w:after="0"/>
              <w:rPr>
                <w:sz w:val="20"/>
                <w:szCs w:val="20"/>
                <w:color w:val="auto"/>
              </w:rPr>
            </w:pPr>
            <w:r>
              <w:rPr>
                <w:rFonts w:ascii="Arial" w:cs="Arial" w:eastAsia="Arial" w:hAnsi="Arial"/>
                <w:sz w:val="18"/>
                <w:szCs w:val="18"/>
                <w:b w:val="1"/>
                <w:bCs w:val="1"/>
                <w:color w:val="auto"/>
                <w:w w:val="87"/>
              </w:rPr>
              <w:t>Class</w:t>
            </w:r>
          </w:p>
        </w:tc>
        <w:tc>
          <w:tcPr>
            <w:tcW w:w="13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Unvested</w:t>
            </w:r>
          </w:p>
        </w:tc>
      </w:tr>
      <w:tr>
        <w:trPr>
          <w:trHeight w:val="216"/>
        </w:trPr>
        <w:tc>
          <w:tcPr>
            <w:tcW w:w="3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December</w:t>
            </w:r>
          </w:p>
        </w:tc>
        <w:tc>
          <w:tcPr>
            <w:tcW w:w="13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as of December</w:t>
            </w:r>
          </w:p>
        </w:tc>
        <w:tc>
          <w:tcPr>
            <w:tcW w:w="2140" w:type="dxa"/>
            <w:vAlign w:val="bottom"/>
            <w:gridSpan w:val="5"/>
          </w:tcPr>
          <w:p>
            <w:pPr>
              <w:jc w:val="right"/>
              <w:ind w:right="90"/>
              <w:spacing w:after="0"/>
              <w:rPr>
                <w:sz w:val="20"/>
                <w:szCs w:val="20"/>
                <w:color w:val="auto"/>
              </w:rPr>
            </w:pPr>
            <w:r>
              <w:rPr>
                <w:rFonts w:ascii="Arial" w:cs="Arial" w:eastAsia="Arial" w:hAnsi="Arial"/>
                <w:sz w:val="18"/>
                <w:szCs w:val="18"/>
                <w:b w:val="1"/>
                <w:bCs w:val="1"/>
                <w:color w:val="auto"/>
                <w:w w:val="94"/>
              </w:rPr>
              <w:t>Beneficially Beneficially</w:t>
            </w:r>
          </w:p>
        </w:tc>
        <w:tc>
          <w:tcPr>
            <w:tcW w:w="13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Restricted Stock</w:t>
            </w:r>
          </w:p>
        </w:tc>
      </w:tr>
      <w:tr>
        <w:trPr>
          <w:trHeight w:val="270"/>
        </w:trPr>
        <w:tc>
          <w:tcPr>
            <w:tcW w:w="3540" w:type="dxa"/>
            <w:vAlign w:val="bottom"/>
            <w:gridSpan w:val="2"/>
          </w:tcPr>
          <w:p>
            <w:pPr>
              <w:ind w:left="1500"/>
              <w:spacing w:after="0"/>
              <w:rPr>
                <w:sz w:val="20"/>
                <w:szCs w:val="20"/>
                <w:color w:val="auto"/>
              </w:rPr>
            </w:pPr>
            <w:r>
              <w:rPr>
                <w:rFonts w:ascii="Arial" w:cs="Arial" w:eastAsia="Arial" w:hAnsi="Arial"/>
                <w:sz w:val="18"/>
                <w:szCs w:val="18"/>
                <w:b w:val="1"/>
                <w:bCs w:val="1"/>
                <w:color w:val="auto"/>
              </w:rPr>
              <w:t>Name</w:t>
            </w:r>
          </w:p>
        </w:tc>
        <w:tc>
          <w:tcPr>
            <w:tcW w:w="98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5"/>
              </w:rPr>
              <w:t xml:space="preserve">31, 2020 </w:t>
            </w:r>
            <w:r>
              <w:rPr>
                <w:rFonts w:ascii="Arial" w:cs="Arial" w:eastAsia="Arial" w:hAnsi="Arial"/>
                <w:sz w:val="29"/>
                <w:szCs w:val="29"/>
                <w:b w:val="1"/>
                <w:bCs w:val="1"/>
                <w:color w:val="auto"/>
                <w:w w:val="85"/>
                <w:vertAlign w:val="superscript"/>
              </w:rPr>
              <w:t>(1)</w:t>
            </w:r>
          </w:p>
        </w:tc>
        <w:tc>
          <w:tcPr>
            <w:tcW w:w="160" w:type="dxa"/>
            <w:vAlign w:val="bottom"/>
          </w:tcPr>
          <w:p>
            <w:pPr>
              <w:spacing w:after="0"/>
              <w:rPr>
                <w:sz w:val="23"/>
                <w:szCs w:val="23"/>
                <w:color w:val="auto"/>
              </w:rPr>
            </w:pPr>
          </w:p>
        </w:tc>
        <w:tc>
          <w:tcPr>
            <w:tcW w:w="128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5"/>
              </w:rPr>
              <w:t xml:space="preserve">31, 2020 </w:t>
            </w:r>
            <w:r>
              <w:rPr>
                <w:rFonts w:ascii="Arial" w:cs="Arial" w:eastAsia="Arial" w:hAnsi="Arial"/>
                <w:sz w:val="29"/>
                <w:szCs w:val="29"/>
                <w:b w:val="1"/>
                <w:bCs w:val="1"/>
                <w:color w:val="auto"/>
                <w:w w:val="85"/>
                <w:vertAlign w:val="superscript"/>
              </w:rPr>
              <w:t>(2)</w:t>
            </w:r>
          </w:p>
        </w:tc>
        <w:tc>
          <w:tcPr>
            <w:tcW w:w="8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9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Owned</w:t>
            </w:r>
          </w:p>
        </w:tc>
        <w:tc>
          <w:tcPr>
            <w:tcW w:w="1080" w:type="dxa"/>
            <w:vAlign w:val="bottom"/>
            <w:gridSpan w:val="2"/>
          </w:tcPr>
          <w:p>
            <w:pPr>
              <w:jc w:val="center"/>
              <w:ind w:right="90"/>
              <w:spacing w:after="0"/>
              <w:rPr>
                <w:sz w:val="20"/>
                <w:szCs w:val="20"/>
                <w:color w:val="auto"/>
              </w:rPr>
            </w:pPr>
            <w:r>
              <w:rPr>
                <w:rFonts w:ascii="Arial" w:cs="Arial" w:eastAsia="Arial" w:hAnsi="Arial"/>
                <w:sz w:val="18"/>
                <w:szCs w:val="18"/>
                <w:b w:val="1"/>
                <w:bCs w:val="1"/>
                <w:color w:val="auto"/>
                <w:w w:val="89"/>
              </w:rPr>
              <w:t>Owned</w:t>
            </w:r>
          </w:p>
        </w:tc>
        <w:tc>
          <w:tcPr>
            <w:tcW w:w="1380" w:type="dxa"/>
            <w:vAlign w:val="bottom"/>
            <w:gridSpan w:val="2"/>
          </w:tcPr>
          <w:p>
            <w:pPr>
              <w:jc w:val="center"/>
              <w:ind w:right="100"/>
              <w:spacing w:after="0" w:line="270" w:lineRule="exact"/>
              <w:rPr>
                <w:sz w:val="20"/>
                <w:szCs w:val="20"/>
                <w:color w:val="auto"/>
              </w:rPr>
            </w:pPr>
            <w:r>
              <w:rPr>
                <w:rFonts w:ascii="Arial" w:cs="Arial" w:eastAsia="Arial" w:hAnsi="Arial"/>
                <w:sz w:val="18"/>
                <w:szCs w:val="18"/>
                <w:b w:val="1"/>
                <w:bCs w:val="1"/>
                <w:color w:val="auto"/>
                <w:w w:val="86"/>
              </w:rPr>
              <w:t xml:space="preserve">Units </w:t>
            </w:r>
            <w:r>
              <w:rPr>
                <w:rFonts w:ascii="Arial" w:cs="Arial" w:eastAsia="Arial" w:hAnsi="Arial"/>
                <w:sz w:val="29"/>
                <w:szCs w:val="29"/>
                <w:b w:val="1"/>
                <w:bCs w:val="1"/>
                <w:color w:val="auto"/>
                <w:w w:val="86"/>
                <w:vertAlign w:val="superscript"/>
              </w:rPr>
              <w:t>(3)</w:t>
            </w:r>
          </w:p>
        </w:tc>
      </w:tr>
      <w:tr>
        <w:trPr>
          <w:trHeight w:val="210"/>
        </w:trPr>
        <w:tc>
          <w:tcPr>
            <w:tcW w:w="3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Jorge Salas</w:t>
            </w:r>
          </w:p>
        </w:tc>
        <w:tc>
          <w:tcPr>
            <w:tcW w:w="8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Erica Lijtztain</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3,270</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4,493</w:t>
            </w:r>
          </w:p>
        </w:tc>
        <w:tc>
          <w:tcPr>
            <w:tcW w:w="1060" w:type="dxa"/>
            <w:vAlign w:val="bottom"/>
            <w:gridSpan w:val="3"/>
          </w:tcPr>
          <w:p>
            <w:pPr>
              <w:jc w:val="right"/>
              <w:ind w:right="80"/>
              <w:spacing w:after="0"/>
              <w:rPr>
                <w:sz w:val="20"/>
                <w:szCs w:val="20"/>
                <w:color w:val="auto"/>
              </w:rPr>
            </w:pPr>
            <w:r>
              <w:rPr>
                <w:rFonts w:ascii="Arial" w:cs="Arial" w:eastAsia="Arial" w:hAnsi="Arial"/>
                <w:sz w:val="18"/>
                <w:szCs w:val="18"/>
                <w:color w:val="auto"/>
              </w:rPr>
              <w:t>7,763</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80"/>
              <w:spacing w:after="0"/>
              <w:rPr>
                <w:sz w:val="20"/>
                <w:szCs w:val="20"/>
                <w:color w:val="auto"/>
              </w:rPr>
            </w:pPr>
            <w:r>
              <w:rPr>
                <w:rFonts w:ascii="Arial" w:cs="Arial" w:eastAsia="Arial" w:hAnsi="Arial"/>
                <w:sz w:val="18"/>
                <w:szCs w:val="18"/>
                <w:color w:val="auto"/>
              </w:rPr>
              <w:t>10,210</w:t>
            </w: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Alejandro Jaramillo</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6,103</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6,118</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12,221</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14,034</w:t>
            </w: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Ana Graciela de Méndez</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2,348</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3,265</w:t>
            </w:r>
          </w:p>
        </w:tc>
        <w:tc>
          <w:tcPr>
            <w:tcW w:w="1060" w:type="dxa"/>
            <w:vAlign w:val="bottom"/>
            <w:gridSpan w:val="3"/>
          </w:tcPr>
          <w:p>
            <w:pPr>
              <w:jc w:val="right"/>
              <w:ind w:right="80"/>
              <w:spacing w:after="0"/>
              <w:rPr>
                <w:sz w:val="20"/>
                <w:szCs w:val="20"/>
                <w:color w:val="auto"/>
              </w:rPr>
            </w:pPr>
            <w:r>
              <w:rPr>
                <w:rFonts w:ascii="Arial" w:cs="Arial" w:eastAsia="Arial" w:hAnsi="Arial"/>
                <w:sz w:val="18"/>
                <w:szCs w:val="18"/>
                <w:color w:val="auto"/>
              </w:rPr>
              <w:t>5,613</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80"/>
              <w:spacing w:after="0"/>
              <w:rPr>
                <w:sz w:val="20"/>
                <w:szCs w:val="20"/>
                <w:color w:val="auto"/>
              </w:rPr>
            </w:pPr>
            <w:r>
              <w:rPr>
                <w:rFonts w:ascii="Arial" w:cs="Arial" w:eastAsia="Arial" w:hAnsi="Arial"/>
                <w:sz w:val="18"/>
                <w:szCs w:val="18"/>
                <w:color w:val="auto"/>
              </w:rPr>
              <w:t>7,448</w:t>
            </w: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Eduardo Vivone</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2,986</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4,423</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7,409</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10,333</w:t>
            </w: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Alejandro Tizzoni</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7,806</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4,585</w:t>
            </w:r>
          </w:p>
        </w:tc>
        <w:tc>
          <w:tcPr>
            <w:tcW w:w="1060" w:type="dxa"/>
            <w:vAlign w:val="bottom"/>
            <w:gridSpan w:val="3"/>
          </w:tcPr>
          <w:p>
            <w:pPr>
              <w:jc w:val="right"/>
              <w:ind w:right="80"/>
              <w:spacing w:after="0"/>
              <w:rPr>
                <w:sz w:val="20"/>
                <w:szCs w:val="20"/>
                <w:color w:val="auto"/>
              </w:rPr>
            </w:pPr>
            <w:r>
              <w:rPr>
                <w:rFonts w:ascii="Arial" w:cs="Arial" w:eastAsia="Arial" w:hAnsi="Arial"/>
                <w:sz w:val="18"/>
                <w:szCs w:val="18"/>
                <w:color w:val="auto"/>
              </w:rPr>
              <w:t>12,391</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80"/>
              <w:spacing w:after="0"/>
              <w:rPr>
                <w:sz w:val="20"/>
                <w:szCs w:val="20"/>
                <w:color w:val="auto"/>
              </w:rPr>
            </w:pPr>
            <w:r>
              <w:rPr>
                <w:rFonts w:ascii="Arial" w:cs="Arial" w:eastAsia="Arial" w:hAnsi="Arial"/>
                <w:sz w:val="18"/>
                <w:szCs w:val="18"/>
                <w:color w:val="auto"/>
              </w:rPr>
              <w:t>10,565</w:t>
            </w:r>
          </w:p>
        </w:tc>
      </w:tr>
      <w:tr>
        <w:trPr>
          <w:trHeight w:val="216"/>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Jorge Luis Real</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1,250</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1,290</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2,540</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2,620</w:t>
            </w:r>
          </w:p>
        </w:tc>
      </w:tr>
      <w:tr>
        <w:trPr>
          <w:trHeight w:val="216"/>
        </w:trPr>
        <w:tc>
          <w:tcPr>
            <w:tcW w:w="3540" w:type="dxa"/>
            <w:vAlign w:val="bottom"/>
            <w:gridSpan w:val="2"/>
          </w:tcPr>
          <w:p>
            <w:pPr>
              <w:spacing w:after="0"/>
              <w:rPr>
                <w:sz w:val="20"/>
                <w:szCs w:val="20"/>
                <w:color w:val="auto"/>
              </w:rPr>
            </w:pPr>
            <w:r>
              <w:rPr>
                <w:rFonts w:ascii="Arial" w:cs="Arial" w:eastAsia="Arial" w:hAnsi="Arial"/>
                <w:sz w:val="18"/>
                <w:szCs w:val="18"/>
                <w:color w:val="auto"/>
              </w:rPr>
              <w:t>Jorge Córdoba</w:t>
            </w: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334</w:t>
            </w:r>
          </w:p>
        </w:tc>
        <w:tc>
          <w:tcPr>
            <w:tcW w:w="1360" w:type="dxa"/>
            <w:vAlign w:val="bottom"/>
            <w:gridSpan w:val="2"/>
          </w:tcPr>
          <w:p>
            <w:pPr>
              <w:jc w:val="right"/>
              <w:ind w:right="80"/>
              <w:spacing w:after="0"/>
              <w:rPr>
                <w:sz w:val="20"/>
                <w:szCs w:val="20"/>
                <w:color w:val="auto"/>
              </w:rPr>
            </w:pPr>
            <w:r>
              <w:rPr>
                <w:rFonts w:ascii="Arial" w:cs="Arial" w:eastAsia="Arial" w:hAnsi="Arial"/>
                <w:sz w:val="18"/>
                <w:szCs w:val="18"/>
                <w:color w:val="auto"/>
              </w:rPr>
              <w:t>573</w:t>
            </w:r>
          </w:p>
        </w:tc>
        <w:tc>
          <w:tcPr>
            <w:tcW w:w="1060" w:type="dxa"/>
            <w:vAlign w:val="bottom"/>
            <w:gridSpan w:val="3"/>
          </w:tcPr>
          <w:p>
            <w:pPr>
              <w:jc w:val="right"/>
              <w:ind w:right="80"/>
              <w:spacing w:after="0"/>
              <w:rPr>
                <w:sz w:val="20"/>
                <w:szCs w:val="20"/>
                <w:color w:val="auto"/>
              </w:rPr>
            </w:pPr>
            <w:r>
              <w:rPr>
                <w:rFonts w:ascii="Arial" w:cs="Arial" w:eastAsia="Arial" w:hAnsi="Arial"/>
                <w:sz w:val="18"/>
                <w:szCs w:val="18"/>
                <w:color w:val="auto"/>
              </w:rPr>
              <w:t>907</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80"/>
              <w:spacing w:after="0"/>
              <w:rPr>
                <w:sz w:val="20"/>
                <w:szCs w:val="20"/>
                <w:color w:val="auto"/>
              </w:rPr>
            </w:pPr>
            <w:r>
              <w:rPr>
                <w:rFonts w:ascii="Arial" w:cs="Arial" w:eastAsia="Arial" w:hAnsi="Arial"/>
                <w:sz w:val="18"/>
                <w:szCs w:val="18"/>
                <w:color w:val="auto"/>
              </w:rPr>
              <w:t>1,385</w:t>
            </w:r>
          </w:p>
        </w:tc>
      </w:tr>
      <w:tr>
        <w:trPr>
          <w:trHeight w:val="243"/>
        </w:trPr>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24,097</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24,747</w:t>
            </w:r>
          </w:p>
        </w:tc>
        <w:tc>
          <w:tcPr>
            <w:tcW w:w="10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48,844</w:t>
            </w:r>
          </w:p>
        </w:tc>
        <w:tc>
          <w:tcPr>
            <w:tcW w:w="90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3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56,595</w:t>
            </w:r>
          </w:p>
        </w:tc>
      </w:tr>
      <w:tr>
        <w:trPr>
          <w:trHeight w:val="20"/>
        </w:trPr>
        <w:tc>
          <w:tcPr>
            <w:tcW w:w="34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tabs>
          <w:tab w:leader="none" w:pos="340" w:val="left"/>
        </w:tabs>
        <w:numPr>
          <w:ilvl w:val="0"/>
          <w:numId w:val="65"/>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ind w:left="340" w:hanging="332"/>
        <w:spacing w:after="0" w:line="185" w:lineRule="auto"/>
        <w:tabs>
          <w:tab w:leader="none" w:pos="340" w:val="left"/>
        </w:tabs>
        <w:numPr>
          <w:ilvl w:val="0"/>
          <w:numId w:val="66"/>
        </w:numPr>
        <w:rPr>
          <w:rFonts w:ascii="Arial" w:cs="Arial" w:eastAsia="Arial" w:hAnsi="Arial"/>
          <w:sz w:val="27"/>
          <w:szCs w:val="27"/>
          <w:color w:val="auto"/>
          <w:vertAlign w:val="superscript"/>
        </w:rPr>
      </w:pPr>
      <w:r>
        <w:rPr>
          <w:rFonts w:ascii="Arial" w:cs="Arial" w:eastAsia="Arial" w:hAnsi="Arial"/>
          <w:sz w:val="16"/>
          <w:szCs w:val="16"/>
          <w:color w:val="auto"/>
        </w:rPr>
        <w:t>Includes shares purchased by the executive and restricted stock units vested and transferred to the executive as of such date.</w:t>
      </w:r>
    </w:p>
    <w:p>
      <w:pPr>
        <w:spacing w:after="0" w:line="1" w:lineRule="exact"/>
        <w:rPr>
          <w:rFonts w:ascii="Arial" w:cs="Arial" w:eastAsia="Arial" w:hAnsi="Arial"/>
          <w:sz w:val="27"/>
          <w:szCs w:val="27"/>
          <w:color w:val="auto"/>
          <w:vertAlign w:val="superscript"/>
        </w:rPr>
      </w:pPr>
    </w:p>
    <w:p>
      <w:pPr>
        <w:ind w:left="340" w:hanging="332"/>
        <w:spacing w:after="0" w:line="194" w:lineRule="auto"/>
        <w:tabs>
          <w:tab w:leader="none" w:pos="340" w:val="left"/>
        </w:tabs>
        <w:numPr>
          <w:ilvl w:val="0"/>
          <w:numId w:val="66"/>
        </w:numPr>
        <w:rPr>
          <w:rFonts w:ascii="Arial" w:cs="Arial" w:eastAsia="Arial" w:hAnsi="Arial"/>
          <w:sz w:val="23"/>
          <w:szCs w:val="23"/>
          <w:color w:val="auto"/>
          <w:vertAlign w:val="superscript"/>
        </w:rPr>
      </w:pPr>
      <w:r>
        <w:rPr>
          <w:rFonts w:ascii="Arial" w:cs="Arial" w:eastAsia="Arial" w:hAnsi="Arial"/>
          <w:sz w:val="15"/>
          <w:szCs w:val="15"/>
          <w:color w:val="auto"/>
        </w:rPr>
        <w:t>Includes vested traditional stock options as well as restricted stock units that will vest within 60 days of December 31, 2020.</w:t>
      </w:r>
    </w:p>
    <w:p>
      <w:pPr>
        <w:spacing w:after="0" w:line="2" w:lineRule="exact"/>
        <w:rPr>
          <w:rFonts w:ascii="Arial" w:cs="Arial" w:eastAsia="Arial" w:hAnsi="Arial"/>
          <w:sz w:val="23"/>
          <w:szCs w:val="23"/>
          <w:color w:val="auto"/>
          <w:vertAlign w:val="superscript"/>
        </w:rPr>
      </w:pPr>
    </w:p>
    <w:p>
      <w:pPr>
        <w:jc w:val="both"/>
        <w:ind w:left="340" w:hanging="332"/>
        <w:spacing w:after="0" w:line="228" w:lineRule="auto"/>
        <w:tabs>
          <w:tab w:leader="none" w:pos="340" w:val="left"/>
        </w:tabs>
        <w:numPr>
          <w:ilvl w:val="0"/>
          <w:numId w:val="66"/>
        </w:numPr>
        <w:rPr>
          <w:rFonts w:ascii="Arial" w:cs="Arial" w:eastAsia="Arial" w:hAnsi="Arial"/>
          <w:sz w:val="27"/>
          <w:szCs w:val="27"/>
          <w:color w:val="auto"/>
          <w:vertAlign w:val="superscript"/>
        </w:rPr>
      </w:pPr>
      <w:r>
        <w:rPr>
          <w:rFonts w:ascii="Arial" w:cs="Arial" w:eastAsia="Arial" w:hAnsi="Arial"/>
          <w:sz w:val="16"/>
          <w:szCs w:val="16"/>
          <w:color w:val="auto"/>
        </w:rPr>
        <w:t>Includes unvested restricted stock units granted to executive officers on February 7, 2020, February 6, 2019 and February 6, 2018, under the 2015 Plan, respectively. These restricted stock units vest 25% each year on the relevant grant date’s anniversary. Any unvested portion of the grants referenced above that will not vest within 60 days of December 31, 2020, is not deemed to be beneficially owned by the individuals listed in the table.</w:t>
      </w: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0" w:name="page101"/>
    <w:bookmarkEnd w:id="100"/>
    <w:p>
      <w:pPr>
        <w:spacing w:after="0" w:line="277" w:lineRule="auto"/>
        <w:rPr>
          <w:sz w:val="20"/>
          <w:szCs w:val="20"/>
          <w:color w:val="auto"/>
        </w:rPr>
      </w:pPr>
      <w:r>
        <w:rPr>
          <w:rFonts w:ascii="Arial" w:cs="Arial" w:eastAsia="Arial" w:hAnsi="Arial"/>
          <w:sz w:val="18"/>
          <w:szCs w:val="18"/>
          <w:color w:val="auto"/>
        </w:rPr>
        <w:t>The following table sets forth information regarding beneficial ownership of the Bank’s Class E shares, including restricted shares and holdings of unvested restricted shares and unvested stock options by members of the Bank’s Board, as of December 31, 2020:</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Number of</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1"/>
        </w:trPr>
        <w:tc>
          <w:tcPr>
            <w:tcW w:w="4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5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Shares that may</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Total</w:t>
            </w:r>
          </w:p>
        </w:tc>
        <w:tc>
          <w:tcPr>
            <w:tcW w:w="10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4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Number of</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be acquired</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Number of</w:t>
            </w:r>
          </w:p>
        </w:tc>
        <w:tc>
          <w:tcPr>
            <w:tcW w:w="1200" w:type="dxa"/>
            <w:vAlign w:val="bottom"/>
            <w:gridSpan w:val="2"/>
          </w:tcPr>
          <w:p>
            <w:pPr>
              <w:jc w:val="center"/>
              <w:ind w:right="170"/>
              <w:spacing w:after="0"/>
              <w:rPr>
                <w:sz w:val="20"/>
                <w:szCs w:val="20"/>
                <w:color w:val="auto"/>
              </w:rPr>
            </w:pPr>
            <w:r>
              <w:rPr>
                <w:rFonts w:ascii="Arial" w:cs="Arial" w:eastAsia="Arial" w:hAnsi="Arial"/>
                <w:sz w:val="18"/>
                <w:szCs w:val="18"/>
                <w:b w:val="1"/>
                <w:bCs w:val="1"/>
                <w:color w:val="auto"/>
                <w:w w:val="88"/>
              </w:rPr>
              <w:t>Percent of</w:t>
            </w: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Shares Owned</w:t>
            </w:r>
          </w:p>
        </w:tc>
        <w:tc>
          <w:tcPr>
            <w:tcW w:w="15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within 60 days as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Shares</w:t>
            </w:r>
          </w:p>
        </w:tc>
        <w:tc>
          <w:tcPr>
            <w:tcW w:w="1200" w:type="dxa"/>
            <w:vAlign w:val="bottom"/>
            <w:gridSpan w:val="2"/>
          </w:tcPr>
          <w:p>
            <w:pPr>
              <w:jc w:val="center"/>
              <w:ind w:right="170"/>
              <w:spacing w:after="0"/>
              <w:rPr>
                <w:sz w:val="20"/>
                <w:szCs w:val="20"/>
                <w:color w:val="auto"/>
              </w:rPr>
            </w:pPr>
            <w:r>
              <w:rPr>
                <w:rFonts w:ascii="Arial" w:cs="Arial" w:eastAsia="Arial" w:hAnsi="Arial"/>
                <w:sz w:val="18"/>
                <w:szCs w:val="18"/>
                <w:b w:val="1"/>
                <w:bCs w:val="1"/>
                <w:color w:val="auto"/>
                <w:w w:val="87"/>
              </w:rPr>
              <w:t>Class</w:t>
            </w: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as of December</w:t>
            </w:r>
          </w:p>
        </w:tc>
        <w:tc>
          <w:tcPr>
            <w:tcW w:w="15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of December</w:t>
            </w: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Beneficially</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Beneficially</w:t>
            </w:r>
          </w:p>
        </w:tc>
        <w:tc>
          <w:tcPr>
            <w:tcW w:w="11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Restricted</w:t>
            </w:r>
          </w:p>
        </w:tc>
      </w:tr>
      <w:tr>
        <w:trPr>
          <w:trHeight w:val="270"/>
        </w:trPr>
        <w:tc>
          <w:tcPr>
            <w:tcW w:w="4720" w:type="dxa"/>
            <w:vAlign w:val="bottom"/>
            <w:gridSpan w:val="2"/>
          </w:tcPr>
          <w:p>
            <w:pPr>
              <w:ind w:left="2080"/>
              <w:spacing w:after="0"/>
              <w:rPr>
                <w:sz w:val="20"/>
                <w:szCs w:val="20"/>
                <w:color w:val="auto"/>
              </w:rPr>
            </w:pPr>
            <w:r>
              <w:rPr>
                <w:rFonts w:ascii="Arial" w:cs="Arial" w:eastAsia="Arial" w:hAnsi="Arial"/>
                <w:sz w:val="18"/>
                <w:szCs w:val="18"/>
                <w:b w:val="1"/>
                <w:bCs w:val="1"/>
                <w:color w:val="auto"/>
              </w:rPr>
              <w:t>Name</w:t>
            </w:r>
          </w:p>
        </w:tc>
        <w:tc>
          <w:tcPr>
            <w:tcW w:w="122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7"/>
              </w:rPr>
              <w:t xml:space="preserve">31, 2020 </w:t>
            </w:r>
            <w:r>
              <w:rPr>
                <w:rFonts w:ascii="Arial" w:cs="Arial" w:eastAsia="Arial" w:hAnsi="Arial"/>
                <w:sz w:val="29"/>
                <w:szCs w:val="29"/>
                <w:b w:val="1"/>
                <w:bCs w:val="1"/>
                <w:color w:val="auto"/>
                <w:w w:val="87"/>
                <w:vertAlign w:val="superscript"/>
              </w:rPr>
              <w:t>(1)</w:t>
            </w:r>
          </w:p>
        </w:tc>
        <w:tc>
          <w:tcPr>
            <w:tcW w:w="220" w:type="dxa"/>
            <w:vAlign w:val="bottom"/>
          </w:tcPr>
          <w:p>
            <w:pPr>
              <w:spacing w:after="0"/>
              <w:rPr>
                <w:sz w:val="23"/>
                <w:szCs w:val="23"/>
                <w:color w:val="auto"/>
              </w:rPr>
            </w:pPr>
          </w:p>
        </w:tc>
        <w:tc>
          <w:tcPr>
            <w:tcW w:w="1340" w:type="dxa"/>
            <w:vAlign w:val="bottom"/>
          </w:tcPr>
          <w:p>
            <w:pPr>
              <w:jc w:val="center"/>
              <w:spacing w:after="0" w:line="270" w:lineRule="exact"/>
              <w:rPr>
                <w:sz w:val="20"/>
                <w:szCs w:val="20"/>
                <w:color w:val="auto"/>
              </w:rPr>
            </w:pPr>
            <w:r>
              <w:rPr>
                <w:rFonts w:ascii="Arial" w:cs="Arial" w:eastAsia="Arial" w:hAnsi="Arial"/>
                <w:sz w:val="18"/>
                <w:szCs w:val="18"/>
                <w:b w:val="1"/>
                <w:bCs w:val="1"/>
                <w:color w:val="auto"/>
                <w:w w:val="87"/>
              </w:rPr>
              <w:t xml:space="preserve">31, 2020 </w:t>
            </w:r>
            <w:r>
              <w:rPr>
                <w:rFonts w:ascii="Arial" w:cs="Arial" w:eastAsia="Arial" w:hAnsi="Arial"/>
                <w:sz w:val="29"/>
                <w:szCs w:val="29"/>
                <w:b w:val="1"/>
                <w:bCs w:val="1"/>
                <w:color w:val="auto"/>
                <w:w w:val="87"/>
                <w:vertAlign w:val="superscript"/>
              </w:rPr>
              <w:t>(2)</w:t>
            </w:r>
          </w:p>
        </w:tc>
        <w:tc>
          <w:tcPr>
            <w:tcW w:w="220" w:type="dxa"/>
            <w:vAlign w:val="bottom"/>
          </w:tcPr>
          <w:p>
            <w:pPr>
              <w:spacing w:after="0"/>
              <w:rPr>
                <w:sz w:val="23"/>
                <w:szCs w:val="2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Owned</w:t>
            </w:r>
          </w:p>
        </w:tc>
        <w:tc>
          <w:tcPr>
            <w:tcW w:w="1200" w:type="dxa"/>
            <w:vAlign w:val="bottom"/>
            <w:gridSpan w:val="2"/>
          </w:tcPr>
          <w:p>
            <w:pPr>
              <w:jc w:val="center"/>
              <w:ind w:right="130"/>
              <w:spacing w:after="0"/>
              <w:rPr>
                <w:sz w:val="20"/>
                <w:szCs w:val="20"/>
                <w:color w:val="auto"/>
              </w:rPr>
            </w:pPr>
            <w:r>
              <w:rPr>
                <w:rFonts w:ascii="Arial" w:cs="Arial" w:eastAsia="Arial" w:hAnsi="Arial"/>
                <w:sz w:val="18"/>
                <w:szCs w:val="18"/>
                <w:b w:val="1"/>
                <w:bCs w:val="1"/>
                <w:color w:val="auto"/>
                <w:w w:val="89"/>
              </w:rPr>
              <w:t>Owned</w:t>
            </w:r>
          </w:p>
        </w:tc>
        <w:tc>
          <w:tcPr>
            <w:tcW w:w="1100" w:type="dxa"/>
            <w:vAlign w:val="bottom"/>
            <w:gridSpan w:val="2"/>
          </w:tcPr>
          <w:p>
            <w:pPr>
              <w:jc w:val="center"/>
              <w:ind w:right="100"/>
              <w:spacing w:after="0" w:line="270" w:lineRule="exact"/>
              <w:rPr>
                <w:sz w:val="20"/>
                <w:szCs w:val="20"/>
                <w:color w:val="auto"/>
              </w:rPr>
            </w:pPr>
            <w:r>
              <w:rPr>
                <w:rFonts w:ascii="Arial" w:cs="Arial" w:eastAsia="Arial" w:hAnsi="Arial"/>
                <w:sz w:val="18"/>
                <w:szCs w:val="18"/>
                <w:b w:val="1"/>
                <w:bCs w:val="1"/>
                <w:color w:val="auto"/>
                <w:w w:val="81"/>
              </w:rPr>
              <w:t xml:space="preserve">Shares </w:t>
            </w:r>
            <w:r>
              <w:rPr>
                <w:rFonts w:ascii="Arial" w:cs="Arial" w:eastAsia="Arial" w:hAnsi="Arial"/>
                <w:sz w:val="29"/>
                <w:szCs w:val="29"/>
                <w:b w:val="1"/>
                <w:bCs w:val="1"/>
                <w:color w:val="auto"/>
                <w:w w:val="81"/>
                <w:vertAlign w:val="superscript"/>
              </w:rPr>
              <w:t>(3)</w:t>
            </w:r>
          </w:p>
        </w:tc>
      </w:tr>
      <w:tr>
        <w:trPr>
          <w:trHeight w:val="209"/>
        </w:trPr>
        <w:tc>
          <w:tcPr>
            <w:tcW w:w="46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Alexandra M. Aguirre</w:t>
            </w:r>
          </w:p>
        </w:tc>
        <w:tc>
          <w:tcPr>
            <w:tcW w:w="1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84"/>
              </w:rPr>
              <w:t>*</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6,000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Ricardo Manuel Arango</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31,175</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31,175</w:t>
            </w:r>
          </w:p>
        </w:tc>
        <w:tc>
          <w:tcPr>
            <w:tcW w:w="12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11,700</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Herminio A. Blanco</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77,608</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77,608</w:t>
            </w:r>
          </w:p>
        </w:tc>
        <w:tc>
          <w:tcPr>
            <w:tcW w:w="12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11,700</w:t>
            </w: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Isela Costantini</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6,000</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Mario Covo</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65,027</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65,027</w:t>
            </w:r>
          </w:p>
        </w:tc>
        <w:tc>
          <w:tcPr>
            <w:tcW w:w="12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11,700</w:t>
            </w: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José Alberto Garzón</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12,300</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12,300</w:t>
            </w:r>
          </w:p>
        </w:tc>
        <w:tc>
          <w:tcPr>
            <w:tcW w:w="12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11,700</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Eduardo Hecker</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r>
      <w:tr>
        <w:trPr>
          <w:trHeight w:val="216"/>
        </w:trPr>
        <w:tc>
          <w:tcPr>
            <w:tcW w:w="4720" w:type="dxa"/>
            <w:vAlign w:val="bottom"/>
            <w:gridSpan w:val="2"/>
          </w:tcPr>
          <w:p>
            <w:pPr>
              <w:spacing w:after="0"/>
              <w:rPr>
                <w:sz w:val="20"/>
                <w:szCs w:val="20"/>
                <w:color w:val="auto"/>
              </w:rPr>
            </w:pPr>
            <w:r>
              <w:rPr>
                <w:rFonts w:ascii="Arial" w:cs="Arial" w:eastAsia="Arial" w:hAnsi="Arial"/>
                <w:sz w:val="18"/>
                <w:szCs w:val="18"/>
                <w:color w:val="auto"/>
              </w:rPr>
              <w:t>Miguel Heras Castro</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94,300</w:t>
            </w:r>
          </w:p>
        </w:tc>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94,300</w:t>
            </w:r>
          </w:p>
        </w:tc>
        <w:tc>
          <w:tcPr>
            <w:tcW w:w="1200" w:type="dxa"/>
            <w:vAlign w:val="bottom"/>
            <w:gridSpan w:val="2"/>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14,700</w:t>
            </w:r>
          </w:p>
        </w:tc>
      </w:tr>
      <w:tr>
        <w:trPr>
          <w:trHeight w:val="216"/>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Roland Holst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19,150</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19,150</w:t>
            </w:r>
          </w:p>
        </w:tc>
        <w:tc>
          <w:tcPr>
            <w:tcW w:w="12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11,700</w:t>
            </w:r>
          </w:p>
        </w:tc>
      </w:tr>
      <w:tr>
        <w:trPr>
          <w:trHeight w:val="229"/>
        </w:trPr>
        <w:tc>
          <w:tcPr>
            <w:tcW w:w="472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João Carlos de Nóbrega Pecego</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12,300</w:t>
            </w:r>
          </w:p>
        </w:tc>
        <w:tc>
          <w:tcPr>
            <w:tcW w:w="220" w:type="dxa"/>
            <w:vAlign w:val="bottom"/>
            <w:tcBorders>
              <w:bottom w:val="single" w:sz="8" w:color="CCEEFF"/>
            </w:tcBorders>
          </w:tcPr>
          <w:p>
            <w:pPr>
              <w:spacing w:after="0"/>
              <w:rPr>
                <w:sz w:val="19"/>
                <w:szCs w:val="19"/>
                <w:color w:val="auto"/>
              </w:rPr>
            </w:pPr>
          </w:p>
        </w:tc>
        <w:tc>
          <w:tcPr>
            <w:tcW w:w="1560" w:type="dxa"/>
            <w:vAlign w:val="bottom"/>
            <w:tcBorders>
              <w:bottom w:val="single" w:sz="8" w:color="CCEEFF"/>
            </w:tcBorders>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12,300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gridSpan w:val="2"/>
          </w:tcPr>
          <w:p>
            <w:pPr>
              <w:jc w:val="right"/>
              <w:ind w:right="30"/>
              <w:spacing w:after="0"/>
              <w:rPr>
                <w:sz w:val="20"/>
                <w:szCs w:val="20"/>
                <w:color w:val="auto"/>
              </w:rPr>
            </w:pPr>
            <w:r>
              <w:rPr>
                <w:rFonts w:ascii="Arial" w:cs="Arial" w:eastAsia="Arial" w:hAnsi="Arial"/>
                <w:sz w:val="18"/>
                <w:szCs w:val="18"/>
                <w:color w:val="auto"/>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11,700</w:t>
            </w:r>
          </w:p>
        </w:tc>
        <w:tc>
          <w:tcPr>
            <w:tcW w:w="100" w:type="dxa"/>
            <w:vAlign w:val="bottom"/>
            <w:tcBorders>
              <w:bottom w:val="single" w:sz="8" w:color="CCEEFF"/>
            </w:tcBorders>
          </w:tcPr>
          <w:p>
            <w:pPr>
              <w:spacing w:after="0"/>
              <w:rPr>
                <w:sz w:val="19"/>
                <w:szCs w:val="19"/>
                <w:color w:val="auto"/>
              </w:rPr>
            </w:pPr>
          </w:p>
        </w:tc>
      </w:tr>
      <w:tr>
        <w:trPr>
          <w:trHeight w:val="250"/>
        </w:trPr>
        <w:tc>
          <w:tcPr>
            <w:tcW w:w="47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311,860</w:t>
            </w:r>
          </w:p>
        </w:tc>
        <w:tc>
          <w:tcPr>
            <w:tcW w:w="15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311,860</w:t>
            </w:r>
          </w:p>
        </w:tc>
        <w:tc>
          <w:tcPr>
            <w:tcW w:w="10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102,900</w:t>
            </w:r>
          </w:p>
        </w:tc>
      </w:tr>
      <w:tr>
        <w:trPr>
          <w:trHeight w:val="20"/>
        </w:trPr>
        <w:tc>
          <w:tcPr>
            <w:tcW w:w="46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ind w:left="740" w:hanging="489"/>
        <w:spacing w:after="0"/>
        <w:tabs>
          <w:tab w:leader="none" w:pos="740" w:val="left"/>
        </w:tabs>
        <w:numPr>
          <w:ilvl w:val="0"/>
          <w:numId w:val="67"/>
        </w:numPr>
        <w:rPr>
          <w:rFonts w:ascii="Arial" w:cs="Arial" w:eastAsia="Arial" w:hAnsi="Arial"/>
          <w:sz w:val="18"/>
          <w:szCs w:val="18"/>
          <w:color w:val="auto"/>
        </w:rPr>
      </w:pPr>
      <w:r>
        <w:rPr>
          <w:rFonts w:ascii="Arial" w:cs="Arial" w:eastAsia="Arial" w:hAnsi="Arial"/>
          <w:sz w:val="18"/>
          <w:szCs w:val="18"/>
          <w:color w:val="auto"/>
        </w:rPr>
        <w:t>Less than one percent of the outstanding Class E shares.</w:t>
      </w:r>
    </w:p>
    <w:p>
      <w:pPr>
        <w:spacing w:after="0" w:line="23" w:lineRule="exact"/>
        <w:rPr>
          <w:sz w:val="20"/>
          <w:szCs w:val="20"/>
          <w:color w:val="auto"/>
        </w:rPr>
      </w:pPr>
    </w:p>
    <w:p>
      <w:pPr>
        <w:ind w:left="700" w:right="320" w:hanging="449"/>
        <w:spacing w:after="0" w:line="187" w:lineRule="auto"/>
        <w:tabs>
          <w:tab w:leader="none" w:pos="700" w:val="left"/>
        </w:tabs>
        <w:numPr>
          <w:ilvl w:val="0"/>
          <w:numId w:val="68"/>
        </w:numPr>
        <w:rPr>
          <w:rFonts w:ascii="Arial" w:cs="Arial" w:eastAsia="Arial" w:hAnsi="Arial"/>
          <w:sz w:val="30"/>
          <w:szCs w:val="30"/>
          <w:color w:val="auto"/>
          <w:vertAlign w:val="superscript"/>
        </w:rPr>
      </w:pPr>
      <w:r>
        <w:rPr>
          <w:rFonts w:ascii="Arial" w:cs="Arial" w:eastAsia="Arial" w:hAnsi="Arial"/>
          <w:sz w:val="18"/>
          <w:szCs w:val="18"/>
          <w:color w:val="auto"/>
        </w:rPr>
        <w:t>Includes Class E shares purchased by the director or restricted shares vested and transferred to the director pursuant to the 2003 Restricted Stock Plan, the 2008 Plan and the 2015 Plan as of such date.</w:t>
      </w:r>
    </w:p>
    <w:p>
      <w:pPr>
        <w:spacing w:after="0" w:line="1" w:lineRule="exact"/>
        <w:rPr>
          <w:rFonts w:ascii="Arial" w:cs="Arial" w:eastAsia="Arial" w:hAnsi="Arial"/>
          <w:sz w:val="30"/>
          <w:szCs w:val="30"/>
          <w:color w:val="auto"/>
          <w:vertAlign w:val="superscript"/>
        </w:rPr>
      </w:pPr>
    </w:p>
    <w:p>
      <w:pPr>
        <w:ind w:left="700" w:hanging="449"/>
        <w:spacing w:after="0" w:line="180" w:lineRule="auto"/>
        <w:tabs>
          <w:tab w:leader="none" w:pos="700" w:val="left"/>
        </w:tabs>
        <w:numPr>
          <w:ilvl w:val="0"/>
          <w:numId w:val="68"/>
        </w:numPr>
        <w:rPr>
          <w:rFonts w:ascii="Arial" w:cs="Arial" w:eastAsia="Arial" w:hAnsi="Arial"/>
          <w:sz w:val="25"/>
          <w:szCs w:val="25"/>
          <w:color w:val="auto"/>
          <w:vertAlign w:val="superscript"/>
        </w:rPr>
      </w:pPr>
      <w:r>
        <w:rPr>
          <w:rFonts w:ascii="Arial" w:cs="Arial" w:eastAsia="Arial" w:hAnsi="Arial"/>
          <w:sz w:val="15"/>
          <w:szCs w:val="15"/>
          <w:color w:val="auto"/>
        </w:rPr>
        <w:t>Includes vested / unexercised traditional stock options..</w:t>
      </w:r>
    </w:p>
    <w:p>
      <w:pPr>
        <w:spacing w:after="0" w:line="2" w:lineRule="exact"/>
        <w:rPr>
          <w:rFonts w:ascii="Arial" w:cs="Arial" w:eastAsia="Arial" w:hAnsi="Arial"/>
          <w:sz w:val="25"/>
          <w:szCs w:val="25"/>
          <w:color w:val="auto"/>
          <w:vertAlign w:val="superscript"/>
        </w:rPr>
      </w:pPr>
    </w:p>
    <w:p>
      <w:pPr>
        <w:jc w:val="both"/>
        <w:ind w:left="700" w:right="320" w:hanging="449"/>
        <w:spacing w:after="0" w:line="204" w:lineRule="auto"/>
        <w:tabs>
          <w:tab w:leader="none" w:pos="700" w:val="left"/>
        </w:tabs>
        <w:numPr>
          <w:ilvl w:val="0"/>
          <w:numId w:val="68"/>
        </w:numPr>
        <w:rPr>
          <w:rFonts w:ascii="Arial" w:cs="Arial" w:eastAsia="Arial" w:hAnsi="Arial"/>
          <w:sz w:val="30"/>
          <w:szCs w:val="30"/>
          <w:color w:val="auto"/>
          <w:vertAlign w:val="superscript"/>
        </w:rPr>
      </w:pPr>
      <w:r>
        <w:rPr>
          <w:rFonts w:ascii="Arial" w:cs="Arial" w:eastAsia="Arial" w:hAnsi="Arial"/>
          <w:sz w:val="18"/>
          <w:szCs w:val="18"/>
          <w:color w:val="auto"/>
        </w:rPr>
        <w:t>Includes unvested restricted Class E shares granted under the Bank’s 2008 Plan and 2015 Plan. An aggregate amount of 63,000 restricted shares were granted to directors on April 29, 2020; these restricted shares vest 35% in each of the first and second year and 30% in the third year on the relevant grant date’s anniversary.</w:t>
      </w:r>
    </w:p>
    <w:p>
      <w:pPr>
        <w:spacing w:after="0" w:line="203" w:lineRule="exact"/>
        <w:rPr>
          <w:sz w:val="20"/>
          <w:szCs w:val="20"/>
          <w:color w:val="auto"/>
        </w:rPr>
      </w:pPr>
    </w:p>
    <w:p>
      <w:pPr>
        <w:spacing w:after="0"/>
        <w:rPr>
          <w:sz w:val="20"/>
          <w:szCs w:val="20"/>
          <w:color w:val="auto"/>
        </w:rPr>
      </w:pPr>
      <w:r>
        <w:rPr>
          <w:rFonts w:ascii="Arial" w:cs="Arial" w:eastAsia="Arial" w:hAnsi="Arial"/>
          <w:sz w:val="18"/>
          <w:szCs w:val="18"/>
          <w:color w:val="auto"/>
        </w:rPr>
        <w:t>For additional information regarding stock options granted to executive officers and directors, see Item 18, “Financial Statements,” note 29.</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Stock Ownership Policy for Directors and Executive Officers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Since October 2013, the Board of Directors has adopted share ownership guidelines for directors and executive officers. These guidelines enable the Bank to meet its objective of aligning directors’ and executives’ interests with those of the shareholders.</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Under these guidelines, each director, within three years of joining the Board, is required to accumulate 9,000 shares (13,500 for the Chairman of the Board), and to maintain at least this ownership level while serving as a member of the Board. Presently, all Board members are in compliance with the guidelines that apply to them.</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are in compliance with the guidelines as they apply to them.</w:t>
      </w:r>
    </w:p>
    <w:p>
      <w:pPr>
        <w:spacing w:after="0" w:line="157"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36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1" w:name="page102"/>
    <w:bookmarkEnd w:id="101"/>
    <w:p>
      <w:pPr>
        <w:ind w:left="500" w:hanging="492"/>
        <w:spacing w:after="0"/>
        <w:tabs>
          <w:tab w:leader="none" w:pos="50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Board Practices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Board Leadership Structure</w:t>
      </w:r>
    </w:p>
    <w:p>
      <w:pPr>
        <w:spacing w:after="0" w:line="225"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Board recognizes that one of its key responsibilities is to evaluate and determine its optimal leadership structure so as to provide an independent oversight of management. The Bank currently separates the positions of Chief Executive Officer and Chairman of the Board. Mr. N. Gabriel Tolchinsky served as Chief Executive Officer from April 30, 2018 to March 9, 2020 and was succeeded by Mr. Jorge Salas as of March 9, 2020.</w:t>
      </w:r>
    </w:p>
    <w:p>
      <w:pPr>
        <w:spacing w:after="0" w:line="165" w:lineRule="exact"/>
        <w:rPr>
          <w:sz w:val="20"/>
          <w:szCs w:val="20"/>
          <w:color w:val="auto"/>
        </w:rPr>
      </w:pPr>
    </w:p>
    <w:p>
      <w:pPr>
        <w:spacing w:after="0"/>
        <w:rPr>
          <w:sz w:val="20"/>
          <w:szCs w:val="20"/>
          <w:color w:val="auto"/>
        </w:rPr>
      </w:pPr>
      <w:r>
        <w:rPr>
          <w:rFonts w:ascii="Arial" w:cs="Arial" w:eastAsia="Arial" w:hAnsi="Arial"/>
          <w:sz w:val="17"/>
          <w:szCs w:val="17"/>
          <w:color w:val="auto"/>
        </w:rPr>
        <w:t>As defined by the SEC in Item 407 of Regulation S-K, at least one of the members of the Audit Committee is an “audit committee financial expert”.</w:t>
      </w:r>
    </w:p>
    <w:p>
      <w:pPr>
        <w:spacing w:after="0" w:line="23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In compliance with the Sarbanes-Oxley Act, Section 303A of the New York Stock Exchange Listed Company Manual, the Rules of the Superintendency of Banks of Panama, the Bank’s organizational documents and charters of each of the following Board committees, a majority of the members of the Board of Directors, all members of the Audit Committee, and all members of the Compensation Committee of the Bank are independent directors.</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color w:val="auto"/>
        </w:rPr>
        <w:t>Our Board believes that its leadership structure promotes an effective board that supports and challenges management appropriately.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Meetings of the Board and Committees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During the fiscal year ended December 31, 2020, the Board held ten meetings. Directors attended an average of 97% of the total number of Board meetings held during the fiscal year ended December 31, 2020.</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sets forth the membership and number of meetings for each of the five committees of the Board during the fiscal year ended December 31, 2020:</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Compliance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Risk Policy</w:t>
            </w: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and Anti-</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vMerge w:val="restart"/>
          </w:tcPr>
          <w:p>
            <w:pPr>
              <w:ind w:left="2340"/>
              <w:spacing w:after="0"/>
              <w:rPr>
                <w:sz w:val="20"/>
                <w:szCs w:val="20"/>
                <w:color w:val="auto"/>
              </w:rPr>
            </w:pPr>
            <w:r>
              <w:rPr>
                <w:rFonts w:ascii="Arial" w:cs="Arial" w:eastAsia="Arial" w:hAnsi="Arial"/>
                <w:sz w:val="18"/>
                <w:szCs w:val="18"/>
                <w:b w:val="1"/>
                <w:bCs w:val="1"/>
                <w:color w:val="auto"/>
              </w:rPr>
              <w:t>Name</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and</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Finance and</w:t>
            </w: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Money</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160" w:type="dxa"/>
            <w:vAlign w:val="bottom"/>
            <w:gridSpan w:val="2"/>
            <w:vMerge w:val="continue"/>
          </w:tcPr>
          <w:p>
            <w:pPr>
              <w:spacing w:after="0"/>
              <w:rPr>
                <w:sz w:val="20"/>
                <w:szCs w:val="20"/>
                <w:color w:val="auto"/>
              </w:rPr>
            </w:pPr>
          </w:p>
        </w:tc>
        <w:tc>
          <w:tcPr>
            <w:tcW w:w="1220" w:type="dxa"/>
            <w:vAlign w:val="bottom"/>
            <w:gridSpan w:val="2"/>
          </w:tcPr>
          <w:p>
            <w:pPr>
              <w:ind w:left="280"/>
              <w:spacing w:after="0"/>
              <w:rPr>
                <w:sz w:val="20"/>
                <w:szCs w:val="20"/>
                <w:color w:val="auto"/>
              </w:rPr>
            </w:pPr>
            <w:r>
              <w:rPr>
                <w:rFonts w:ascii="Arial" w:cs="Arial" w:eastAsia="Arial" w:hAnsi="Arial"/>
                <w:sz w:val="18"/>
                <w:szCs w:val="18"/>
                <w:b w:val="1"/>
                <w:bCs w:val="1"/>
                <w:color w:val="auto"/>
              </w:rPr>
              <w:t>Audit</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Assessment</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Business</w:t>
            </w: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Laundering</w:t>
            </w:r>
          </w:p>
        </w:tc>
        <w:tc>
          <w:tcPr>
            <w:tcW w:w="1220" w:type="dxa"/>
            <w:vAlign w:val="bottom"/>
            <w:gridSpan w:val="2"/>
          </w:tcPr>
          <w:p>
            <w:pPr>
              <w:spacing w:after="0"/>
              <w:rPr>
                <w:sz w:val="20"/>
                <w:szCs w:val="20"/>
                <w:color w:val="auto"/>
              </w:rPr>
            </w:pPr>
            <w:r>
              <w:rPr>
                <w:rFonts w:ascii="Arial" w:cs="Arial" w:eastAsia="Arial" w:hAnsi="Arial"/>
                <w:sz w:val="18"/>
                <w:szCs w:val="18"/>
                <w:b w:val="1"/>
                <w:bCs w:val="1"/>
                <w:color w:val="auto"/>
                <w:w w:val="95"/>
              </w:rPr>
              <w:t>Compensation</w:t>
            </w:r>
          </w:p>
        </w:tc>
        <w:tc>
          <w:tcPr>
            <w:tcW w:w="0" w:type="dxa"/>
            <w:vAlign w:val="bottom"/>
          </w:tcPr>
          <w:p>
            <w:pPr>
              <w:spacing w:after="0"/>
              <w:rPr>
                <w:sz w:val="1"/>
                <w:szCs w:val="1"/>
                <w:color w:val="auto"/>
              </w:rPr>
            </w:pPr>
          </w:p>
        </w:tc>
      </w:tr>
      <w:tr>
        <w:trPr>
          <w:trHeight w:val="209"/>
        </w:trPr>
        <w:tc>
          <w:tcPr>
            <w:tcW w:w="5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Alexandra M. Aguirre</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90"/>
              </w:rPr>
              <w:t>Member</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center"/>
              <w:ind w:left="30"/>
              <w:spacing w:after="0"/>
              <w:rPr>
                <w:sz w:val="20"/>
                <w:szCs w:val="20"/>
                <w:color w:val="auto"/>
              </w:rPr>
            </w:pPr>
            <w:r>
              <w:rPr>
                <w:rFonts w:ascii="Arial" w:cs="Arial" w:eastAsia="Arial" w:hAnsi="Arial"/>
                <w:sz w:val="18"/>
                <w:szCs w:val="18"/>
                <w:color w:val="auto"/>
                <w:w w:val="90"/>
              </w:rPr>
              <w:t>Member</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Ricardo Manuel Arango</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Member</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Member</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92"/>
              </w:rPr>
              <w:t>Chairman</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Herminio A. Blanco</w:t>
            </w: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2"/>
              </w:rPr>
              <w:t>Chairman</w:t>
            </w:r>
          </w:p>
        </w:tc>
        <w:tc>
          <w:tcPr>
            <w:tcW w:w="12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3"/>
              </w:rPr>
              <w:t>Member</w:t>
            </w: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Isela Costantini</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Member</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spacing w:after="0"/>
              <w:rPr>
                <w:sz w:val="20"/>
                <w:szCs w:val="20"/>
                <w:color w:val="auto"/>
              </w:rPr>
            </w:pPr>
            <w:r>
              <w:rPr>
                <w:rFonts w:ascii="Arial" w:cs="Arial" w:eastAsia="Arial" w:hAnsi="Arial"/>
                <w:sz w:val="18"/>
                <w:szCs w:val="18"/>
                <w:color w:val="auto"/>
                <w:w w:val="90"/>
              </w:rPr>
              <w:t>Member</w:t>
            </w: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Mario Covo</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3"/>
              </w:rPr>
              <w:t>Member</w:t>
            </w:r>
          </w:p>
        </w:tc>
        <w:tc>
          <w:tcPr>
            <w:tcW w:w="120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89"/>
              </w:rPr>
              <w:t>Chairman</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José Alberto Garzón</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Member</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Member</w:t>
            </w:r>
          </w:p>
        </w:tc>
        <w:tc>
          <w:tcPr>
            <w:tcW w:w="1220" w:type="dxa"/>
            <w:vAlign w:val="bottom"/>
            <w:gridSpan w:val="2"/>
          </w:tcPr>
          <w:p>
            <w:pPr>
              <w:jc w:val="center"/>
              <w:spacing w:after="0"/>
              <w:rPr>
                <w:sz w:val="20"/>
                <w:szCs w:val="20"/>
                <w:color w:val="auto"/>
              </w:rPr>
            </w:pPr>
            <w:r>
              <w:rPr>
                <w:rFonts w:ascii="Arial" w:cs="Arial" w:eastAsia="Arial" w:hAnsi="Arial"/>
                <w:sz w:val="18"/>
                <w:szCs w:val="18"/>
                <w:color w:val="auto"/>
                <w:w w:val="90"/>
              </w:rPr>
              <w:t>Member</w:t>
            </w: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Eduardo Hecker</w:t>
            </w:r>
          </w:p>
        </w:tc>
        <w:tc>
          <w:tcPr>
            <w:tcW w:w="122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0"/>
              </w:rPr>
              <w:t>Member</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center"/>
              <w:spacing w:after="0"/>
              <w:rPr>
                <w:sz w:val="20"/>
                <w:szCs w:val="20"/>
                <w:color w:val="auto"/>
              </w:rPr>
            </w:pPr>
            <w:r>
              <w:rPr>
                <w:rFonts w:ascii="Arial" w:cs="Arial" w:eastAsia="Arial" w:hAnsi="Arial"/>
                <w:sz w:val="18"/>
                <w:szCs w:val="18"/>
                <w:color w:val="auto"/>
                <w:w w:val="90"/>
              </w:rPr>
              <w:t>Member</w:t>
            </w: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Miguel Heras Castro</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120"/>
              <w:spacing w:after="0"/>
              <w:rPr>
                <w:sz w:val="20"/>
                <w:szCs w:val="20"/>
                <w:color w:val="auto"/>
              </w:rPr>
            </w:pPr>
            <w:r>
              <w:rPr>
                <w:rFonts w:ascii="Arial" w:cs="Arial" w:eastAsia="Arial" w:hAnsi="Arial"/>
                <w:sz w:val="18"/>
                <w:szCs w:val="18"/>
                <w:color w:val="auto"/>
                <w:w w:val="89"/>
              </w:rPr>
              <w:t>Chairman</w:t>
            </w: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Member</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Roland Holst</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3"/>
              </w:rPr>
              <w:t>Member</w:t>
            </w:r>
          </w:p>
        </w:tc>
        <w:tc>
          <w:tcPr>
            <w:tcW w:w="120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color w:val="auto"/>
                <w:w w:val="93"/>
              </w:rPr>
              <w:t>Member</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João Carlos de Nóbrega Pecego</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Member</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spacing w:after="0"/>
              <w:rPr>
                <w:sz w:val="20"/>
                <w:szCs w:val="20"/>
                <w:color w:val="auto"/>
              </w:rPr>
            </w:pPr>
            <w:r>
              <w:rPr>
                <w:rFonts w:ascii="Arial" w:cs="Arial" w:eastAsia="Arial" w:hAnsi="Arial"/>
                <w:sz w:val="18"/>
                <w:szCs w:val="18"/>
                <w:color w:val="auto"/>
                <w:w w:val="92"/>
              </w:rPr>
              <w:t>Chairman</w:t>
            </w:r>
          </w:p>
        </w:tc>
        <w:tc>
          <w:tcPr>
            <w:tcW w:w="0" w:type="dxa"/>
            <w:vAlign w:val="bottom"/>
          </w:tcPr>
          <w:p>
            <w:pPr>
              <w:spacing w:after="0"/>
              <w:rPr>
                <w:sz w:val="1"/>
                <w:szCs w:val="1"/>
                <w:color w:val="auto"/>
              </w:rPr>
            </w:pPr>
          </w:p>
        </w:tc>
      </w:tr>
      <w:tr>
        <w:trPr>
          <w:trHeight w:val="216"/>
        </w:trPr>
        <w:tc>
          <w:tcPr>
            <w:tcW w:w="50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Number of Committee Meetings Held in 2020</w:t>
            </w:r>
          </w:p>
        </w:tc>
        <w:tc>
          <w:tcPr>
            <w:tcW w:w="1000" w:type="dxa"/>
            <w:vAlign w:val="bottom"/>
          </w:tcPr>
          <w:p>
            <w:pPr>
              <w:jc w:val="center"/>
              <w:ind w:left="30"/>
              <w:spacing w:after="0"/>
              <w:rPr>
                <w:sz w:val="20"/>
                <w:szCs w:val="20"/>
                <w:color w:val="auto"/>
              </w:rPr>
            </w:pPr>
            <w:r>
              <w:rPr>
                <w:rFonts w:ascii="Arial" w:cs="Arial" w:eastAsia="Arial" w:hAnsi="Arial"/>
                <w:sz w:val="18"/>
                <w:szCs w:val="18"/>
                <w:color w:val="auto"/>
                <w:w w:val="79"/>
              </w:rPr>
              <w:t>6</w:t>
            </w:r>
          </w:p>
        </w:tc>
        <w:tc>
          <w:tcPr>
            <w:tcW w:w="220" w:type="dxa"/>
            <w:vAlign w:val="bottom"/>
          </w:tcPr>
          <w:p>
            <w:pPr>
              <w:spacing w:after="0"/>
              <w:rPr>
                <w:sz w:val="20"/>
                <w:szCs w:val="20"/>
                <w:color w:val="auto"/>
              </w:rPr>
            </w:pPr>
          </w:p>
        </w:tc>
        <w:tc>
          <w:tcPr>
            <w:tcW w:w="1000" w:type="dxa"/>
            <w:vAlign w:val="bottom"/>
          </w:tcPr>
          <w:p>
            <w:pPr>
              <w:jc w:val="center"/>
              <w:ind w:left="10"/>
              <w:spacing w:after="0"/>
              <w:rPr>
                <w:sz w:val="20"/>
                <w:szCs w:val="20"/>
                <w:color w:val="auto"/>
              </w:rPr>
            </w:pPr>
            <w:r>
              <w:rPr>
                <w:rFonts w:ascii="Arial" w:cs="Arial" w:eastAsia="Arial" w:hAnsi="Arial"/>
                <w:sz w:val="18"/>
                <w:szCs w:val="18"/>
                <w:color w:val="auto"/>
                <w:w w:val="89"/>
              </w:rPr>
              <w:t>13</w:t>
            </w:r>
          </w:p>
        </w:tc>
        <w:tc>
          <w:tcPr>
            <w:tcW w:w="220" w:type="dxa"/>
            <w:vAlign w:val="bottom"/>
          </w:tcPr>
          <w:p>
            <w:pPr>
              <w:spacing w:after="0"/>
              <w:rPr>
                <w:sz w:val="20"/>
                <w:szCs w:val="20"/>
                <w:color w:val="auto"/>
              </w:rPr>
            </w:pPr>
          </w:p>
        </w:tc>
        <w:tc>
          <w:tcPr>
            <w:tcW w:w="1000" w:type="dxa"/>
            <w:vAlign w:val="bottom"/>
          </w:tcPr>
          <w:p>
            <w:pPr>
              <w:jc w:val="center"/>
              <w:ind w:left="10"/>
              <w:spacing w:after="0"/>
              <w:rPr>
                <w:sz w:val="20"/>
                <w:szCs w:val="20"/>
                <w:color w:val="auto"/>
              </w:rPr>
            </w:pPr>
            <w:r>
              <w:rPr>
                <w:rFonts w:ascii="Arial" w:cs="Arial" w:eastAsia="Arial" w:hAnsi="Arial"/>
                <w:sz w:val="18"/>
                <w:szCs w:val="18"/>
                <w:color w:val="auto"/>
                <w:w w:val="99"/>
              </w:rPr>
              <w:t>6</w:t>
            </w:r>
          </w:p>
        </w:tc>
        <w:tc>
          <w:tcPr>
            <w:tcW w:w="200" w:type="dxa"/>
            <w:vAlign w:val="bottom"/>
          </w:tcPr>
          <w:p>
            <w:pPr>
              <w:spacing w:after="0"/>
              <w:rPr>
                <w:sz w:val="20"/>
                <w:szCs w:val="20"/>
                <w:color w:val="auto"/>
              </w:rPr>
            </w:pPr>
          </w:p>
        </w:tc>
        <w:tc>
          <w:tcPr>
            <w:tcW w:w="1000" w:type="dxa"/>
            <w:vAlign w:val="bottom"/>
          </w:tcPr>
          <w:p>
            <w:pPr>
              <w:jc w:val="center"/>
              <w:ind w:left="30"/>
              <w:spacing w:after="0"/>
              <w:rPr>
                <w:sz w:val="20"/>
                <w:szCs w:val="20"/>
                <w:color w:val="auto"/>
              </w:rPr>
            </w:pPr>
            <w:r>
              <w:rPr>
                <w:rFonts w:ascii="Arial" w:cs="Arial" w:eastAsia="Arial" w:hAnsi="Arial"/>
                <w:sz w:val="18"/>
                <w:szCs w:val="18"/>
                <w:color w:val="auto"/>
                <w:w w:val="79"/>
              </w:rPr>
              <w:t>6</w:t>
            </w:r>
          </w:p>
        </w:tc>
        <w:tc>
          <w:tcPr>
            <w:tcW w:w="220" w:type="dxa"/>
            <w:vAlign w:val="bottom"/>
          </w:tcPr>
          <w:p>
            <w:pPr>
              <w:spacing w:after="0"/>
              <w:rPr>
                <w:sz w:val="20"/>
                <w:szCs w:val="20"/>
                <w:color w:val="auto"/>
              </w:rPr>
            </w:pPr>
          </w:p>
        </w:tc>
        <w:tc>
          <w:tcPr>
            <w:tcW w:w="1120" w:type="dxa"/>
            <w:vAlign w:val="bottom"/>
          </w:tcPr>
          <w:p>
            <w:pPr>
              <w:jc w:val="center"/>
              <w:ind w:left="30"/>
              <w:spacing w:after="0"/>
              <w:rPr>
                <w:sz w:val="20"/>
                <w:szCs w:val="20"/>
                <w:color w:val="auto"/>
              </w:rPr>
            </w:pPr>
            <w:r>
              <w:rPr>
                <w:rFonts w:ascii="Arial" w:cs="Arial" w:eastAsia="Arial" w:hAnsi="Arial"/>
                <w:sz w:val="18"/>
                <w:szCs w:val="18"/>
                <w:color w:val="auto"/>
                <w:w w:val="79"/>
              </w:rPr>
              <w:t>6</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47"/>
        </w:trPr>
        <w:tc>
          <w:tcPr>
            <w:tcW w:w="5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color w:val="auto"/>
              </w:rPr>
              <w:t>99</w:t>
            </w: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102" w:name="page103"/>
    <w:bookmarkEnd w:id="102"/>
    <w:p>
      <w:pPr>
        <w:spacing w:after="0"/>
        <w:rPr>
          <w:sz w:val="20"/>
          <w:szCs w:val="20"/>
          <w:color w:val="auto"/>
        </w:rPr>
      </w:pPr>
      <w:r>
        <w:rPr>
          <w:rFonts w:ascii="Arial" w:cs="Arial" w:eastAsia="Arial" w:hAnsi="Arial"/>
          <w:sz w:val="18"/>
          <w:szCs w:val="18"/>
          <w:i w:val="1"/>
          <w:iCs w:val="1"/>
          <w:color w:val="auto"/>
        </w:rPr>
        <w:t>Audit Committee</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Audit Committee is a standing committee of the Board. According to its Charter, the Audit Committee must be comprised of at least three independent directors. The current members of the Audit Committee are Mr. Herminio A. Blanco (Chair), Ms. Alexandra M. Aguirre, Ms. Isela Costantini, Mr. José Alberto Garzón and Mr. Eduardo Hecker.</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Board has determined that all members of the Audit Committee are independent directors under the terms defined by applicable laws and regulations, including rules promulgated by the SEC under the Sarbanes-Oxley Act, Section 303A of NYSE Listed Company Manual, and Rule No. 05-2011 as amended by Rule 05-2014 of the Superintendency of Banks of Panama. In addition, at least one of the members of the Audit Committee is an “audit committee financial expert,” as defined by the SEC in Item 407 of Regulation S-K. The Audit Committee´s financial expert is Mr. Herminio A. Blanco.</w:t>
      </w:r>
    </w:p>
    <w:p>
      <w:pPr>
        <w:spacing w:after="0" w:line="157"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purpose of the Audit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compliance with legal and regulatory requirements and the Bank’s Code of Ethics. The Audit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7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Audit Committee meets at least six times per year, as required by the Superintendency of Banks of Panama and the Committee charter, or more often if the circumstances so require. During the fiscal year ended December 31, 2020, the Audit Committee met six times.</w:t>
      </w:r>
    </w:p>
    <w:p>
      <w:pPr>
        <w:spacing w:after="0" w:line="170"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Audit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Audit Committee.</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Audit Committee requires an annual self-evaluation of its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Audit Committee pre approved all audit and non audit services of the Bank’s independent auditors in 2020.</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The Audit Committee’s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Risk Policy and Assessment Committee</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Risk Policy and Assessment Committee is a standing committee of the Board. According to its charter, the Risk Policy and Assessment Committee must be comprised of at least three directors. The current members of the Risk Policy and Assessment Committee are Mr. Miguel Heras Castro (Chair), Mr. Ricardo Manuel Arango, Mr. Herminio A. Blanco, Mr. Mario Covo and Mr. Roland Holst.</w:t>
      </w:r>
    </w:p>
    <w:p>
      <w:pPr>
        <w:spacing w:after="0" w:line="18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country, market, liquidity, technological, and information security (including cybersecurity) risks and the analysis of operational risks, which take into account the model risks and legal risks associated with the Bank’s products.</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3" w:name="page104"/>
    <w:bookmarkEnd w:id="103"/>
    <w:p>
      <w:pPr>
        <w:jc w:val="both"/>
        <w:spacing w:after="0" w:line="259" w:lineRule="auto"/>
        <w:rPr>
          <w:sz w:val="20"/>
          <w:szCs w:val="20"/>
          <w:color w:val="auto"/>
        </w:rPr>
      </w:pPr>
      <w:r>
        <w:rPr>
          <w:rFonts w:ascii="Arial" w:cs="Arial" w:eastAsia="Arial" w:hAnsi="Arial"/>
          <w:sz w:val="18"/>
          <w:szCs w:val="18"/>
          <w:color w:val="auto"/>
        </w:rPr>
        <w:t>In addition, the Risk Policy and Assessment Committee assesses and approves credit limits and approves management proposals for granting different types of financing up to the legal limit applicable to the Bank in accordance with current regulations on the date of approval of each transaction and/or economic group. It reports to the Board and refers transactions for consideration and approval by the Board when the transaction limit exceeds its delegated authorizations.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2020, the Risk Policy and Assessment Committee held 13 meetings.</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 xml:space="preserve">The Risk Policy and Assessment Committee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Finance and Business Committee</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Finance and Business Committee is a standing committee of the Board. According to its charter, the Finance and Business Committee must be comprised of at least three directors. The current members of the Finance and Business Committee are Mr. Mario Covo (Chair), Mr. Ricardo Manuel Arango, Mr. Miguel Heras Castro, Mr. Roland Holst and Mr. João Carlos de Nóbrega Pecego.</w:t>
      </w:r>
    </w:p>
    <w:p>
      <w:pPr>
        <w:spacing w:after="0" w:line="184"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2020, the Committee held six meetings.</w:t>
      </w:r>
    </w:p>
    <w:p>
      <w:pPr>
        <w:spacing w:after="0" w:line="157"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The Finance and Business Committee Charter may be found on the Bank’s website at </w:t>
      </w:r>
      <w:r>
        <w:rPr>
          <w:rFonts w:ascii="Arial" w:cs="Arial" w:eastAsia="Arial" w:hAnsi="Arial"/>
          <w:sz w:val="16"/>
          <w:szCs w:val="16"/>
          <w:u w:val="single" w:color="auto"/>
          <w:color w:val="auto"/>
        </w:rPr>
        <w:t>https://www.bladex.com/en/corporate-governance/committees-board.</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Compliance and Anti-Money Laundering Committee</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Compliance and Anti-Money Laundering Committee is a standing committee of the Board. The current members of the Compliance and Anti-Money Laundering Committee are Directors Mr. Ricardo Manuel Arango (Chair) and Mr. José Alberto Garzón, and the Bank’s Chief Executive Officer, Chief Operating Officer, Chief Commercial Officer, Chief Risk Officer, Chief Audit Officer, Chief Legal Officer and Corporate Secretary, Chief Compliance Officer and the New York Agency’s Compliance Officer.</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Compliance and Anti-Money Laundering Committee acts in support of the Board, fulfilling its responsibilities in compliance matters while also fulfilling the functions attributed to them pursuant to applicable laws and regulations related to compliance, including the responsibility to direct the Bank’s Compliance Program on a strategic level.</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Compliance includes all the laws and regulations that are applicable to the Bank and are related to Anti-Money Laundering and the Combating of the Financing of Terrorism and the Proliferation of Weapons of Mass Destruction (AML/CFT), the U.S. Treasury Department’s Office of Foreign Assets Control (OFAC), the Foreign Accounts Tax Compliance Act (FATCA), the OECD’s Common Reporting Standards (CRS), and the Foreign Corrupt Practices Act (FCPA).</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4" w:name="page105"/>
    <w:bookmarkEnd w:id="104"/>
    <w:p>
      <w:pPr>
        <w:jc w:val="both"/>
        <w:spacing w:after="0" w:line="277" w:lineRule="auto"/>
        <w:rPr>
          <w:sz w:val="20"/>
          <w:szCs w:val="20"/>
          <w:color w:val="auto"/>
        </w:rPr>
      </w:pPr>
      <w:r>
        <w:rPr>
          <w:rFonts w:ascii="Arial" w:cs="Arial" w:eastAsia="Arial" w:hAnsi="Arial"/>
          <w:sz w:val="18"/>
          <w:szCs w:val="18"/>
          <w:color w:val="auto"/>
        </w:rPr>
        <w:t>The Committee holds regular meetings at least every two months. During the fiscal year ended December 31, 2020, the Compliance and Anti-Money Laundering Committee held six meetings.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 xml:space="preserve">The Compliance and Anti-Money Laundering Committee Charter may be found on the Bank’s website at </w:t>
      </w:r>
      <w:r>
        <w:rPr>
          <w:rFonts w:ascii="Arial" w:cs="Arial" w:eastAsia="Arial" w:hAnsi="Arial"/>
          <w:sz w:val="18"/>
          <w:szCs w:val="18"/>
          <w:u w:val="single" w:color="auto"/>
          <w:color w:val="auto"/>
        </w:rPr>
        <w:t>https://www.bladex.com/en/corporate-governance/committees-board.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Compensation Committee</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Compensation Committee is a standing committee of the Board. According to its charter, the Compensation Committee must be comprised of at least three directors. The current members of the Compensation Committee are Mr. João Carlos de Nóbrega Pecego (Chair), Ms. Alexandra M. Aguirre, Ms. Isela Costantini, Mr. José Alberto Garzón and Mr. Eduardo Hecker.</w:t>
      </w:r>
    </w:p>
    <w:p>
      <w:pPr>
        <w:spacing w:after="0" w:line="184"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Charter of the Compensation Committee requires that all members of the Committee be independent directors. No member of the Compensation Committee can be an employee of the Bank. The Board has determined that all members of the Compensation Committee are independent under the terms defined by applicable laws and regulations, including rules promulgated by the SEC under the Sarbanes-Oxley Act, Section 303A of the Manual for Companies listed on the NYSE, and Rule No. 05-2011 as amended by Rule 05-2014 of the Superintendency of Banks of Panama. The Compensation Committee charter requires the Committee to meet at least five times per year. During the fiscal year ended December 31, 2020, the Compensation Committee held six meetings.</w:t>
      </w:r>
    </w:p>
    <w:p>
      <w:pPr>
        <w:spacing w:after="0" w:line="192"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 Additionally, this Committee submits recommendations on issues related to improving the Bank´s operating model and evaluates and proposes technology and communications strategic plans. Further, the Compensation Committee is responsible for promoting continued improvement in the Bank’s corporate governance and verifying compliance with all applicable policies.</w:t>
      </w:r>
    </w:p>
    <w:p>
      <w:pPr>
        <w:spacing w:after="0" w:line="16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Compensation Committee considers qualified director candidates recommended by shareholders. All director candidates are evaluated in the same manner regardless of how they are recommended, including recommendations by shareholders. For the current director nominees, the Committee considered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The charter of the Compensation Committee requires an annual self-evaluation of the Committee’s performance.</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 xml:space="preserve">The Compensation Committee Charter may be found on the Bank’s website at </w:t>
      </w:r>
      <w:r>
        <w:rPr>
          <w:rFonts w:ascii="Arial" w:cs="Arial" w:eastAsia="Arial" w:hAnsi="Arial"/>
          <w:sz w:val="17"/>
          <w:szCs w:val="17"/>
          <w:u w:val="single" w:color="auto"/>
          <w:color w:val="auto"/>
        </w:rPr>
        <w:t>https://www.bladex.com/en/corporate-governance/committees-board.</w:t>
      </w: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5" w:name="page106"/>
    <w:bookmarkEnd w:id="105"/>
    <w:p>
      <w:pPr>
        <w:jc w:val="both"/>
        <w:spacing w:after="0" w:line="263" w:lineRule="auto"/>
        <w:rPr>
          <w:sz w:val="20"/>
          <w:szCs w:val="20"/>
          <w:color w:val="auto"/>
        </w:rPr>
      </w:pPr>
      <w:r>
        <w:rPr>
          <w:rFonts w:ascii="Arial" w:cs="Arial" w:eastAsia="Arial" w:hAnsi="Arial"/>
          <w:sz w:val="18"/>
          <w:szCs w:val="18"/>
          <w:color w:val="auto"/>
        </w:rPr>
        <w:t>None of the Bank’s executive officers serve as a director or a member of the Compensation Committee, or any other committee serving an equivalent function, of any other entity that has one or more of its executive officers serving as a member of the Board or the Compensation Committee. None of the members of the Compensation Committee has ever been an employee of the Bank.</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Corporate Governance Practices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has decided not to establish a Corporate Governance Committee. Given the importance that corporate governance has for the Bank, the Board decided to address all matters related to corporate governance at the Board level.</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 xml:space="preserve">The Bank's corporate governance manual complies with Section 303A of the NYSE’s Listed Company Manual/Corporate Governance Rules and is available in the “Corporate Governance” section of the Bank’s website at </w:t>
      </w:r>
      <w:r>
        <w:rPr>
          <w:rFonts w:ascii="Arial" w:cs="Arial" w:eastAsia="Arial" w:hAnsi="Arial"/>
          <w:sz w:val="18"/>
          <w:szCs w:val="18"/>
          <w:u w:val="single" w:color="auto"/>
          <w:color w:val="auto"/>
        </w:rPr>
        <w:t>https://www.bladex.com/en/corporate-governance</w:t>
      </w:r>
      <w:r>
        <w:rPr>
          <w:rFonts w:ascii="Arial" w:cs="Arial" w:eastAsia="Arial" w:hAnsi="Arial"/>
          <w:sz w:val="18"/>
          <w:szCs w:val="18"/>
          <w:color w:val="auto"/>
        </w:rPr>
        <w:t>.</w:t>
      </w:r>
    </w:p>
    <w:p>
      <w:pPr>
        <w:spacing w:after="0" w:line="170" w:lineRule="exact"/>
        <w:rPr>
          <w:sz w:val="20"/>
          <w:szCs w:val="20"/>
          <w:color w:val="auto"/>
        </w:rPr>
      </w:pPr>
    </w:p>
    <w:p>
      <w:pPr>
        <w:spacing w:after="0"/>
        <w:rPr>
          <w:sz w:val="20"/>
          <w:szCs w:val="20"/>
          <w:color w:val="auto"/>
        </w:rPr>
      </w:pPr>
      <w:r>
        <w:rPr>
          <w:rFonts w:ascii="Arial" w:cs="Arial" w:eastAsia="Arial" w:hAnsi="Arial"/>
          <w:sz w:val="17"/>
          <w:szCs w:val="17"/>
          <w:color w:val="auto"/>
        </w:rPr>
        <w:t>Shareholders, employees of the Bank, and other interested parties may communicate directly with the Board by corresponding to the address below:</w:t>
      </w:r>
    </w:p>
    <w:p>
      <w:pPr>
        <w:spacing w:after="0" w:line="23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Board of Directors of Banco Latinoamericano de Comercio Exterior, S.A.</w:t>
      </w:r>
    </w:p>
    <w:p>
      <w:pPr>
        <w:spacing w:after="0" w:line="23" w:lineRule="exact"/>
        <w:rPr>
          <w:sz w:val="20"/>
          <w:szCs w:val="20"/>
          <w:color w:val="auto"/>
        </w:rPr>
      </w:pPr>
    </w:p>
    <w:p>
      <w:pPr>
        <w:ind w:left="660"/>
        <w:spacing w:after="0"/>
        <w:rPr>
          <w:sz w:val="20"/>
          <w:szCs w:val="20"/>
          <w:color w:val="auto"/>
        </w:rPr>
      </w:pPr>
      <w:r>
        <w:rPr>
          <w:rFonts w:ascii="Arial" w:cs="Arial" w:eastAsia="Arial" w:hAnsi="Arial"/>
          <w:sz w:val="18"/>
          <w:szCs w:val="18"/>
          <w:color w:val="auto"/>
        </w:rPr>
        <w:t>c/o Mr. Miguel Heras Castro</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Director and Chairman of the Board of Directors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Torre V, Business Park</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Avenida La Rotonda, Urbanización Costa del Este</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P.O. Box 0819-08730</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Panama City, Republic of Panama</w:t>
      </w:r>
    </w:p>
    <w:p>
      <w:pPr>
        <w:spacing w:after="0" w:line="21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 xml:space="preserve">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Sustainable and Responsible Business Practices</w:t>
      </w:r>
    </w:p>
    <w:p>
      <w:pPr>
        <w:spacing w:after="0" w:line="22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Board recognizes the importance of its responsibilities related to Environmental, Social and Governance (ESG) matters. The Bank is further enhancing its corporate responsibility efforts by undertaking a formal ESG materiality assessment to identify the issues that represent the most significant opportunities and risks for the Bank.</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Diversity</w:t>
      </w:r>
    </w:p>
    <w:p>
      <w:pPr>
        <w:spacing w:after="0" w:line="22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Diversity is among the factors considered by the Board’s Compensation Committee when evaluating candidates for positions on the Bank's Board of Directors. The Compensation Committee generally views and values diversity from the perspective of professional and life experiences and recognizes that diversity in professional and life experiences may include considerations of gender, race, national origin or other characteristics that can contribute to the Bank’s strategic vision and mission. Gender diversity was strengthened with the appointment of two female Directors who represent the shareholders of all classes. Moreover, the fact that seven different nationalities are represented on the ten-member Board of Directors reflects the importance given to diversity by the Board of Directors.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106" w:name="page107"/>
    <w:bookmarkEnd w:id="106"/>
    <w:p>
      <w:pPr>
        <w:spacing w:after="0" w:line="277" w:lineRule="auto"/>
        <w:rPr>
          <w:sz w:val="20"/>
          <w:szCs w:val="20"/>
          <w:color w:val="auto"/>
        </w:rPr>
      </w:pPr>
      <w:r>
        <w:rPr>
          <w:rFonts w:ascii="Arial" w:cs="Arial" w:eastAsia="Arial" w:hAnsi="Arial"/>
          <w:sz w:val="18"/>
          <w:szCs w:val="18"/>
          <w:color w:val="auto"/>
        </w:rPr>
        <w:t>The presence of different nationalities and cultures among our employees enhances Bladex’s brand. Having a multicultural work environment is one of our main strengths which facilitates business management across the Region.</w:t>
      </w:r>
    </w:p>
    <w:p>
      <w:pPr>
        <w:spacing w:after="0" w:line="166" w:lineRule="exact"/>
        <w:rPr>
          <w:sz w:val="20"/>
          <w:szCs w:val="20"/>
          <w:color w:val="auto"/>
        </w:rPr>
      </w:pPr>
    </w:p>
    <w:p>
      <w:pPr>
        <w:ind w:left="500" w:hanging="492"/>
        <w:spacing w:after="0"/>
        <w:tabs>
          <w:tab w:leader="none" w:pos="50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Employees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the total number of permanent employees, geographically distributed, on the dates indicated:</w:t>
      </w:r>
    </w:p>
    <w:p>
      <w:pPr>
        <w:spacing w:after="0" w:line="235" w:lineRule="exact"/>
        <w:rPr>
          <w:sz w:val="20"/>
          <w:szCs w:val="20"/>
          <w:color w:val="auto"/>
        </w:rPr>
      </w:pPr>
    </w:p>
    <w:p>
      <w:pPr>
        <w:ind w:left="8320"/>
        <w:spacing w:after="0"/>
        <w:rPr>
          <w:sz w:val="20"/>
          <w:szCs w:val="20"/>
          <w:color w:val="auto"/>
        </w:rPr>
      </w:pPr>
      <w:r>
        <w:rPr>
          <w:rFonts w:ascii="Arial" w:cs="Arial" w:eastAsia="Arial" w:hAnsi="Arial"/>
          <w:sz w:val="18"/>
          <w:szCs w:val="18"/>
          <w:b w:val="1"/>
          <w:bCs w:val="1"/>
          <w:color w:val="auto"/>
        </w:rPr>
        <w:t>As of December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980" w:type="dxa"/>
            <w:vAlign w:val="bottom"/>
            <w:tcBorders>
              <w:bottom w:val="single" w:sz="8" w:color="CCEEFF"/>
            </w:tcBorders>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36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CCEEFF"/>
            </w:tcBorders>
          </w:tcPr>
          <w:p>
            <w:pPr>
              <w:spacing w:after="0"/>
              <w:rPr>
                <w:sz w:val="19"/>
                <w:szCs w:val="19"/>
                <w:color w:val="auto"/>
              </w:rPr>
            </w:pPr>
          </w:p>
        </w:tc>
        <w:tc>
          <w:tcPr>
            <w:tcW w:w="122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top w:val="single" w:sz="8" w:color="auto"/>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1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Bladex Head Office in Panama</w:t>
            </w:r>
          </w:p>
        </w:tc>
        <w:tc>
          <w:tcPr>
            <w:tcW w:w="900" w:type="dxa"/>
            <w:vAlign w:val="bottom"/>
            <w:shd w:val="clear" w:color="auto" w:fill="CCEEFF"/>
          </w:tcPr>
          <w:p>
            <w:pPr>
              <w:spacing w:after="0"/>
              <w:rPr>
                <w:sz w:val="18"/>
                <w:szCs w:val="18"/>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154</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152</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w:t>
            </w:r>
          </w:p>
        </w:tc>
        <w:tc>
          <w:tcPr>
            <w:tcW w:w="100" w:type="dxa"/>
            <w:vAlign w:val="bottom"/>
            <w:shd w:val="clear" w:color="auto" w:fill="CCEEFF"/>
          </w:tcPr>
          <w:p>
            <w:pPr>
              <w:spacing w:after="0"/>
              <w:rPr>
                <w:sz w:val="18"/>
                <w:szCs w:val="18"/>
                <w:color w:val="auto"/>
              </w:rPr>
            </w:pPr>
          </w:p>
        </w:tc>
      </w:tr>
      <w:tr>
        <w:trPr>
          <w:trHeight w:val="216"/>
        </w:trPr>
        <w:tc>
          <w:tcPr>
            <w:tcW w:w="7880" w:type="dxa"/>
            <w:vAlign w:val="bottom"/>
            <w:gridSpan w:val="2"/>
          </w:tcPr>
          <w:p>
            <w:pPr>
              <w:spacing w:after="0"/>
              <w:rPr>
                <w:sz w:val="20"/>
                <w:szCs w:val="20"/>
                <w:color w:val="auto"/>
              </w:rPr>
            </w:pPr>
            <w:r>
              <w:rPr>
                <w:rFonts w:ascii="Arial" w:cs="Arial" w:eastAsia="Arial" w:hAnsi="Arial"/>
                <w:sz w:val="18"/>
                <w:szCs w:val="18"/>
                <w:color w:val="auto"/>
              </w:rPr>
              <w:t>New York Agency</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r>
      <w:tr>
        <w:trPr>
          <w:trHeight w:val="216"/>
        </w:trPr>
        <w:tc>
          <w:tcPr>
            <w:tcW w:w="7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Representative Office in Argentina</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w:t>
            </w:r>
          </w:p>
        </w:tc>
      </w:tr>
      <w:tr>
        <w:trPr>
          <w:trHeight w:val="216"/>
        </w:trPr>
        <w:tc>
          <w:tcPr>
            <w:tcW w:w="7880" w:type="dxa"/>
            <w:vAlign w:val="bottom"/>
            <w:gridSpan w:val="2"/>
          </w:tcPr>
          <w:p>
            <w:pPr>
              <w:spacing w:after="0"/>
              <w:rPr>
                <w:sz w:val="20"/>
                <w:szCs w:val="20"/>
                <w:color w:val="auto"/>
              </w:rPr>
            </w:pPr>
            <w:r>
              <w:rPr>
                <w:rFonts w:ascii="Arial" w:cs="Arial" w:eastAsia="Arial" w:hAnsi="Arial"/>
                <w:sz w:val="18"/>
                <w:szCs w:val="18"/>
                <w:color w:val="auto"/>
              </w:rPr>
              <w:t>Representative Office in Brazil</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7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Representative Office in Mexico</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r>
      <w:tr>
        <w:trPr>
          <w:trHeight w:val="216"/>
        </w:trPr>
        <w:tc>
          <w:tcPr>
            <w:tcW w:w="7880" w:type="dxa"/>
            <w:vAlign w:val="bottom"/>
            <w:gridSpan w:val="2"/>
          </w:tcPr>
          <w:p>
            <w:pPr>
              <w:spacing w:after="0"/>
              <w:rPr>
                <w:sz w:val="20"/>
                <w:szCs w:val="20"/>
                <w:color w:val="auto"/>
              </w:rPr>
            </w:pPr>
            <w:r>
              <w:rPr>
                <w:rFonts w:ascii="Arial" w:cs="Arial" w:eastAsia="Arial" w:hAnsi="Arial"/>
                <w:sz w:val="18"/>
                <w:szCs w:val="18"/>
                <w:color w:val="auto"/>
              </w:rPr>
              <w:t>Representative Office in Colombia</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r>
      <w:tr>
        <w:trPr>
          <w:trHeight w:val="230"/>
        </w:trPr>
        <w:tc>
          <w:tcPr>
            <w:tcW w:w="7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Representative Office in Peru</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w:t>
            </w:r>
          </w:p>
        </w:tc>
      </w:tr>
      <w:tr>
        <w:trPr>
          <w:trHeight w:val="234"/>
        </w:trPr>
        <w:tc>
          <w:tcPr>
            <w:tcW w:w="7880" w:type="dxa"/>
            <w:vAlign w:val="bottom"/>
            <w:gridSpan w:val="2"/>
          </w:tcPr>
          <w:p>
            <w:pPr>
              <w:spacing w:after="0"/>
              <w:rPr>
                <w:sz w:val="20"/>
                <w:szCs w:val="20"/>
                <w:color w:val="auto"/>
              </w:rPr>
            </w:pPr>
            <w:r>
              <w:rPr>
                <w:rFonts w:ascii="Arial" w:cs="Arial" w:eastAsia="Arial" w:hAnsi="Arial"/>
                <w:sz w:val="18"/>
                <w:szCs w:val="18"/>
                <w:b w:val="1"/>
                <w:bCs w:val="1"/>
                <w:color w:val="auto"/>
              </w:rPr>
              <w:t>Total Number of Permanent Employees</w:t>
            </w:r>
          </w:p>
        </w:tc>
        <w:tc>
          <w:tcPr>
            <w:tcW w:w="5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177</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175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167</w:t>
            </w:r>
          </w:p>
        </w:tc>
      </w:tr>
    </w:tbl>
    <w:p>
      <w:pPr>
        <w:spacing w:after="0" w:line="18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Human Capital Management</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At Bladex, management considers human capital the backbone for all of the Bank’s business activities and, as such, employees’ wellbeing is the basis for meeting the Bank’s objectives. In turn, year after year, the behavior of the Bank’s employees reflects its core values: commitment, humility, excellence, respect and integrity. This is the result of a robust talent management program that begins with the recruitment and selection process and is maintained through a comprehensive training model and benefit programs for the Bank’s employees.</w:t>
      </w:r>
    </w:p>
    <w:p>
      <w:pPr>
        <w:spacing w:after="0" w:line="17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strives to be a great place to work and to build a career. The Bank therefore offers a strong career development program which includes various rubrics, tools, resources and opportunities designed to assist colleagues in building critical skills and in enhancing their career growth within the organization. The Bank also ensures that it is in full compliance with health and safety standards through wide-ranging training programs and comprehensive internal audit processes.</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goal is to have all employees, regardless of their race, ethnicity, religion, age, gender, national origin, or other characteristics, feel valued, respected and accepted for their unique characteristics and contributions to Bladex.</w:t>
      </w:r>
    </w:p>
    <w:p>
      <w:pPr>
        <w:spacing w:after="0" w:line="166" w:lineRule="exact"/>
        <w:rPr>
          <w:sz w:val="20"/>
          <w:szCs w:val="20"/>
          <w:color w:val="auto"/>
        </w:rPr>
      </w:pPr>
    </w:p>
    <w:p>
      <w:pPr>
        <w:ind w:left="480" w:hanging="472"/>
        <w:spacing w:after="0"/>
        <w:tabs>
          <w:tab w:leader="none" w:pos="48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Share Ownership</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See Item 6.B., “Directors, Executive Officers and Employees–Compensation–Beneficial Ownership.”</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07" w:name="page108"/>
    <w:bookmarkEnd w:id="107"/>
    <w:p>
      <w:pPr>
        <w:spacing w:after="0" w:line="6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6"/>
          <w:szCs w:val="16"/>
          <w:b w:val="1"/>
          <w:bCs w:val="1"/>
          <w:color w:val="auto"/>
        </w:rPr>
        <w:t>Major Shareholders and Related Party Transactions</w:t>
      </w:r>
    </w:p>
    <w:p>
      <w:pPr>
        <w:spacing w:after="0" w:line="225" w:lineRule="exact"/>
        <w:rPr>
          <w:sz w:val="20"/>
          <w:szCs w:val="20"/>
          <w:color w:val="auto"/>
        </w:rPr>
      </w:pPr>
    </w:p>
    <w:p>
      <w:pPr>
        <w:ind w:left="500" w:hanging="492"/>
        <w:spacing w:after="0"/>
        <w:tabs>
          <w:tab w:leader="none" w:pos="50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Major Shareholders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As of December 31, 2020, the Bank was not directly or indirectly owned or controlled by another corporation or any foreign government, and no person was the registered owner of more than 14.4% of the total outstanding shares of voting capital stock of the Bank.</w:t>
      </w:r>
    </w:p>
    <w:p>
      <w:pPr>
        <w:spacing w:after="0" w:line="170"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following table sets forth information regarding the Bank’s shareholders that are the beneficial owners of 5% or more of any one class of the Bank’s voting stock, on December 31, 2020.</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980" w:type="dxa"/>
            <w:vAlign w:val="bottom"/>
          </w:tcPr>
          <w:p>
            <w:pPr>
              <w:spacing w:after="0"/>
              <w:rPr>
                <w:sz w:val="20"/>
                <w:szCs w:val="20"/>
                <w:color w:val="auto"/>
              </w:rPr>
            </w:pPr>
          </w:p>
        </w:tc>
        <w:tc>
          <w:tcPr>
            <w:tcW w:w="4260" w:type="dxa"/>
            <w:vAlign w:val="bottom"/>
            <w:gridSpan w:val="6"/>
          </w:tcPr>
          <w:p>
            <w:pPr>
              <w:ind w:left="1140"/>
              <w:spacing w:after="0"/>
              <w:rPr>
                <w:sz w:val="20"/>
                <w:szCs w:val="20"/>
                <w:color w:val="auto"/>
              </w:rPr>
            </w:pPr>
            <w:r>
              <w:rPr>
                <w:rFonts w:ascii="Arial" w:cs="Arial" w:eastAsia="Arial" w:hAnsi="Arial"/>
                <w:sz w:val="18"/>
                <w:szCs w:val="18"/>
                <w:b w:val="1"/>
                <w:bCs w:val="1"/>
                <w:color w:val="auto"/>
              </w:rPr>
              <w:t>As of December 31, 2020</w:t>
            </w:r>
          </w:p>
        </w:tc>
      </w:tr>
      <w:tr>
        <w:trPr>
          <w:trHeight w:val="191"/>
        </w:trPr>
        <w:tc>
          <w:tcPr>
            <w:tcW w:w="6980" w:type="dxa"/>
            <w:vAlign w:val="bottom"/>
          </w:tcPr>
          <w:p>
            <w:pPr>
              <w:spacing w:after="0"/>
              <w:rPr>
                <w:sz w:val="16"/>
                <w:szCs w:val="16"/>
                <w:color w:val="auto"/>
              </w:rPr>
            </w:pPr>
          </w:p>
        </w:tc>
        <w:tc>
          <w:tcPr>
            <w:tcW w:w="148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3"/>
              </w:rPr>
              <w:t>Number of</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 of Total</w:t>
            </w:r>
          </w:p>
        </w:tc>
        <w:tc>
          <w:tcPr>
            <w:tcW w:w="100" w:type="dxa"/>
            <w:vAlign w:val="bottom"/>
          </w:tcPr>
          <w:p>
            <w:pPr>
              <w:spacing w:after="0"/>
              <w:rPr>
                <w:sz w:val="16"/>
                <w:szCs w:val="16"/>
                <w:color w:val="auto"/>
              </w:rPr>
            </w:pPr>
          </w:p>
        </w:tc>
      </w:tr>
      <w:tr>
        <w:trPr>
          <w:trHeight w:val="234"/>
        </w:trPr>
        <w:tc>
          <w:tcPr>
            <w:tcW w:w="698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Class A Common Stock</w:t>
            </w: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Banco de la Nación Argentina</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Bartolomé Mitre 326</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CP 1036 AAF Buenos Aires, Argentina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1,045,348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16.5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2.6</w:t>
            </w:r>
          </w:p>
        </w:tc>
      </w:tr>
      <w:tr>
        <w:trPr>
          <w:trHeight w:val="202"/>
        </w:trPr>
        <w:tc>
          <w:tcPr>
            <w:tcW w:w="6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do Brasil</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SAUN Qd 5, Lote B, Torre II, 12 Andar</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Edificio Banco do Brasil</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CEP 70040-912 Brasilia, DF - Brazil</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974,551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Banco de Comercio Exterior de Colombia</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Edif. Centro de Comercio Internacional</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Calle 28 No. 13A-15</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C.P. 110311 Bogotá, Colombia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488,547</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r>
      <w:tr>
        <w:trPr>
          <w:trHeight w:val="202"/>
        </w:trPr>
        <w:tc>
          <w:tcPr>
            <w:tcW w:w="6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de la Nación (Perú)</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Ave. República de Panamá 3664</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San Isidro, Lima, Perú</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446,556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Banco Central del Paraguay</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Federación Rusa y Augusto Roa Bastos</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Asunción, Paraguay</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434,658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6.9</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6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Central del Ecuador</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Ave. 10 de Agosto N11- 409 y Briceño</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Quito, Ecuador</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431,217</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w:t>
            </w: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Banco del Estado de Chile</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Ave. Libertador Bernardo O’Higgins No.1111</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4"/>
        </w:trPr>
        <w:tc>
          <w:tcPr>
            <w:tcW w:w="6980" w:type="dxa"/>
            <w:vAlign w:val="bottom"/>
          </w:tcPr>
          <w:p>
            <w:pPr>
              <w:spacing w:after="0"/>
              <w:rPr>
                <w:sz w:val="20"/>
                <w:szCs w:val="20"/>
                <w:color w:val="auto"/>
              </w:rPr>
            </w:pPr>
            <w:r>
              <w:rPr>
                <w:rFonts w:ascii="Arial" w:cs="Arial" w:eastAsia="Arial" w:hAnsi="Arial"/>
                <w:sz w:val="18"/>
                <w:szCs w:val="18"/>
                <w:color w:val="auto"/>
              </w:rPr>
              <w:t>Santiago, Chile</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323,413</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10"/>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Sub-total shares of Class A Common Stock</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4,144,290</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w:t>
            </w:r>
          </w:p>
        </w:tc>
        <w:tc>
          <w:tcPr>
            <w:tcW w:w="100" w:type="dxa"/>
            <w:vAlign w:val="bottom"/>
            <w:tcBorders>
              <w:top w:val="single" w:sz="8" w:color="CCEEFF"/>
            </w:tcBorders>
            <w:shd w:val="clear" w:color="auto" w:fill="CCEEFF"/>
          </w:tcPr>
          <w:p>
            <w:pPr>
              <w:spacing w:after="0"/>
              <w:rPr>
                <w:sz w:val="18"/>
                <w:szCs w:val="18"/>
                <w:color w:val="auto"/>
              </w:rPr>
            </w:pPr>
          </w:p>
        </w:tc>
      </w:tr>
      <w:tr>
        <w:trPr>
          <w:trHeight w:val="234"/>
        </w:trPr>
        <w:tc>
          <w:tcPr>
            <w:tcW w:w="6980" w:type="dxa"/>
            <w:vAlign w:val="bottom"/>
          </w:tcPr>
          <w:p>
            <w:pPr>
              <w:spacing w:after="0"/>
              <w:rPr>
                <w:sz w:val="20"/>
                <w:szCs w:val="20"/>
                <w:color w:val="auto"/>
              </w:rPr>
            </w:pPr>
            <w:r>
              <w:rPr>
                <w:rFonts w:ascii="Arial" w:cs="Arial" w:eastAsia="Arial" w:hAnsi="Arial"/>
                <w:sz w:val="18"/>
                <w:szCs w:val="18"/>
                <w:b w:val="1"/>
                <w:bCs w:val="1"/>
                <w:color w:val="auto"/>
              </w:rPr>
              <w:t>Total Shares of Class A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100.0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16.0</w:t>
            </w:r>
          </w:p>
        </w:tc>
      </w:tr>
      <w:tr>
        <w:trPr>
          <w:trHeight w:val="409"/>
        </w:trPr>
        <w:tc>
          <w:tcPr>
            <w:tcW w:w="6980" w:type="dxa"/>
            <w:vAlign w:val="bottom"/>
          </w:tcPr>
          <w:p>
            <w:pPr>
              <w:spacing w:after="0"/>
              <w:rPr>
                <w:sz w:val="24"/>
                <w:szCs w:val="24"/>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 of Total</w:t>
            </w:r>
          </w:p>
        </w:tc>
      </w:tr>
      <w:tr>
        <w:trPr>
          <w:trHeight w:val="234"/>
        </w:trPr>
        <w:tc>
          <w:tcPr>
            <w:tcW w:w="698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10"/>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Class B Common Stock</w:t>
            </w: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Banco de la Provincia de Buenos Aires</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San Martín 137</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C1004AAC Buenos Aires, Argentina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884,461</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40.6</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2.2</w:t>
            </w:r>
          </w:p>
        </w:tc>
      </w:tr>
      <w:tr>
        <w:trPr>
          <w:trHeight w:val="202"/>
        </w:trPr>
        <w:tc>
          <w:tcPr>
            <w:tcW w:w="6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Banco de la Nación Argentina</w:t>
            </w:r>
          </w:p>
        </w:tc>
        <w:tc>
          <w:tcPr>
            <w:tcW w:w="12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Bartolomé Mitre 326</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CP 1036 AAF Buenos Aires, Argentina</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295,945</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0.7</w:t>
            </w:r>
          </w:p>
        </w:tc>
      </w:tr>
      <w:tr>
        <w:trPr>
          <w:trHeight w:val="202"/>
        </w:trPr>
        <w:tc>
          <w:tcPr>
            <w:tcW w:w="6980" w:type="dxa"/>
            <w:vAlign w:val="bottom"/>
          </w:tcPr>
          <w:p>
            <w:pPr>
              <w:spacing w:after="0" w:line="201" w:lineRule="exact"/>
              <w:rPr>
                <w:sz w:val="20"/>
                <w:szCs w:val="20"/>
                <w:color w:val="auto"/>
              </w:rPr>
            </w:pPr>
            <w:r>
              <w:rPr>
                <w:rFonts w:ascii="Arial" w:cs="Arial" w:eastAsia="Arial" w:hAnsi="Arial"/>
                <w:sz w:val="18"/>
                <w:szCs w:val="18"/>
                <w:color w:val="auto"/>
              </w:rPr>
              <w:t>The Korea Exchange Bank</w:t>
            </w:r>
          </w:p>
        </w:tc>
        <w:tc>
          <w:tcPr>
            <w:tcW w:w="12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35, Euljiro, Jun-gu</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4"/>
        </w:trPr>
        <w:tc>
          <w:tcPr>
            <w:tcW w:w="6980" w:type="dxa"/>
            <w:vAlign w:val="bottom"/>
          </w:tcPr>
          <w:p>
            <w:pPr>
              <w:spacing w:after="0"/>
              <w:rPr>
                <w:sz w:val="20"/>
                <w:szCs w:val="20"/>
                <w:color w:val="auto"/>
              </w:rPr>
            </w:pPr>
            <w:r>
              <w:rPr>
                <w:rFonts w:ascii="Arial" w:cs="Arial" w:eastAsia="Arial" w:hAnsi="Arial"/>
                <w:sz w:val="18"/>
                <w:szCs w:val="18"/>
                <w:color w:val="auto"/>
              </w:rPr>
              <w:t>Seoul 100-793, Korea</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147,173</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0.4</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Sub-total shares of Class B Common Stock</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1,327,579</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60.9</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34"/>
        </w:trPr>
        <w:tc>
          <w:tcPr>
            <w:tcW w:w="6980" w:type="dxa"/>
            <w:vAlign w:val="bottom"/>
          </w:tcPr>
          <w:p>
            <w:pPr>
              <w:spacing w:after="0"/>
              <w:rPr>
                <w:sz w:val="20"/>
                <w:szCs w:val="20"/>
                <w:color w:val="auto"/>
              </w:rPr>
            </w:pPr>
            <w:r>
              <w:rPr>
                <w:rFonts w:ascii="Arial" w:cs="Arial" w:eastAsia="Arial" w:hAnsi="Arial"/>
                <w:sz w:val="18"/>
                <w:szCs w:val="18"/>
                <w:b w:val="1"/>
                <w:bCs w:val="1"/>
                <w:color w:val="auto"/>
              </w:rPr>
              <w:t>Total Shares of Class B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2,178,365</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100.0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5.5</w:t>
            </w:r>
          </w:p>
        </w:tc>
      </w:tr>
      <w:tr>
        <w:trPr>
          <w:trHeight w:val="409"/>
        </w:trPr>
        <w:tc>
          <w:tcPr>
            <w:tcW w:w="6980" w:type="dxa"/>
            <w:vAlign w:val="bottom"/>
          </w:tcPr>
          <w:p>
            <w:pPr>
              <w:spacing w:after="0"/>
              <w:rPr>
                <w:sz w:val="24"/>
                <w:szCs w:val="24"/>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 of Total</w:t>
            </w:r>
          </w:p>
        </w:tc>
      </w:tr>
      <w:tr>
        <w:trPr>
          <w:trHeight w:val="234"/>
        </w:trPr>
        <w:tc>
          <w:tcPr>
            <w:tcW w:w="698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Class E Common Stock</w:t>
            </w:r>
          </w:p>
        </w:tc>
        <w:tc>
          <w:tcPr>
            <w:tcW w:w="12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42"/>
        </w:trPr>
        <w:tc>
          <w:tcPr>
            <w:tcW w:w="6980" w:type="dxa"/>
            <w:vAlign w:val="bottom"/>
          </w:tcPr>
          <w:p>
            <w:pPr>
              <w:spacing w:after="0" w:line="242" w:lineRule="exact"/>
              <w:rPr>
                <w:sz w:val="20"/>
                <w:szCs w:val="20"/>
                <w:color w:val="auto"/>
              </w:rPr>
            </w:pPr>
            <w:r>
              <w:rPr>
                <w:rFonts w:ascii="Arial" w:cs="Arial" w:eastAsia="Arial" w:hAnsi="Arial"/>
                <w:sz w:val="17"/>
                <w:szCs w:val="17"/>
                <w:color w:val="auto"/>
              </w:rPr>
              <w:t xml:space="preserve">Brandes Investment Partners, L.P. </w:t>
            </w:r>
            <w:r>
              <w:rPr>
                <w:rFonts w:ascii="Arial" w:cs="Arial" w:eastAsia="Arial" w:hAnsi="Arial"/>
                <w:sz w:val="28"/>
                <w:szCs w:val="28"/>
                <w:color w:val="auto"/>
                <w:vertAlign w:val="superscript"/>
              </w:rPr>
              <w:t>(1)</w:t>
            </w:r>
          </w:p>
        </w:tc>
        <w:tc>
          <w:tcPr>
            <w:tcW w:w="126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00" w:type="dxa"/>
            <w:vAlign w:val="bottom"/>
          </w:tcPr>
          <w:p>
            <w:pPr>
              <w:spacing w:after="0"/>
              <w:rPr>
                <w:sz w:val="21"/>
                <w:szCs w:val="21"/>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11988 El Camino Real, Suite 600</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San Diego, California 92130</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United States</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5,720,951</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18.4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14.4</w:t>
            </w:r>
          </w:p>
        </w:tc>
      </w:tr>
      <w:tr>
        <w:trPr>
          <w:trHeight w:val="246"/>
        </w:trPr>
        <w:tc>
          <w:tcPr>
            <w:tcW w:w="6980" w:type="dxa"/>
            <w:vAlign w:val="bottom"/>
            <w:shd w:val="clear" w:color="auto" w:fill="CCEEFF"/>
          </w:tcPr>
          <w:p>
            <w:pPr>
              <w:spacing w:after="0" w:line="246" w:lineRule="exact"/>
              <w:rPr>
                <w:sz w:val="20"/>
                <w:szCs w:val="20"/>
                <w:color w:val="auto"/>
              </w:rPr>
            </w:pPr>
            <w:r>
              <w:rPr>
                <w:rFonts w:ascii="Arial" w:cs="Arial" w:eastAsia="Arial" w:hAnsi="Arial"/>
                <w:sz w:val="17"/>
                <w:szCs w:val="17"/>
                <w:color w:val="auto"/>
              </w:rPr>
              <w:t xml:space="preserve">BlackRock, Inc. </w:t>
            </w:r>
            <w:r>
              <w:rPr>
                <w:rFonts w:ascii="Arial" w:cs="Arial" w:eastAsia="Arial" w:hAnsi="Arial"/>
                <w:sz w:val="28"/>
                <w:szCs w:val="28"/>
                <w:color w:val="auto"/>
                <w:vertAlign w:val="superscript"/>
              </w:rPr>
              <w:t>(2)</w:t>
            </w:r>
          </w:p>
        </w:tc>
        <w:tc>
          <w:tcPr>
            <w:tcW w:w="12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r>
      <w:tr>
        <w:trPr>
          <w:trHeight w:val="253"/>
        </w:trPr>
        <w:tc>
          <w:tcPr>
            <w:tcW w:w="6980" w:type="dxa"/>
            <w:vAlign w:val="bottom"/>
            <w:shd w:val="clear" w:color="auto" w:fill="CCEEFF"/>
          </w:tcPr>
          <w:p>
            <w:pPr>
              <w:spacing w:after="0" w:line="252" w:lineRule="exact"/>
              <w:rPr>
                <w:sz w:val="20"/>
                <w:szCs w:val="20"/>
                <w:color w:val="auto"/>
              </w:rPr>
            </w:pPr>
            <w:r>
              <w:rPr>
                <w:rFonts w:ascii="Arial" w:cs="Arial" w:eastAsia="Arial" w:hAnsi="Arial"/>
                <w:sz w:val="18"/>
                <w:szCs w:val="18"/>
                <w:color w:val="auto"/>
              </w:rPr>
              <w:t>55 East 52</w:t>
            </w:r>
            <w:r>
              <w:rPr>
                <w:rFonts w:ascii="Arial" w:cs="Arial" w:eastAsia="Arial" w:hAnsi="Arial"/>
                <w:sz w:val="29"/>
                <w:szCs w:val="29"/>
                <w:color w:val="auto"/>
                <w:vertAlign w:val="superscript"/>
              </w:rPr>
              <w:t>nd</w:t>
            </w:r>
            <w:r>
              <w:rPr>
                <w:rFonts w:ascii="Arial" w:cs="Arial" w:eastAsia="Arial" w:hAnsi="Arial"/>
                <w:sz w:val="18"/>
                <w:szCs w:val="18"/>
                <w:color w:val="auto"/>
              </w:rPr>
              <w:t xml:space="preserve"> Street</w:t>
            </w:r>
          </w:p>
        </w:tc>
        <w:tc>
          <w:tcPr>
            <w:tcW w:w="126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New York, New York 10055</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44"/>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United States</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1,554,037</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w:t>
            </w: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Sub-total shares of Class E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7,274,988</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23.4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18.3</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Shares of Class E Common Stock</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31,157,386</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78.5</w:t>
            </w:r>
          </w:p>
        </w:tc>
        <w:tc>
          <w:tcPr>
            <w:tcW w:w="100" w:type="dxa"/>
            <w:vAlign w:val="bottom"/>
            <w:tcBorders>
              <w:top w:val="single" w:sz="8" w:color="CCEEFF"/>
            </w:tcBorders>
            <w:shd w:val="clear" w:color="auto" w:fill="CCEEFF"/>
          </w:tcPr>
          <w:p>
            <w:pPr>
              <w:spacing w:after="0"/>
              <w:rPr>
                <w:sz w:val="18"/>
                <w:szCs w:val="18"/>
                <w:color w:val="auto"/>
              </w:rPr>
            </w:pPr>
          </w:p>
        </w:tc>
      </w:tr>
      <w:tr>
        <w:trPr>
          <w:trHeight w:val="407"/>
        </w:trPr>
        <w:tc>
          <w:tcPr>
            <w:tcW w:w="6980" w:type="dxa"/>
            <w:vAlign w:val="bottom"/>
          </w:tcPr>
          <w:p>
            <w:pPr>
              <w:spacing w:after="0"/>
              <w:rPr>
                <w:sz w:val="24"/>
                <w:szCs w:val="24"/>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Number of</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 of Total</w:t>
            </w:r>
          </w:p>
        </w:tc>
      </w:tr>
      <w:tr>
        <w:trPr>
          <w:trHeight w:val="234"/>
        </w:trPr>
        <w:tc>
          <w:tcPr>
            <w:tcW w:w="698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Shares</w:t>
            </w:r>
          </w:p>
        </w:tc>
        <w:tc>
          <w:tcPr>
            <w:tcW w:w="14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 of Class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Common Stock</w:t>
            </w:r>
          </w:p>
        </w:tc>
      </w:tr>
      <w:tr>
        <w:trPr>
          <w:trHeight w:val="97"/>
        </w:trPr>
        <w:tc>
          <w:tcPr>
            <w:tcW w:w="6980" w:type="dxa"/>
            <w:vAlign w:val="bottom"/>
            <w:tcBorders>
              <w:top w:val="single" w:sz="8" w:color="CCEEFF"/>
            </w:tcBorders>
            <w:shd w:val="clear" w:color="auto" w:fill="CCEEFF"/>
          </w:tcPr>
          <w:p>
            <w:pPr>
              <w:spacing w:after="0"/>
              <w:rPr>
                <w:sz w:val="8"/>
                <w:szCs w:val="8"/>
                <w:color w:val="auto"/>
              </w:rPr>
            </w:pPr>
          </w:p>
        </w:tc>
        <w:tc>
          <w:tcPr>
            <w:tcW w:w="126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220" w:type="dxa"/>
            <w:vAlign w:val="bottom"/>
            <w:tcBorders>
              <w:top w:val="single" w:sz="8" w:color="auto"/>
            </w:tcBorders>
            <w:shd w:val="clear" w:color="auto" w:fill="CCEEFF"/>
          </w:tcPr>
          <w:p>
            <w:pPr>
              <w:spacing w:after="0"/>
              <w:rPr>
                <w:sz w:val="8"/>
                <w:szCs w:val="8"/>
                <w:color w:val="auto"/>
              </w:rPr>
            </w:pPr>
          </w:p>
        </w:tc>
        <w:tc>
          <w:tcPr>
            <w:tcW w:w="220" w:type="dxa"/>
            <w:vAlign w:val="bottom"/>
            <w:tcBorders>
              <w:top w:val="single" w:sz="8" w:color="CCEEFF"/>
            </w:tcBorders>
            <w:shd w:val="clear" w:color="auto" w:fill="CCEEFF"/>
          </w:tcPr>
          <w:p>
            <w:pPr>
              <w:spacing w:after="0"/>
              <w:rPr>
                <w:sz w:val="8"/>
                <w:szCs w:val="8"/>
                <w:color w:val="auto"/>
              </w:rPr>
            </w:pPr>
          </w:p>
        </w:tc>
        <w:tc>
          <w:tcPr>
            <w:tcW w:w="124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r>
    </w:tbl>
    <w:p>
      <w:pPr>
        <w:sectPr>
          <w:pgSz w:w="11900" w:h="16900" w:orient="portrait"/>
          <w:cols w:equalWidth="0" w:num="1">
            <w:col w:w="11240"/>
          </w:cols>
          <w:pgMar w:left="320" w:top="904" w:right="339" w:bottom="0" w:gutter="0" w:footer="0" w:header="0"/>
        </w:sectPr>
      </w:pPr>
    </w:p>
    <w:bookmarkStart w:id="108" w:name="page109"/>
    <w:bookmarkEnd w:id="108"/>
    <w:p>
      <w:pPr>
        <w:spacing w:after="0" w:line="1" w:lineRule="exact"/>
        <w:rPr>
          <w:sz w:val="20"/>
          <w:szCs w:val="20"/>
          <w:color w:val="auto"/>
        </w:rPr>
      </w:pPr>
    </w:p>
    <w:tbl>
      <w:tblPr>
        <w:tblLayout w:type="fixed"/>
        <w:tblInd w:w="73" w:type="dxa"/>
        <w:tblCellMar>
          <w:top w:w="0" w:type="dxa"/>
          <w:left w:w="0" w:type="dxa"/>
          <w:bottom w:w="0" w:type="dxa"/>
          <w:right w:w="0" w:type="dxa"/>
        </w:tblCellMar>
      </w:tblP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Class F Common Stock</w:t>
            </w: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9"/>
        </w:trPr>
        <w:tc>
          <w:tcPr>
            <w:tcW w:w="6980" w:type="dxa"/>
            <w:vAlign w:val="bottom"/>
          </w:tcPr>
          <w:p>
            <w:pPr>
              <w:spacing w:after="0"/>
              <w:rPr>
                <w:sz w:val="20"/>
                <w:szCs w:val="20"/>
                <w:color w:val="auto"/>
              </w:rPr>
            </w:pPr>
            <w:r>
              <w:rPr>
                <w:rFonts w:ascii="Arial" w:cs="Arial" w:eastAsia="Arial" w:hAnsi="Arial"/>
                <w:sz w:val="18"/>
                <w:szCs w:val="18"/>
                <w:b w:val="1"/>
                <w:bCs w:val="1"/>
                <w:color w:val="auto"/>
              </w:rPr>
              <w:t>Total Shares of Class F Common Stock</w:t>
            </w:r>
          </w:p>
        </w:tc>
        <w:tc>
          <w:tcPr>
            <w:tcW w:w="148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0.0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0.0</w:t>
            </w:r>
          </w:p>
        </w:tc>
      </w:tr>
      <w:tr>
        <w:trPr>
          <w:trHeight w:val="223"/>
        </w:trPr>
        <w:tc>
          <w:tcPr>
            <w:tcW w:w="69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Shares of Common Stock</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39,677,940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9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74" w:lineRule="exact"/>
        <w:rPr>
          <w:sz w:val="20"/>
          <w:szCs w:val="20"/>
          <w:color w:val="auto"/>
        </w:rPr>
      </w:pPr>
    </w:p>
    <w:p>
      <w:pPr>
        <w:ind w:left="213" w:hanging="213"/>
        <w:spacing w:after="0"/>
        <w:tabs>
          <w:tab w:leader="none" w:pos="213" w:val="left"/>
        </w:tabs>
        <w:numPr>
          <w:ilvl w:val="0"/>
          <w:numId w:val="73"/>
        </w:numPr>
        <w:rPr>
          <w:rFonts w:ascii="Arial" w:cs="Arial" w:eastAsia="Arial" w:hAnsi="Arial"/>
          <w:sz w:val="26"/>
          <w:szCs w:val="26"/>
          <w:color w:val="auto"/>
          <w:vertAlign w:val="superscript"/>
        </w:rPr>
      </w:pPr>
      <w:r>
        <w:rPr>
          <w:rFonts w:ascii="Arial" w:cs="Arial" w:eastAsia="Arial" w:hAnsi="Arial"/>
          <w:sz w:val="16"/>
          <w:szCs w:val="16"/>
          <w:color w:val="auto"/>
        </w:rPr>
        <w:t>Source: Schedule 13G/A filing with the U.S. Securities and Exchange Commission dated January 7, 2021.</w:t>
      </w:r>
    </w:p>
    <w:p>
      <w:pPr>
        <w:spacing w:after="0" w:line="42" w:lineRule="exact"/>
        <w:rPr>
          <w:rFonts w:ascii="Arial" w:cs="Arial" w:eastAsia="Arial" w:hAnsi="Arial"/>
          <w:sz w:val="26"/>
          <w:szCs w:val="26"/>
          <w:color w:val="auto"/>
          <w:vertAlign w:val="superscript"/>
        </w:rPr>
      </w:pPr>
    </w:p>
    <w:p>
      <w:pPr>
        <w:ind w:left="213" w:hanging="213"/>
        <w:spacing w:after="0" w:line="194" w:lineRule="auto"/>
        <w:tabs>
          <w:tab w:leader="none" w:pos="213" w:val="left"/>
        </w:tabs>
        <w:numPr>
          <w:ilvl w:val="0"/>
          <w:numId w:val="73"/>
        </w:numPr>
        <w:rPr>
          <w:rFonts w:ascii="Arial" w:cs="Arial" w:eastAsia="Arial" w:hAnsi="Arial"/>
          <w:sz w:val="23"/>
          <w:szCs w:val="23"/>
          <w:color w:val="auto"/>
          <w:vertAlign w:val="superscript"/>
        </w:rPr>
      </w:pPr>
      <w:r>
        <w:rPr>
          <w:rFonts w:ascii="Arial" w:cs="Arial" w:eastAsia="Arial" w:hAnsi="Arial"/>
          <w:sz w:val="15"/>
          <w:szCs w:val="15"/>
          <w:color w:val="auto"/>
        </w:rPr>
        <w:t>Source: Schedule 13G filing with the U.S. Securities and Exchange Commission dated February 2, 2021.</w:t>
      </w:r>
    </w:p>
    <w:p>
      <w:pPr>
        <w:spacing w:after="0" w:line="200" w:lineRule="exact"/>
        <w:rPr>
          <w:sz w:val="20"/>
          <w:szCs w:val="20"/>
          <w:color w:val="auto"/>
        </w:rPr>
      </w:pPr>
    </w:p>
    <w:p>
      <w:pPr>
        <w:spacing w:after="0" w:line="218" w:lineRule="exact"/>
        <w:rPr>
          <w:sz w:val="20"/>
          <w:szCs w:val="20"/>
          <w:color w:val="auto"/>
        </w:rPr>
      </w:pPr>
    </w:p>
    <w:p>
      <w:pPr>
        <w:jc w:val="center"/>
        <w:ind w:right="-72"/>
        <w:spacing w:after="0"/>
        <w:rPr>
          <w:sz w:val="20"/>
          <w:szCs w:val="20"/>
          <w:color w:val="auto"/>
        </w:rPr>
      </w:pPr>
      <w:r>
        <w:rPr>
          <w:rFonts w:ascii="Arial" w:cs="Arial" w:eastAsia="Arial" w:hAnsi="Arial"/>
          <w:sz w:val="18"/>
          <w:szCs w:val="18"/>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51435</wp:posOffset>
            </wp:positionH>
            <wp:positionV relativeFrom="paragraph">
              <wp:posOffset>14605</wp:posOffset>
            </wp:positionV>
            <wp:extent cx="71323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313"/>
          </w:cols>
          <w:pgMar w:left="247" w:top="140" w:right="339" w:bottom="1440" w:gutter="0" w:footer="0" w:header="0"/>
        </w:sectPr>
      </w:pPr>
    </w:p>
    <w:bookmarkStart w:id="109" w:name="page110"/>
    <w:bookmarkEnd w:id="109"/>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3" w:lineRule="exact"/>
        <w:rPr>
          <w:sz w:val="20"/>
          <w:szCs w:val="20"/>
          <w:color w:val="auto"/>
        </w:rPr>
      </w:pPr>
    </w:p>
    <w:p>
      <w:pPr>
        <w:jc w:val="both"/>
        <w:ind w:left="340" w:hanging="332"/>
        <w:spacing w:after="0" w:line="250" w:lineRule="auto"/>
        <w:tabs>
          <w:tab w:leader="none" w:pos="3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spacing w:after="0" w:line="1" w:lineRule="exact"/>
        <w:rPr>
          <w:rFonts w:ascii="Arial" w:cs="Arial" w:eastAsia="Arial" w:hAnsi="Arial"/>
          <w:sz w:val="18"/>
          <w:szCs w:val="18"/>
          <w:color w:val="auto"/>
        </w:rPr>
      </w:pPr>
    </w:p>
    <w:p>
      <w:pPr>
        <w:ind w:left="340" w:hanging="332"/>
        <w:spacing w:after="0" w:line="250" w:lineRule="auto"/>
        <w:tabs>
          <w:tab w:leader="none" w:pos="3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The Class E shares are freely transferable without restriction to any person, while the Class A shares, Class B shares and Class F shares can only be transferred to qualified holders of each class;</w:t>
      </w:r>
    </w:p>
    <w:p>
      <w:pPr>
        <w:ind w:left="340" w:hanging="332"/>
        <w:spacing w:after="0"/>
        <w:tabs>
          <w:tab w:leader="none" w:pos="3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rFonts w:ascii="Arial" w:cs="Arial" w:eastAsia="Arial" w:hAnsi="Arial"/>
          <w:sz w:val="18"/>
          <w:szCs w:val="18"/>
          <w:color w:val="auto"/>
        </w:rPr>
      </w:pPr>
    </w:p>
    <w:p>
      <w:pPr>
        <w:jc w:val="both"/>
        <w:ind w:left="340" w:hanging="332"/>
        <w:spacing w:after="0" w:line="250" w:lineRule="auto"/>
        <w:tabs>
          <w:tab w:leader="none" w:pos="3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1" w:lineRule="exact"/>
        <w:rPr>
          <w:rFonts w:ascii="Arial" w:cs="Arial" w:eastAsia="Arial" w:hAnsi="Arial"/>
          <w:sz w:val="18"/>
          <w:szCs w:val="18"/>
          <w:color w:val="auto"/>
        </w:rPr>
      </w:pPr>
    </w:p>
    <w:p>
      <w:pPr>
        <w:jc w:val="both"/>
        <w:ind w:left="340" w:hanging="332"/>
        <w:spacing w:after="0" w:line="253" w:lineRule="auto"/>
        <w:tabs>
          <w:tab w:leader="none" w:pos="340" w:val="left"/>
        </w:tabs>
        <w:numPr>
          <w:ilvl w:val="0"/>
          <w:numId w:val="74"/>
        </w:numPr>
        <w:rPr>
          <w:rFonts w:ascii="Arial" w:cs="Arial" w:eastAsia="Arial" w:hAnsi="Arial"/>
          <w:sz w:val="18"/>
          <w:szCs w:val="18"/>
          <w:color w:val="auto"/>
        </w:rPr>
      </w:pPr>
      <w:r>
        <w:rPr>
          <w:rFonts w:ascii="Arial" w:cs="Arial" w:eastAsia="Arial" w:hAnsi="Arial"/>
          <w:sz w:val="18"/>
          <w:szCs w:val="18"/>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Set forth below are the number of shares of each class of the Bank’s common stock issued and outstanding as of the dates listed below:</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880" w:type="dxa"/>
            <w:vAlign w:val="bottom"/>
            <w:gridSpan w:val="7"/>
          </w:tcPr>
          <w:p>
            <w:pPr>
              <w:jc w:val="center"/>
              <w:ind w:right="120"/>
              <w:spacing w:after="0"/>
              <w:rPr>
                <w:sz w:val="20"/>
                <w:szCs w:val="20"/>
                <w:color w:val="auto"/>
              </w:rPr>
            </w:pPr>
            <w:r>
              <w:rPr>
                <w:rFonts w:ascii="Arial" w:cs="Arial" w:eastAsia="Arial" w:hAnsi="Arial"/>
                <w:sz w:val="18"/>
                <w:szCs w:val="18"/>
                <w:b w:val="1"/>
                <w:bCs w:val="1"/>
                <w:color w:val="auto"/>
                <w:w w:val="89"/>
              </w:rPr>
              <w:t>Number of Shares Outstanding as of</w:t>
            </w:r>
          </w:p>
        </w:tc>
      </w:tr>
      <w:tr>
        <w:trPr>
          <w:trHeight w:val="223"/>
        </w:trPr>
        <w:tc>
          <w:tcPr>
            <w:tcW w:w="6260" w:type="dxa"/>
            <w:vAlign w:val="bottom"/>
          </w:tcPr>
          <w:p>
            <w:pPr>
              <w:ind w:left="2560"/>
              <w:spacing w:after="0"/>
              <w:rPr>
                <w:sz w:val="20"/>
                <w:szCs w:val="20"/>
                <w:color w:val="auto"/>
              </w:rPr>
            </w:pPr>
            <w:r>
              <w:rPr>
                <w:rFonts w:ascii="Arial" w:cs="Arial" w:eastAsia="Arial" w:hAnsi="Arial"/>
                <w:sz w:val="18"/>
                <w:szCs w:val="18"/>
                <w:b w:val="1"/>
                <w:bCs w:val="1"/>
                <w:color w:val="auto"/>
              </w:rPr>
              <w:t>Class of Shares</w:t>
            </w:r>
          </w:p>
        </w:tc>
        <w:tc>
          <w:tcPr>
            <w:tcW w:w="100" w:type="dxa"/>
            <w:vAlign w:val="bottom"/>
          </w:tcPr>
          <w:p>
            <w:pPr>
              <w:spacing w:after="0"/>
              <w:rPr>
                <w:sz w:val="19"/>
                <w:szCs w:val="19"/>
                <w:color w:val="auto"/>
              </w:rPr>
            </w:pPr>
          </w:p>
        </w:tc>
        <w:tc>
          <w:tcPr>
            <w:tcW w:w="1660" w:type="dxa"/>
            <w:vAlign w:val="bottom"/>
            <w:tcBorders>
              <w:top w:val="single" w:sz="8" w:color="auto"/>
            </w:tcBorders>
            <w:gridSpan w:val="2"/>
          </w:tcPr>
          <w:p>
            <w:pPr>
              <w:spacing w:after="0"/>
              <w:rPr>
                <w:sz w:val="20"/>
                <w:szCs w:val="20"/>
                <w:color w:val="auto"/>
              </w:rPr>
            </w:pPr>
            <w:r>
              <w:rPr>
                <w:rFonts w:ascii="Arial" w:cs="Arial" w:eastAsia="Arial" w:hAnsi="Arial"/>
                <w:sz w:val="18"/>
                <w:szCs w:val="18"/>
                <w:b w:val="1"/>
                <w:bCs w:val="1"/>
                <w:color w:val="auto"/>
              </w:rPr>
              <w:t>December 31, 2020</w:t>
            </w:r>
          </w:p>
        </w:tc>
        <w:tc>
          <w:tcPr>
            <w:tcW w:w="1560" w:type="dxa"/>
            <w:vAlign w:val="bottom"/>
            <w:tcBorders>
              <w:top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 2019</w:t>
            </w:r>
          </w:p>
        </w:tc>
        <w:tc>
          <w:tcPr>
            <w:tcW w:w="156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w w:val="94"/>
              </w:rPr>
              <w:t>December 31, 2018</w:t>
            </w:r>
          </w:p>
        </w:tc>
        <w:tc>
          <w:tcPr>
            <w:tcW w:w="100" w:type="dxa"/>
            <w:vAlign w:val="bottom"/>
          </w:tcPr>
          <w:p>
            <w:pPr>
              <w:spacing w:after="0"/>
              <w:rPr>
                <w:sz w:val="19"/>
                <w:szCs w:val="19"/>
                <w:color w:val="auto"/>
              </w:rPr>
            </w:pPr>
          </w:p>
        </w:tc>
      </w:tr>
      <w:tr>
        <w:trPr>
          <w:trHeight w:val="209"/>
        </w:trPr>
        <w:tc>
          <w:tcPr>
            <w:tcW w:w="62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Class A Common Shares</w:t>
            </w: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6,342,189</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260" w:type="dxa"/>
            <w:vAlign w:val="bottom"/>
          </w:tcPr>
          <w:p>
            <w:pPr>
              <w:spacing w:after="0"/>
              <w:rPr>
                <w:sz w:val="20"/>
                <w:szCs w:val="20"/>
                <w:color w:val="auto"/>
              </w:rPr>
            </w:pPr>
            <w:r>
              <w:rPr>
                <w:rFonts w:ascii="Arial" w:cs="Arial" w:eastAsia="Arial" w:hAnsi="Arial"/>
                <w:sz w:val="18"/>
                <w:szCs w:val="18"/>
                <w:color w:val="auto"/>
              </w:rPr>
              <w:t>Class B Common Shares</w:t>
            </w:r>
          </w:p>
        </w:tc>
        <w:tc>
          <w:tcPr>
            <w:tcW w:w="1760" w:type="dxa"/>
            <w:vAlign w:val="bottom"/>
            <w:gridSpan w:val="3"/>
          </w:tcPr>
          <w:p>
            <w:pPr>
              <w:jc w:val="right"/>
              <w:ind w:right="200"/>
              <w:spacing w:after="0"/>
              <w:rPr>
                <w:sz w:val="20"/>
                <w:szCs w:val="20"/>
                <w:color w:val="auto"/>
              </w:rPr>
            </w:pPr>
            <w:r>
              <w:rPr>
                <w:rFonts w:ascii="Arial" w:cs="Arial" w:eastAsia="Arial" w:hAnsi="Arial"/>
                <w:sz w:val="18"/>
                <w:szCs w:val="18"/>
                <w:color w:val="auto"/>
              </w:rPr>
              <w:t>2,178,365</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2,182,426</w:t>
            </w:r>
          </w:p>
        </w:tc>
        <w:tc>
          <w:tcPr>
            <w:tcW w:w="1660" w:type="dxa"/>
            <w:vAlign w:val="bottom"/>
            <w:gridSpan w:val="3"/>
          </w:tcPr>
          <w:p>
            <w:pPr>
              <w:jc w:val="right"/>
              <w:ind w:right="100"/>
              <w:spacing w:after="0"/>
              <w:rPr>
                <w:sz w:val="20"/>
                <w:szCs w:val="20"/>
                <w:color w:val="auto"/>
              </w:rPr>
            </w:pPr>
            <w:r>
              <w:rPr>
                <w:rFonts w:ascii="Arial" w:cs="Arial" w:eastAsia="Arial" w:hAnsi="Arial"/>
                <w:sz w:val="18"/>
                <w:szCs w:val="18"/>
                <w:color w:val="auto"/>
              </w:rPr>
              <w:t>2,245,227</w:t>
            </w:r>
          </w:p>
        </w:tc>
      </w:tr>
      <w:tr>
        <w:trPr>
          <w:trHeight w:val="216"/>
        </w:trPr>
        <w:tc>
          <w:tcPr>
            <w:tcW w:w="6260" w:type="dxa"/>
            <w:vAlign w:val="bottom"/>
            <w:shd w:val="clear" w:color="auto" w:fill="CCEEFF"/>
          </w:tcPr>
          <w:p>
            <w:pPr>
              <w:spacing w:after="0"/>
              <w:rPr>
                <w:sz w:val="20"/>
                <w:szCs w:val="20"/>
                <w:color w:val="auto"/>
              </w:rPr>
            </w:pPr>
            <w:r>
              <w:rPr>
                <w:rFonts w:ascii="Arial" w:cs="Arial" w:eastAsia="Arial" w:hAnsi="Arial"/>
                <w:sz w:val="18"/>
                <w:szCs w:val="18"/>
                <w:color w:val="auto"/>
              </w:rPr>
              <w:t>Class E Common Shares</w:t>
            </w:r>
          </w:p>
        </w:tc>
        <w:tc>
          <w:tcPr>
            <w:tcW w:w="17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31,157,386</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31,077,662</w:t>
            </w:r>
          </w:p>
        </w:tc>
        <w:tc>
          <w:tcPr>
            <w:tcW w:w="16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30,951,135</w:t>
            </w:r>
          </w:p>
        </w:tc>
      </w:tr>
      <w:tr>
        <w:trPr>
          <w:trHeight w:val="229"/>
        </w:trPr>
        <w:tc>
          <w:tcPr>
            <w:tcW w:w="6260" w:type="dxa"/>
            <w:vAlign w:val="bottom"/>
          </w:tcPr>
          <w:p>
            <w:pPr>
              <w:spacing w:after="0"/>
              <w:rPr>
                <w:sz w:val="20"/>
                <w:szCs w:val="20"/>
                <w:color w:val="auto"/>
              </w:rPr>
            </w:pPr>
            <w:r>
              <w:rPr>
                <w:rFonts w:ascii="Arial" w:cs="Arial" w:eastAsia="Arial" w:hAnsi="Arial"/>
                <w:sz w:val="18"/>
                <w:szCs w:val="18"/>
                <w:color w:val="auto"/>
              </w:rPr>
              <w:t>Class F Common Shares</w:t>
            </w:r>
          </w:p>
        </w:tc>
        <w:tc>
          <w:tcPr>
            <w:tcW w:w="17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66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r>
      <w:tr>
        <w:trPr>
          <w:trHeight w:val="210"/>
        </w:trPr>
        <w:tc>
          <w:tcPr>
            <w:tcW w:w="6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Common Shares</w:t>
            </w: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39,677,940</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39,538,551</w:t>
            </w:r>
          </w:p>
        </w:tc>
        <w:tc>
          <w:tcPr>
            <w:tcW w:w="10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number of the Bank’s Class A common shares outstanding as of December 31, 2020 did not change from December 31, 2019. Class B common shares slightly decreased by 4.1 thousand shares during the same period, due to the conversions of Class B into Class E common shares. During the year ended December 31, 2020, Class E common shares outstanding increased by 79.7 thousand shares, mostly as a result of restricted shares issued to the Bank’s Directors.</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December 31, 2020, there were a total of 53 holders of record of our Class E shares, of which 15 were registered with addresses in the United States. Such United States record holders were, as of such date, the holders of record of approximately 95% of our outstanding Class E shares. The number of record holders in the United States is not representative of the number of beneficial holders nor is it representative of where such beneficial holders reside, as many of these ordinary shares were held of record by brokers or other nominees. None of our Class A shares or Class B shares are held in the United States.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Bank had no preferred stock issued and outstanding as of December 31, 2020.</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0" w:name="page111"/>
    <w:bookmarkEnd w:id="110"/>
    <w:p>
      <w:pPr>
        <w:ind w:left="660" w:hanging="652"/>
        <w:spacing w:after="0"/>
        <w:tabs>
          <w:tab w:leader="none" w:pos="66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 —Business Overview—Supervision and Regulation—Panamanian Law.”</w:t>
      </w:r>
    </w:p>
    <w:p>
      <w:pPr>
        <w:spacing w:after="0" w:line="18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As of December 31, 2020, and 2019, the Bank had credit transactions in the normal course of business with 12% and 11%, respectively, of its Class “A” and “B” stockholders. All transactions were made based on arm’s-length terms and subject to prevailing commercial criteria and market rates and were subject to all of the Bank’s Corporate Governance and control procedures. As of each of December 31, 2020 and December 31, 2019, approximately 11% of the outstanding Loan Portfolio was placed with the Bank’s Class “A” and “B” stockholders and their related parties. As of December 31, 2020,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7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In addition, the Bank had extended transactions, in the ordinary course of business, to two entities whose directors and/or executive officers are also directors of the Bank. These entities were:</w:t>
      </w:r>
    </w:p>
    <w:p>
      <w:pPr>
        <w:spacing w:after="0" w:line="170" w:lineRule="exact"/>
        <w:rPr>
          <w:sz w:val="20"/>
          <w:szCs w:val="20"/>
          <w:color w:val="auto"/>
        </w:rPr>
      </w:pPr>
    </w:p>
    <w:p>
      <w:pPr>
        <w:jc w:val="both"/>
        <w:ind w:left="660" w:hanging="328"/>
        <w:spacing w:after="0" w:line="263" w:lineRule="auto"/>
        <w:tabs>
          <w:tab w:leader="none" w:pos="660" w:val="left"/>
        </w:tabs>
        <w:numPr>
          <w:ilvl w:val="0"/>
          <w:numId w:val="76"/>
        </w:numPr>
        <w:rPr>
          <w:rFonts w:ascii="Arial" w:cs="Arial" w:eastAsia="Arial" w:hAnsi="Arial"/>
          <w:sz w:val="18"/>
          <w:szCs w:val="18"/>
          <w:color w:val="auto"/>
        </w:rPr>
      </w:pPr>
      <w:r>
        <w:rPr>
          <w:rFonts w:ascii="Arial" w:cs="Arial" w:eastAsia="Arial" w:hAnsi="Arial"/>
          <w:sz w:val="18"/>
          <w:szCs w:val="18"/>
          <w:color w:val="auto"/>
        </w:rPr>
        <w:t>Banco General S.A., of which the Bank’s director, Ricardo Manuel Arango, is also a director of its parent company. During 2020, the largest amount outstanding was $19 million, which had a weighted average interest rate of 3.15%. However, as of December 31, 2020, the Bank had no outstanding loans to Banco General S.A.</w:t>
      </w:r>
    </w:p>
    <w:p>
      <w:pPr>
        <w:spacing w:after="0" w:line="183" w:lineRule="exact"/>
        <w:rPr>
          <w:rFonts w:ascii="Arial" w:cs="Arial" w:eastAsia="Arial" w:hAnsi="Arial"/>
          <w:sz w:val="18"/>
          <w:szCs w:val="18"/>
          <w:color w:val="auto"/>
        </w:rPr>
      </w:pPr>
    </w:p>
    <w:p>
      <w:pPr>
        <w:jc w:val="both"/>
        <w:ind w:left="660" w:hanging="328"/>
        <w:spacing w:after="0" w:line="311" w:lineRule="auto"/>
        <w:tabs>
          <w:tab w:leader="none" w:pos="660" w:val="left"/>
        </w:tabs>
        <w:numPr>
          <w:ilvl w:val="0"/>
          <w:numId w:val="76"/>
        </w:numPr>
        <w:rPr>
          <w:rFonts w:ascii="Arial" w:cs="Arial" w:eastAsia="Arial" w:hAnsi="Arial"/>
          <w:sz w:val="16"/>
          <w:szCs w:val="16"/>
          <w:color w:val="auto"/>
        </w:rPr>
      </w:pPr>
      <w:r>
        <w:rPr>
          <w:rFonts w:ascii="Arial" w:cs="Arial" w:eastAsia="Arial" w:hAnsi="Arial"/>
          <w:sz w:val="16"/>
          <w:szCs w:val="16"/>
          <w:color w:val="auto"/>
        </w:rPr>
        <w:t>Sudameris Bank SAECA, of which the Bank’s director, Roland Holst, is also a director. As of December 31, 2020, three loans remained outstanding to Sudameris Bank SAECA in the total amount of $23 million. These loans were made on May 8, September 28 and December 7, 2020. These outstanding loans had a weighted average interest rate of 2.07%. During 2020, the largest amount outstanding was $30 million.</w:t>
      </w:r>
    </w:p>
    <w:p>
      <w:pPr>
        <w:spacing w:after="0" w:line="149"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In accordance with the Risk Policy and Assessment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regarding the Bank’s related party transactions, see Item 18, “Financial Statements,” note 28.</w:t>
      </w:r>
    </w:p>
    <w:p>
      <w:pPr>
        <w:spacing w:after="0" w:line="221" w:lineRule="exact"/>
        <w:rPr>
          <w:sz w:val="20"/>
          <w:szCs w:val="20"/>
          <w:color w:val="auto"/>
        </w:rPr>
      </w:pPr>
    </w:p>
    <w:p>
      <w:pPr>
        <w:ind w:left="660" w:right="8020" w:hanging="652"/>
        <w:spacing w:after="0" w:line="629" w:lineRule="auto"/>
        <w:tabs>
          <w:tab w:leader="none" w:pos="502" w:val="left"/>
        </w:tabs>
        <w:numPr>
          <w:ilvl w:val="0"/>
          <w:numId w:val="7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Interests of Experts and Counsel </w:t>
      </w:r>
      <w:r>
        <w:rPr>
          <w:rFonts w:ascii="Arial" w:cs="Arial" w:eastAsia="Arial" w:hAnsi="Arial"/>
          <w:sz w:val="16"/>
          <w:szCs w:val="16"/>
          <w:color w:val="auto"/>
        </w:rPr>
        <w:t>Not required in this Annual Report.</w:t>
      </w:r>
    </w:p>
    <w:p>
      <w:pPr>
        <w:spacing w:after="0" w:line="12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1" w:name="page112"/>
    <w:bookmarkEnd w:id="111"/>
    <w:p>
      <w:pPr>
        <w:spacing w:after="0"/>
        <w:tabs>
          <w:tab w:leader="none" w:pos="128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Financial Information</w:t>
      </w:r>
    </w:p>
    <w:p>
      <w:pPr>
        <w:spacing w:after="0" w:line="225" w:lineRule="exact"/>
        <w:rPr>
          <w:sz w:val="20"/>
          <w:szCs w:val="20"/>
          <w:color w:val="auto"/>
        </w:rPr>
      </w:pPr>
    </w:p>
    <w:p>
      <w:pPr>
        <w:ind w:left="500" w:hanging="492"/>
        <w:spacing w:after="0"/>
        <w:tabs>
          <w:tab w:leader="none" w:pos="50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Consolidated Statements and Other Financial Information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information included in Item 18 of this Annual Report is referred to and incorporated by reference into this Item 8.A.</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At the date of this Annual Report, there have been no legal or arbitration proceedings, which may have, or have had in the recent past, significant effects on the Bank’s financial position or profitability, including proceedings pending or known to be contemplated.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Dividends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cash dividend declared per share to the Bank’s shareholders totaled $1.00 per common share for the year ended December 31, 2020, a 35% decrease compared to the $1.54 per common share cash dividend declared in 2019, as the Board decreased the quarterly cash dividend to $0.25 from $0.385 per common share, as a prudential measure in managing the Bank under prevailing market and economic conditions in 2020.</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No special dividends were declared during three-year period ended December 31, 2020.</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presents information regarding dividends paid to holders of common shares on the dates indicated:</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Dividend per</w:t>
            </w:r>
          </w:p>
        </w:tc>
      </w:tr>
      <w:tr>
        <w:trPr>
          <w:trHeight w:val="234"/>
        </w:trPr>
        <w:tc>
          <w:tcPr>
            <w:tcW w:w="6360" w:type="dxa"/>
            <w:vAlign w:val="bottom"/>
            <w:gridSpan w:val="4"/>
          </w:tcPr>
          <w:p>
            <w:pPr>
              <w:spacing w:after="0"/>
              <w:rPr>
                <w:sz w:val="20"/>
                <w:szCs w:val="20"/>
                <w:color w:val="auto"/>
              </w:rPr>
            </w:pPr>
            <w:r>
              <w:rPr>
                <w:rFonts w:ascii="Arial" w:cs="Arial" w:eastAsia="Arial" w:hAnsi="Arial"/>
                <w:sz w:val="18"/>
                <w:szCs w:val="18"/>
                <w:b w:val="1"/>
                <w:bCs w:val="1"/>
                <w:color w:val="auto"/>
              </w:rPr>
              <w:t>Payment date</w:t>
            </w:r>
          </w:p>
        </w:tc>
        <w:tc>
          <w:tcPr>
            <w:tcW w:w="3540" w:type="dxa"/>
            <w:vAlign w:val="bottom"/>
            <w:gridSpan w:val="2"/>
          </w:tcPr>
          <w:p>
            <w:pPr>
              <w:ind w:left="560"/>
              <w:spacing w:after="0"/>
              <w:rPr>
                <w:sz w:val="20"/>
                <w:szCs w:val="20"/>
                <w:color w:val="auto"/>
              </w:rPr>
            </w:pPr>
            <w:r>
              <w:rPr>
                <w:rFonts w:ascii="Arial" w:cs="Arial" w:eastAsia="Arial" w:hAnsi="Arial"/>
                <w:sz w:val="18"/>
                <w:szCs w:val="18"/>
                <w:b w:val="1"/>
                <w:bCs w:val="1"/>
                <w:color w:val="auto"/>
              </w:rPr>
              <w:t>Record date</w:t>
            </w:r>
          </w:p>
        </w:tc>
        <w:tc>
          <w:tcPr>
            <w:tcW w:w="100" w:type="dxa"/>
            <w:vAlign w:val="bottom"/>
          </w:tcPr>
          <w:p>
            <w:pPr>
              <w:spacing w:after="0"/>
              <w:rPr>
                <w:sz w:val="20"/>
                <w:szCs w:val="20"/>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share</w:t>
            </w:r>
          </w:p>
        </w:tc>
      </w:tr>
      <w:tr>
        <w:trPr>
          <w:trHeight w:val="210"/>
        </w:trPr>
        <w:tc>
          <w:tcPr>
            <w:tcW w:w="340" w:type="dxa"/>
            <w:vAlign w:val="bottom"/>
            <w:tcBorders>
              <w:top w:val="single" w:sz="8" w:color="auto"/>
            </w:tcBorders>
            <w:shd w:val="clear" w:color="auto" w:fill="CCEEFF"/>
          </w:tcPr>
          <w:p>
            <w:pPr>
              <w:spacing w:after="0"/>
              <w:rPr>
                <w:sz w:val="18"/>
                <w:szCs w:val="18"/>
                <w:color w:val="auto"/>
              </w:rPr>
            </w:pPr>
          </w:p>
        </w:tc>
        <w:tc>
          <w:tcPr>
            <w:tcW w:w="4500" w:type="dxa"/>
            <w:vAlign w:val="bottom"/>
            <w:tcBorders>
              <w:top w:val="single" w:sz="8" w:color="auto"/>
            </w:tcBorders>
            <w:shd w:val="clear" w:color="auto" w:fill="CCEEFF"/>
          </w:tcPr>
          <w:p>
            <w:pPr>
              <w:jc w:val="center"/>
              <w:ind w:right="190"/>
              <w:spacing w:after="0"/>
              <w:rPr>
                <w:sz w:val="20"/>
                <w:szCs w:val="20"/>
                <w:color w:val="auto"/>
              </w:rPr>
            </w:pPr>
            <w:r>
              <w:rPr>
                <w:rFonts w:ascii="Arial" w:cs="Arial" w:eastAsia="Arial" w:hAnsi="Arial"/>
                <w:sz w:val="18"/>
                <w:szCs w:val="18"/>
                <w:color w:val="auto"/>
                <w:w w:val="91"/>
              </w:rPr>
              <w:t>March 10, 2021</w:t>
            </w: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3440" w:type="dxa"/>
            <w:vAlign w:val="bottom"/>
            <w:tcBorders>
              <w:top w:val="single" w:sz="8" w:color="auto"/>
            </w:tcBorders>
            <w:shd w:val="clear" w:color="auto" w:fill="CCEEFF"/>
          </w:tcPr>
          <w:p>
            <w:pPr>
              <w:jc w:val="center"/>
              <w:ind w:right="1270"/>
              <w:spacing w:after="0"/>
              <w:rPr>
                <w:sz w:val="20"/>
                <w:szCs w:val="20"/>
                <w:color w:val="auto"/>
              </w:rPr>
            </w:pPr>
            <w:r>
              <w:rPr>
                <w:rFonts w:ascii="Arial" w:cs="Arial" w:eastAsia="Arial" w:hAnsi="Arial"/>
                <w:sz w:val="18"/>
                <w:szCs w:val="18"/>
                <w:color w:val="auto"/>
                <w:w w:val="89"/>
              </w:rPr>
              <w:t>February 23, 2021</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5"/>
              </w:rPr>
              <w:t>0.25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89"/>
              </w:rPr>
              <w:t>November 25, 2020</w:t>
            </w:r>
          </w:p>
        </w:tc>
        <w:tc>
          <w:tcPr>
            <w:tcW w:w="3540" w:type="dxa"/>
            <w:vAlign w:val="bottom"/>
            <w:gridSpan w:val="2"/>
          </w:tcPr>
          <w:p>
            <w:pPr>
              <w:jc w:val="center"/>
              <w:ind w:right="1440"/>
              <w:spacing w:after="0"/>
              <w:rPr>
                <w:sz w:val="20"/>
                <w:szCs w:val="20"/>
                <w:color w:val="auto"/>
              </w:rPr>
            </w:pPr>
            <w:r>
              <w:rPr>
                <w:rFonts w:ascii="Arial" w:cs="Arial" w:eastAsia="Arial" w:hAnsi="Arial"/>
                <w:sz w:val="18"/>
                <w:szCs w:val="18"/>
                <w:color w:val="auto"/>
                <w:w w:val="90"/>
              </w:rPr>
              <w:t>November 9, 2020</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85"/>
              </w:rPr>
              <w:t>0.25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89"/>
              </w:rPr>
              <w:t>August 25, 2020</w:t>
            </w:r>
          </w:p>
        </w:tc>
        <w:tc>
          <w:tcPr>
            <w:tcW w:w="3540" w:type="dxa"/>
            <w:vAlign w:val="bottom"/>
            <w:gridSpan w:val="2"/>
            <w:shd w:val="clear" w:color="auto" w:fill="CCEEFF"/>
          </w:tcPr>
          <w:p>
            <w:pPr>
              <w:jc w:val="center"/>
              <w:ind w:right="1460"/>
              <w:spacing w:after="0"/>
              <w:rPr>
                <w:sz w:val="20"/>
                <w:szCs w:val="20"/>
                <w:color w:val="auto"/>
              </w:rPr>
            </w:pPr>
            <w:r>
              <w:rPr>
                <w:rFonts w:ascii="Arial" w:cs="Arial" w:eastAsia="Arial" w:hAnsi="Arial"/>
                <w:sz w:val="18"/>
                <w:szCs w:val="18"/>
                <w:color w:val="auto"/>
                <w:w w:val="91"/>
              </w:rPr>
              <w:t>August 10, 2020</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5"/>
              </w:rPr>
              <w:t>0.25</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93"/>
              </w:rPr>
              <w:t>May 13, 2020</w:t>
            </w:r>
          </w:p>
        </w:tc>
        <w:tc>
          <w:tcPr>
            <w:tcW w:w="3540" w:type="dxa"/>
            <w:vAlign w:val="bottom"/>
            <w:gridSpan w:val="2"/>
          </w:tcPr>
          <w:p>
            <w:pPr>
              <w:jc w:val="center"/>
              <w:ind w:right="1440"/>
              <w:spacing w:after="0"/>
              <w:rPr>
                <w:sz w:val="20"/>
                <w:szCs w:val="20"/>
                <w:color w:val="auto"/>
              </w:rPr>
            </w:pPr>
            <w:r>
              <w:rPr>
                <w:rFonts w:ascii="Arial" w:cs="Arial" w:eastAsia="Arial" w:hAnsi="Arial"/>
                <w:sz w:val="18"/>
                <w:szCs w:val="18"/>
                <w:color w:val="auto"/>
                <w:w w:val="95"/>
              </w:rPr>
              <w:t>April 27, 2020</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85"/>
              </w:rPr>
              <w:t>0.25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91"/>
              </w:rPr>
              <w:t>March 12, 2020</w:t>
            </w:r>
          </w:p>
        </w:tc>
        <w:tc>
          <w:tcPr>
            <w:tcW w:w="3540" w:type="dxa"/>
            <w:vAlign w:val="bottom"/>
            <w:gridSpan w:val="2"/>
            <w:shd w:val="clear" w:color="auto" w:fill="CCEEFF"/>
          </w:tcPr>
          <w:p>
            <w:pPr>
              <w:jc w:val="center"/>
              <w:ind w:right="1460"/>
              <w:spacing w:after="0"/>
              <w:rPr>
                <w:sz w:val="20"/>
                <w:szCs w:val="20"/>
                <w:color w:val="auto"/>
              </w:rPr>
            </w:pPr>
            <w:r>
              <w:rPr>
                <w:rFonts w:ascii="Arial" w:cs="Arial" w:eastAsia="Arial" w:hAnsi="Arial"/>
                <w:sz w:val="18"/>
                <w:szCs w:val="18"/>
                <w:color w:val="auto"/>
                <w:w w:val="89"/>
              </w:rPr>
              <w:t>February 26, 2020</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89"/>
              </w:rPr>
              <w:t>November 19, 2019</w:t>
            </w:r>
          </w:p>
        </w:tc>
        <w:tc>
          <w:tcPr>
            <w:tcW w:w="3540" w:type="dxa"/>
            <w:vAlign w:val="bottom"/>
            <w:gridSpan w:val="2"/>
          </w:tcPr>
          <w:p>
            <w:pPr>
              <w:jc w:val="center"/>
              <w:ind w:right="1440"/>
              <w:spacing w:after="0"/>
              <w:rPr>
                <w:sz w:val="20"/>
                <w:szCs w:val="20"/>
                <w:color w:val="auto"/>
              </w:rPr>
            </w:pPr>
            <w:r>
              <w:rPr>
                <w:rFonts w:ascii="Arial" w:cs="Arial" w:eastAsia="Arial" w:hAnsi="Arial"/>
                <w:sz w:val="18"/>
                <w:szCs w:val="18"/>
                <w:color w:val="auto"/>
                <w:w w:val="90"/>
              </w:rPr>
              <w:t>October 29, 2019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89"/>
              </w:rPr>
              <w:t>August 14, 2019</w:t>
            </w:r>
          </w:p>
        </w:tc>
        <w:tc>
          <w:tcPr>
            <w:tcW w:w="3540" w:type="dxa"/>
            <w:vAlign w:val="bottom"/>
            <w:gridSpan w:val="2"/>
            <w:shd w:val="clear" w:color="auto" w:fill="CCEEFF"/>
          </w:tcPr>
          <w:p>
            <w:pPr>
              <w:jc w:val="center"/>
              <w:ind w:right="1440"/>
              <w:spacing w:after="0"/>
              <w:rPr>
                <w:sz w:val="20"/>
                <w:szCs w:val="20"/>
                <w:color w:val="auto"/>
              </w:rPr>
            </w:pPr>
            <w:r>
              <w:rPr>
                <w:rFonts w:ascii="Arial" w:cs="Arial" w:eastAsia="Arial" w:hAnsi="Arial"/>
                <w:sz w:val="18"/>
                <w:szCs w:val="18"/>
                <w:color w:val="auto"/>
                <w:w w:val="91"/>
              </w:rPr>
              <w:t>July 30, 2019</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93"/>
              </w:rPr>
              <w:t>May 15, 2019</w:t>
            </w:r>
          </w:p>
        </w:tc>
        <w:tc>
          <w:tcPr>
            <w:tcW w:w="3540" w:type="dxa"/>
            <w:vAlign w:val="bottom"/>
            <w:gridSpan w:val="2"/>
          </w:tcPr>
          <w:p>
            <w:pPr>
              <w:jc w:val="center"/>
              <w:ind w:right="1440"/>
              <w:spacing w:after="0"/>
              <w:rPr>
                <w:sz w:val="20"/>
                <w:szCs w:val="20"/>
                <w:color w:val="auto"/>
              </w:rPr>
            </w:pPr>
            <w:r>
              <w:rPr>
                <w:rFonts w:ascii="Arial" w:cs="Arial" w:eastAsia="Arial" w:hAnsi="Arial"/>
                <w:sz w:val="18"/>
                <w:szCs w:val="18"/>
                <w:color w:val="auto"/>
                <w:w w:val="95"/>
              </w:rPr>
              <w:t>April 29, 2019</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91"/>
              </w:rPr>
              <w:t>March 26, 2019</w:t>
            </w:r>
          </w:p>
        </w:tc>
        <w:tc>
          <w:tcPr>
            <w:tcW w:w="3540" w:type="dxa"/>
            <w:vAlign w:val="bottom"/>
            <w:gridSpan w:val="2"/>
            <w:shd w:val="clear" w:color="auto" w:fill="CCEEFF"/>
          </w:tcPr>
          <w:p>
            <w:pPr>
              <w:jc w:val="center"/>
              <w:ind w:right="1440"/>
              <w:spacing w:after="0"/>
              <w:rPr>
                <w:sz w:val="20"/>
                <w:szCs w:val="20"/>
                <w:color w:val="auto"/>
              </w:rPr>
            </w:pPr>
            <w:r>
              <w:rPr>
                <w:rFonts w:ascii="Arial" w:cs="Arial" w:eastAsia="Arial" w:hAnsi="Arial"/>
                <w:sz w:val="18"/>
                <w:szCs w:val="18"/>
                <w:color w:val="auto"/>
                <w:w w:val="91"/>
              </w:rPr>
              <w:t>March 11, 2019</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89"/>
              </w:rPr>
              <w:t>November 20, 2018</w:t>
            </w:r>
          </w:p>
        </w:tc>
        <w:tc>
          <w:tcPr>
            <w:tcW w:w="3540" w:type="dxa"/>
            <w:vAlign w:val="bottom"/>
            <w:gridSpan w:val="2"/>
          </w:tcPr>
          <w:p>
            <w:pPr>
              <w:jc w:val="center"/>
              <w:ind w:right="1440"/>
              <w:spacing w:after="0"/>
              <w:rPr>
                <w:sz w:val="20"/>
                <w:szCs w:val="20"/>
                <w:color w:val="auto"/>
              </w:rPr>
            </w:pPr>
            <w:r>
              <w:rPr>
                <w:rFonts w:ascii="Arial" w:cs="Arial" w:eastAsia="Arial" w:hAnsi="Arial"/>
                <w:sz w:val="18"/>
                <w:szCs w:val="18"/>
                <w:color w:val="auto"/>
                <w:w w:val="90"/>
              </w:rPr>
              <w:t>November 6, 2018</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89"/>
              </w:rPr>
              <w:t>August 15, 2018</w:t>
            </w:r>
          </w:p>
        </w:tc>
        <w:tc>
          <w:tcPr>
            <w:tcW w:w="3540" w:type="dxa"/>
            <w:vAlign w:val="bottom"/>
            <w:gridSpan w:val="2"/>
            <w:shd w:val="clear" w:color="auto" w:fill="CCEEFF"/>
          </w:tcPr>
          <w:p>
            <w:pPr>
              <w:jc w:val="center"/>
              <w:ind w:right="1440"/>
              <w:spacing w:after="0"/>
              <w:rPr>
                <w:sz w:val="20"/>
                <w:szCs w:val="20"/>
                <w:color w:val="auto"/>
              </w:rPr>
            </w:pPr>
            <w:r>
              <w:rPr>
                <w:rFonts w:ascii="Arial" w:cs="Arial" w:eastAsia="Arial" w:hAnsi="Arial"/>
                <w:sz w:val="18"/>
                <w:szCs w:val="18"/>
                <w:color w:val="auto"/>
                <w:w w:val="91"/>
              </w:rPr>
              <w:t>July 31, 2018</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020" w:type="dxa"/>
            <w:vAlign w:val="bottom"/>
            <w:gridSpan w:val="3"/>
          </w:tcPr>
          <w:p>
            <w:pPr>
              <w:jc w:val="center"/>
              <w:ind w:right="1800"/>
              <w:spacing w:after="0"/>
              <w:rPr>
                <w:sz w:val="20"/>
                <w:szCs w:val="20"/>
                <w:color w:val="auto"/>
              </w:rPr>
            </w:pPr>
            <w:r>
              <w:rPr>
                <w:rFonts w:ascii="Arial" w:cs="Arial" w:eastAsia="Arial" w:hAnsi="Arial"/>
                <w:sz w:val="18"/>
                <w:szCs w:val="18"/>
                <w:color w:val="auto"/>
                <w:w w:val="93"/>
              </w:rPr>
              <w:t>May 17, 2018</w:t>
            </w:r>
          </w:p>
        </w:tc>
        <w:tc>
          <w:tcPr>
            <w:tcW w:w="3540" w:type="dxa"/>
            <w:vAlign w:val="bottom"/>
            <w:gridSpan w:val="2"/>
          </w:tcPr>
          <w:p>
            <w:pPr>
              <w:jc w:val="center"/>
              <w:ind w:right="1460"/>
              <w:spacing w:after="0"/>
              <w:rPr>
                <w:sz w:val="20"/>
                <w:szCs w:val="20"/>
                <w:color w:val="auto"/>
              </w:rPr>
            </w:pPr>
            <w:r>
              <w:rPr>
                <w:rFonts w:ascii="Arial" w:cs="Arial" w:eastAsia="Arial" w:hAnsi="Arial"/>
                <w:sz w:val="18"/>
                <w:szCs w:val="18"/>
                <w:color w:val="auto"/>
                <w:w w:val="92"/>
              </w:rPr>
              <w:t>May 2, 2018</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tcPr>
          <w:p>
            <w:pPr>
              <w:spacing w:after="0"/>
              <w:rPr>
                <w:sz w:val="18"/>
                <w:szCs w:val="18"/>
                <w:color w:val="auto"/>
              </w:rPr>
            </w:pPr>
          </w:p>
        </w:tc>
      </w:tr>
      <w:tr>
        <w:trPr>
          <w:trHeight w:val="216"/>
        </w:trPr>
        <w:tc>
          <w:tcPr>
            <w:tcW w:w="340" w:type="dxa"/>
            <w:vAlign w:val="bottom"/>
            <w:shd w:val="clear" w:color="auto" w:fill="CCEEFF"/>
          </w:tcPr>
          <w:p>
            <w:pPr>
              <w:spacing w:after="0"/>
              <w:rPr>
                <w:sz w:val="18"/>
                <w:szCs w:val="18"/>
                <w:color w:val="auto"/>
              </w:rPr>
            </w:pPr>
          </w:p>
        </w:tc>
        <w:tc>
          <w:tcPr>
            <w:tcW w:w="6020" w:type="dxa"/>
            <w:vAlign w:val="bottom"/>
            <w:gridSpan w:val="3"/>
            <w:shd w:val="clear" w:color="auto" w:fill="CCEEFF"/>
          </w:tcPr>
          <w:p>
            <w:pPr>
              <w:jc w:val="center"/>
              <w:ind w:right="1800"/>
              <w:spacing w:after="0"/>
              <w:rPr>
                <w:sz w:val="20"/>
                <w:szCs w:val="20"/>
                <w:color w:val="auto"/>
              </w:rPr>
            </w:pPr>
            <w:r>
              <w:rPr>
                <w:rFonts w:ascii="Arial" w:cs="Arial" w:eastAsia="Arial" w:hAnsi="Arial"/>
                <w:sz w:val="18"/>
                <w:szCs w:val="18"/>
                <w:color w:val="auto"/>
                <w:w w:val="91"/>
              </w:rPr>
              <w:t>February 21, 2018</w:t>
            </w:r>
          </w:p>
        </w:tc>
        <w:tc>
          <w:tcPr>
            <w:tcW w:w="3540" w:type="dxa"/>
            <w:vAlign w:val="bottom"/>
            <w:gridSpan w:val="2"/>
            <w:shd w:val="clear" w:color="auto" w:fill="CCEEFF"/>
          </w:tcPr>
          <w:p>
            <w:pPr>
              <w:jc w:val="center"/>
              <w:ind w:right="1460"/>
              <w:spacing w:after="0"/>
              <w:rPr>
                <w:sz w:val="20"/>
                <w:szCs w:val="20"/>
                <w:color w:val="auto"/>
              </w:rPr>
            </w:pPr>
            <w:r>
              <w:rPr>
                <w:rFonts w:ascii="Arial" w:cs="Arial" w:eastAsia="Arial" w:hAnsi="Arial"/>
                <w:sz w:val="18"/>
                <w:szCs w:val="18"/>
                <w:color w:val="auto"/>
                <w:w w:val="90"/>
              </w:rPr>
              <w:t>February 2, 2018</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3"/>
              </w:rPr>
              <w:t>0.385</w:t>
            </w:r>
          </w:p>
        </w:tc>
        <w:tc>
          <w:tcPr>
            <w:tcW w:w="100" w:type="dxa"/>
            <w:vAlign w:val="bottom"/>
            <w:shd w:val="clear" w:color="auto" w:fill="CCEEFF"/>
          </w:tcPr>
          <w:p>
            <w:pPr>
              <w:spacing w:after="0"/>
              <w:rPr>
                <w:sz w:val="18"/>
                <w:szCs w:val="18"/>
                <w:color w:val="auto"/>
              </w:rPr>
            </w:pPr>
          </w:p>
        </w:tc>
      </w:tr>
      <w:tr>
        <w:trPr>
          <w:trHeight w:val="432"/>
        </w:trPr>
        <w:tc>
          <w:tcPr>
            <w:tcW w:w="6360" w:type="dxa"/>
            <w:vAlign w:val="bottom"/>
            <w:gridSpan w:val="4"/>
          </w:tcPr>
          <w:p>
            <w:pPr>
              <w:spacing w:after="0"/>
              <w:rPr>
                <w:sz w:val="20"/>
                <w:szCs w:val="20"/>
                <w:color w:val="auto"/>
              </w:rPr>
            </w:pPr>
            <w:r>
              <w:rPr>
                <w:rFonts w:ascii="Arial" w:cs="Arial" w:eastAsia="Arial" w:hAnsi="Arial"/>
                <w:sz w:val="18"/>
                <w:szCs w:val="18"/>
                <w:color w:val="auto"/>
                <w:w w:val="93"/>
              </w:rPr>
              <w:t>The Bank has no preferred shares issued and outstanding as of December 31, 2020.</w:t>
            </w:r>
          </w:p>
        </w:tc>
        <w:tc>
          <w:tcPr>
            <w:tcW w:w="3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2"/>
        </w:trPr>
        <w:tc>
          <w:tcPr>
            <w:tcW w:w="340" w:type="dxa"/>
            <w:vAlign w:val="bottom"/>
          </w:tcPr>
          <w:p>
            <w:pPr>
              <w:spacing w:after="0"/>
              <w:rPr>
                <w:sz w:val="20"/>
                <w:szCs w:val="20"/>
                <w:color w:val="auto"/>
              </w:rPr>
            </w:pPr>
            <w:r>
              <w:rPr>
                <w:rFonts w:ascii="Arial" w:cs="Arial" w:eastAsia="Arial" w:hAnsi="Arial"/>
                <w:sz w:val="18"/>
                <w:szCs w:val="18"/>
                <w:b w:val="1"/>
                <w:bCs w:val="1"/>
                <w:color w:val="auto"/>
              </w:rPr>
              <w:t>B.</w:t>
            </w:r>
          </w:p>
        </w:tc>
        <w:tc>
          <w:tcPr>
            <w:tcW w:w="6020" w:type="dxa"/>
            <w:vAlign w:val="bottom"/>
            <w:gridSpan w:val="3"/>
          </w:tcPr>
          <w:p>
            <w:pPr>
              <w:ind w:left="140"/>
              <w:spacing w:after="0"/>
              <w:rPr>
                <w:sz w:val="20"/>
                <w:szCs w:val="20"/>
                <w:color w:val="auto"/>
              </w:rPr>
            </w:pPr>
            <w:r>
              <w:rPr>
                <w:rFonts w:ascii="Arial" w:cs="Arial" w:eastAsia="Arial" w:hAnsi="Arial"/>
                <w:sz w:val="18"/>
                <w:szCs w:val="18"/>
                <w:b w:val="1"/>
                <w:bCs w:val="1"/>
                <w:color w:val="auto"/>
              </w:rPr>
              <w:t>Significant Changes</w:t>
            </w:r>
          </w:p>
        </w:tc>
        <w:tc>
          <w:tcPr>
            <w:tcW w:w="3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2" w:name="page113"/>
    <w:bookmarkEnd w:id="112"/>
    <w:p>
      <w:pPr>
        <w:spacing w:after="0"/>
        <w:tabs>
          <w:tab w:leader="none" w:pos="128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The Offer and Listing</w:t>
      </w:r>
    </w:p>
    <w:p>
      <w:pPr>
        <w:spacing w:after="0" w:line="225" w:lineRule="exact"/>
        <w:rPr>
          <w:sz w:val="20"/>
          <w:szCs w:val="20"/>
          <w:color w:val="auto"/>
        </w:rPr>
      </w:pPr>
    </w:p>
    <w:p>
      <w:pPr>
        <w:ind w:left="500" w:hanging="492"/>
        <w:spacing w:after="0"/>
        <w:tabs>
          <w:tab w:leader="none" w:pos="50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Offer and Listing Details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Bank’s Class E shares are listed on the NYSE under the symbol “BLX”. The following table shows the high and low market prices of the Class E shares on the NYSE for the periods indicated:</w:t>
      </w:r>
    </w:p>
    <w:p>
      <w:pPr>
        <w:spacing w:after="0" w:line="119" w:lineRule="exact"/>
        <w:rPr>
          <w:sz w:val="20"/>
          <w:szCs w:val="20"/>
          <w:color w:val="auto"/>
        </w:rPr>
      </w:pPr>
    </w:p>
    <w:p>
      <w:pPr>
        <w:ind w:left="8540"/>
        <w:spacing w:after="0"/>
        <w:rPr>
          <w:sz w:val="20"/>
          <w:szCs w:val="20"/>
          <w:color w:val="auto"/>
        </w:rPr>
      </w:pPr>
      <w:r>
        <w:rPr>
          <w:rFonts w:ascii="Arial" w:cs="Arial" w:eastAsia="Arial" w:hAnsi="Arial"/>
          <w:sz w:val="17"/>
          <w:szCs w:val="17"/>
          <w:b w:val="1"/>
          <w:bCs w:val="1"/>
          <w:color w:val="auto"/>
        </w:rPr>
        <w:t xml:space="preserve">Price per Class E Share (in $) </w:t>
      </w:r>
      <w:r>
        <w:rPr>
          <w:rFonts w:ascii="Arial" w:cs="Arial" w:eastAsia="Arial" w:hAnsi="Arial"/>
          <w:sz w:val="28"/>
          <w:szCs w:val="28"/>
          <w:b w:val="1"/>
          <w:bCs w:val="1"/>
          <w:color w:val="auto"/>
          <w:vertAlign w:val="superscript"/>
        </w:rPr>
        <w:t>(1)</w:t>
      </w:r>
    </w:p>
    <w:tbl>
      <w:tblPr>
        <w:tblLayout w:type="fixed"/>
        <w:tblInd w:w="0" w:type="dxa"/>
        <w:tblCellMar>
          <w:top w:w="0" w:type="dxa"/>
          <w:left w:w="0" w:type="dxa"/>
          <w:bottom w:w="0" w:type="dxa"/>
          <w:right w:w="0" w:type="dxa"/>
        </w:tblCellMar>
      </w:tblPr>
      <w:tr>
        <w:trPr>
          <w:trHeight w:val="210"/>
        </w:trPr>
        <w:tc>
          <w:tcPr>
            <w:tcW w:w="8440" w:type="dxa"/>
            <w:vAlign w:val="bottom"/>
            <w:tcBorders>
              <w:bottom w:val="single" w:sz="8" w:color="CCEEFF"/>
            </w:tcBorders>
          </w:tcPr>
          <w:p>
            <w:pPr>
              <w:spacing w:after="0"/>
              <w:rPr>
                <w:sz w:val="18"/>
                <w:szCs w:val="18"/>
                <w:color w:val="auto"/>
              </w:rPr>
            </w:pPr>
          </w:p>
        </w:tc>
        <w:tc>
          <w:tcPr>
            <w:tcW w:w="820" w:type="dxa"/>
            <w:vAlign w:val="bottom"/>
            <w:tcBorders>
              <w:top w:val="single" w:sz="8" w:color="auto"/>
              <w:bottom w:val="single" w:sz="8" w:color="auto"/>
            </w:tcBorders>
          </w:tcPr>
          <w:p>
            <w:pPr>
              <w:ind w:left="440"/>
              <w:spacing w:after="0"/>
              <w:rPr>
                <w:sz w:val="20"/>
                <w:szCs w:val="20"/>
                <w:color w:val="auto"/>
              </w:rPr>
            </w:pPr>
            <w:r>
              <w:rPr>
                <w:rFonts w:ascii="Arial" w:cs="Arial" w:eastAsia="Arial" w:hAnsi="Arial"/>
                <w:sz w:val="18"/>
                <w:szCs w:val="18"/>
                <w:b w:val="1"/>
                <w:bCs w:val="1"/>
                <w:color w:val="auto"/>
                <w:w w:val="89"/>
              </w:rPr>
              <w:t>High</w:t>
            </w:r>
          </w:p>
        </w:tc>
        <w:tc>
          <w:tcPr>
            <w:tcW w:w="42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Low</w:t>
            </w:r>
          </w:p>
        </w:tc>
        <w:tc>
          <w:tcPr>
            <w:tcW w:w="100" w:type="dxa"/>
            <w:vAlign w:val="bottom"/>
            <w:tcBorders>
              <w:bottom w:val="single" w:sz="8" w:color="CCEEFF"/>
            </w:tcBorders>
          </w:tcPr>
          <w:p>
            <w:pPr>
              <w:spacing w:after="0"/>
              <w:rPr>
                <w:sz w:val="18"/>
                <w:szCs w:val="18"/>
                <w:color w:val="auto"/>
              </w:rPr>
            </w:pPr>
          </w:p>
        </w:tc>
      </w:tr>
      <w:tr>
        <w:trPr>
          <w:trHeight w:val="209"/>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2020</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ind w:left="20"/>
              <w:spacing w:after="0"/>
              <w:rPr>
                <w:sz w:val="20"/>
                <w:szCs w:val="20"/>
                <w:color w:val="auto"/>
              </w:rPr>
            </w:pPr>
            <w:r>
              <w:rPr>
                <w:rFonts w:ascii="Arial" w:cs="Arial" w:eastAsia="Arial" w:hAnsi="Arial"/>
                <w:sz w:val="18"/>
                <w:szCs w:val="18"/>
                <w:color w:val="auto"/>
                <w:w w:val="84"/>
              </w:rPr>
              <w:t>22.71</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w:t>
            </w: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2019</w:t>
            </w:r>
          </w:p>
        </w:tc>
        <w:tc>
          <w:tcPr>
            <w:tcW w:w="820" w:type="dxa"/>
            <w:vAlign w:val="bottom"/>
          </w:tcPr>
          <w:p>
            <w:pPr>
              <w:spacing w:after="0"/>
              <w:rPr>
                <w:sz w:val="18"/>
                <w:szCs w:val="18"/>
                <w:color w:val="auto"/>
              </w:rPr>
            </w:pP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22.94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16.96</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2018</w:t>
            </w:r>
          </w:p>
        </w:tc>
        <w:tc>
          <w:tcPr>
            <w:tcW w:w="820" w:type="dxa"/>
            <w:vAlign w:val="bottom"/>
            <w:shd w:val="clear" w:color="auto" w:fill="CCEEFF"/>
          </w:tcPr>
          <w:p>
            <w:pPr>
              <w:spacing w:after="0"/>
              <w:rPr>
                <w:sz w:val="18"/>
                <w:szCs w:val="18"/>
                <w:color w:val="auto"/>
              </w:rPr>
            </w:pP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30.43</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15.33</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2017</w:t>
            </w:r>
          </w:p>
        </w:tc>
        <w:tc>
          <w:tcPr>
            <w:tcW w:w="820" w:type="dxa"/>
            <w:vAlign w:val="bottom"/>
          </w:tcPr>
          <w:p>
            <w:pPr>
              <w:spacing w:after="0"/>
              <w:rPr>
                <w:sz w:val="18"/>
                <w:szCs w:val="18"/>
                <w:color w:val="auto"/>
              </w:rPr>
            </w:pP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30.45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25.51</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2016</w:t>
            </w:r>
          </w:p>
        </w:tc>
        <w:tc>
          <w:tcPr>
            <w:tcW w:w="820" w:type="dxa"/>
            <w:vAlign w:val="bottom"/>
            <w:shd w:val="clear" w:color="auto" w:fill="CCEEFF"/>
          </w:tcPr>
          <w:p>
            <w:pPr>
              <w:spacing w:after="0"/>
              <w:rPr>
                <w:sz w:val="18"/>
                <w:szCs w:val="18"/>
                <w:color w:val="auto"/>
              </w:rPr>
            </w:pP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30.50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19.63</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2021:</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March</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16.92</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14.57</w:t>
            </w: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February</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16.07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15.00</w:t>
            </w: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January</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16.78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14.37</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2020:</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December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16.13</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14.55</w:t>
            </w: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November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15.25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12.76</w:t>
            </w: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October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14.37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11.60</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2021:</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First Quarter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16.92</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14.37</w:t>
            </w: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2020:</w:t>
            </w:r>
          </w:p>
        </w:tc>
        <w:tc>
          <w:tcPr>
            <w:tcW w:w="8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First Quarter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22.71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10.05</w:t>
            </w: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Second Quarter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14.93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7.73</w:t>
            </w: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Third Quarter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13.06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10.55</w:t>
            </w: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Fourth Quarter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16.13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11.60</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2019:</w:t>
            </w:r>
          </w:p>
        </w:tc>
        <w:tc>
          <w:tcPr>
            <w:tcW w:w="8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First Quarter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21.87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16.96</w:t>
            </w: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Second Quarter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22.94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19.60</w:t>
            </w:r>
          </w:p>
        </w:tc>
      </w:tr>
      <w:tr>
        <w:trPr>
          <w:trHeight w:val="216"/>
        </w:trPr>
        <w:tc>
          <w:tcPr>
            <w:tcW w:w="9260" w:type="dxa"/>
            <w:vAlign w:val="bottom"/>
            <w:gridSpan w:val="2"/>
          </w:tcPr>
          <w:p>
            <w:pPr>
              <w:ind w:left="180"/>
              <w:spacing w:after="0"/>
              <w:rPr>
                <w:sz w:val="20"/>
                <w:szCs w:val="20"/>
                <w:color w:val="auto"/>
              </w:rPr>
            </w:pPr>
            <w:r>
              <w:rPr>
                <w:rFonts w:ascii="Arial" w:cs="Arial" w:eastAsia="Arial" w:hAnsi="Arial"/>
                <w:sz w:val="18"/>
                <w:szCs w:val="18"/>
                <w:color w:val="auto"/>
              </w:rPr>
              <w:t>Third Quarter</w:t>
            </w:r>
          </w:p>
        </w:tc>
        <w:tc>
          <w:tcPr>
            <w:tcW w:w="640" w:type="dxa"/>
            <w:vAlign w:val="bottom"/>
            <w:gridSpan w:val="2"/>
          </w:tcPr>
          <w:p>
            <w:pPr>
              <w:ind w:left="20"/>
              <w:spacing w:after="0"/>
              <w:rPr>
                <w:sz w:val="20"/>
                <w:szCs w:val="20"/>
                <w:color w:val="auto"/>
              </w:rPr>
            </w:pPr>
            <w:r>
              <w:rPr>
                <w:rFonts w:ascii="Arial" w:cs="Arial" w:eastAsia="Arial" w:hAnsi="Arial"/>
                <w:sz w:val="18"/>
                <w:szCs w:val="18"/>
                <w:color w:val="auto"/>
              </w:rPr>
              <w:t>21.98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17.58</w:t>
            </w:r>
          </w:p>
        </w:tc>
      </w:tr>
      <w:tr>
        <w:trPr>
          <w:trHeight w:val="216"/>
        </w:trPr>
        <w:tc>
          <w:tcPr>
            <w:tcW w:w="92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Fourth Quarter</w:t>
            </w:r>
          </w:p>
        </w:tc>
        <w:tc>
          <w:tcPr>
            <w:tcW w:w="6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22.85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19.00</w:t>
            </w:r>
          </w:p>
        </w:tc>
      </w:tr>
    </w:tbl>
    <w:p>
      <w:pPr>
        <w:spacing w:after="0" w:line="174" w:lineRule="exact"/>
        <w:rPr>
          <w:sz w:val="20"/>
          <w:szCs w:val="20"/>
          <w:color w:val="auto"/>
        </w:rPr>
      </w:pPr>
    </w:p>
    <w:p>
      <w:pPr>
        <w:ind w:left="220" w:hanging="212"/>
        <w:spacing w:after="0"/>
        <w:tabs>
          <w:tab w:leader="none" w:pos="220" w:val="left"/>
        </w:tabs>
        <w:numPr>
          <w:ilvl w:val="0"/>
          <w:numId w:val="80"/>
        </w:numPr>
        <w:rPr>
          <w:rFonts w:ascii="Arial" w:cs="Arial" w:eastAsia="Arial" w:hAnsi="Arial"/>
          <w:sz w:val="26"/>
          <w:szCs w:val="26"/>
          <w:color w:val="auto"/>
          <w:vertAlign w:val="superscript"/>
        </w:rPr>
      </w:pPr>
      <w:r>
        <w:rPr>
          <w:rFonts w:ascii="Arial" w:cs="Arial" w:eastAsia="Arial" w:hAnsi="Arial"/>
          <w:sz w:val="16"/>
          <w:szCs w:val="16"/>
          <w:color w:val="auto"/>
        </w:rPr>
        <w:t>Corresponds to the highest and lowest sales price of the stock at any time during any given trading day. Source: NYSE Connect.</w:t>
      </w:r>
    </w:p>
    <w:p>
      <w:pPr>
        <w:spacing w:after="0" w:line="198" w:lineRule="exact"/>
        <w:rPr>
          <w:sz w:val="20"/>
          <w:szCs w:val="20"/>
          <w:color w:val="auto"/>
        </w:rPr>
      </w:pPr>
    </w:p>
    <w:p>
      <w:pPr>
        <w:ind w:left="480" w:hanging="472"/>
        <w:spacing w:after="0"/>
        <w:tabs>
          <w:tab w:leader="none" w:pos="48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Plan of Distribution</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500" w:hanging="492"/>
        <w:spacing w:after="0"/>
        <w:tabs>
          <w:tab w:leader="none" w:pos="50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Markets</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Bank’s Class A shares and Class B shares, which were sold in private placements or sold in connection with the Bank’s 2003 rights offering, are not listed on any exchange and are not publicly traded. The Bank’s Class E shares, which constitute the only class of shares publicly traded (listed on the NYSE), represent 78.5% of the total shares of the Bank’s common stock issued and outstanding as of December 31, 2020. The Bank’s Class B shares are convertible into Class E shares on a one-to-one basis. There are no issued or outstanding Class F shares.</w:t>
      </w:r>
    </w:p>
    <w:p>
      <w:pPr>
        <w:spacing w:after="0" w:line="167" w:lineRule="exact"/>
        <w:rPr>
          <w:sz w:val="20"/>
          <w:szCs w:val="20"/>
          <w:color w:val="auto"/>
        </w:rPr>
      </w:pPr>
    </w:p>
    <w:p>
      <w:pPr>
        <w:ind w:left="500" w:hanging="492"/>
        <w:spacing w:after="0"/>
        <w:tabs>
          <w:tab w:leader="none" w:pos="50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Selling Shareholders</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480" w:hanging="472"/>
        <w:spacing w:after="0"/>
        <w:tabs>
          <w:tab w:leader="none" w:pos="48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Dilution</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3" w:name="page114"/>
    <w:bookmarkEnd w:id="113"/>
    <w:p>
      <w:pPr>
        <w:ind w:left="460" w:hanging="452"/>
        <w:spacing w:after="0"/>
        <w:tabs>
          <w:tab w:leader="none" w:pos="460" w:val="left"/>
        </w:tabs>
        <w:numPr>
          <w:ilvl w:val="0"/>
          <w:numId w:val="85"/>
        </w:numPr>
        <w:rPr>
          <w:rFonts w:ascii="Arial" w:cs="Arial" w:eastAsia="Arial" w:hAnsi="Arial"/>
          <w:sz w:val="18"/>
          <w:szCs w:val="18"/>
          <w:b w:val="1"/>
          <w:bCs w:val="1"/>
          <w:color w:val="auto"/>
        </w:rPr>
      </w:pPr>
      <w:r>
        <w:rPr>
          <w:rFonts w:ascii="Arial" w:cs="Arial" w:eastAsia="Arial" w:hAnsi="Arial"/>
          <w:sz w:val="18"/>
          <w:szCs w:val="18"/>
          <w:b w:val="1"/>
          <w:bCs w:val="1"/>
          <w:color w:val="auto"/>
        </w:rPr>
        <w:t>Expenses of the Issue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Additional Information</w:t>
      </w:r>
    </w:p>
    <w:p>
      <w:pPr>
        <w:spacing w:after="0" w:line="225" w:lineRule="exact"/>
        <w:rPr>
          <w:sz w:val="20"/>
          <w:szCs w:val="20"/>
          <w:color w:val="auto"/>
        </w:rPr>
      </w:pPr>
    </w:p>
    <w:p>
      <w:pPr>
        <w:ind w:left="500" w:hanging="492"/>
        <w:spacing w:after="0"/>
        <w:tabs>
          <w:tab w:leader="none" w:pos="500" w:val="left"/>
        </w:tabs>
        <w:numPr>
          <w:ilvl w:val="0"/>
          <w:numId w:val="86"/>
        </w:numPr>
        <w:rPr>
          <w:rFonts w:ascii="Arial" w:cs="Arial" w:eastAsia="Arial" w:hAnsi="Arial"/>
          <w:sz w:val="18"/>
          <w:szCs w:val="18"/>
          <w:b w:val="1"/>
          <w:bCs w:val="1"/>
          <w:color w:val="auto"/>
        </w:rPr>
      </w:pPr>
      <w:r>
        <w:rPr>
          <w:rFonts w:ascii="Arial" w:cs="Arial" w:eastAsia="Arial" w:hAnsi="Arial"/>
          <w:sz w:val="18"/>
          <w:szCs w:val="18"/>
          <w:b w:val="1"/>
          <w:bCs w:val="1"/>
          <w:color w:val="auto"/>
        </w:rPr>
        <w:t>Share Capital</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Not required in this Annual Report.</w:t>
      </w:r>
    </w:p>
    <w:p>
      <w:pPr>
        <w:spacing w:after="0" w:line="221" w:lineRule="exact"/>
        <w:rPr>
          <w:sz w:val="20"/>
          <w:szCs w:val="20"/>
          <w:color w:val="auto"/>
        </w:rPr>
      </w:pPr>
    </w:p>
    <w:p>
      <w:pPr>
        <w:ind w:left="480" w:hanging="472"/>
        <w:spacing w:after="0"/>
        <w:tabs>
          <w:tab w:leader="none" w:pos="480" w:val="left"/>
        </w:tabs>
        <w:numPr>
          <w:ilvl w:val="0"/>
          <w:numId w:val="87"/>
        </w:numPr>
        <w:rPr>
          <w:rFonts w:ascii="Arial" w:cs="Arial" w:eastAsia="Arial" w:hAnsi="Arial"/>
          <w:sz w:val="18"/>
          <w:szCs w:val="18"/>
          <w:b w:val="1"/>
          <w:bCs w:val="1"/>
          <w:color w:val="auto"/>
        </w:rPr>
      </w:pPr>
      <w:r>
        <w:rPr>
          <w:rFonts w:ascii="Arial" w:cs="Arial" w:eastAsia="Arial" w:hAnsi="Arial"/>
          <w:sz w:val="18"/>
          <w:szCs w:val="18"/>
          <w:b w:val="1"/>
          <w:bCs w:val="1"/>
          <w:color w:val="auto"/>
        </w:rPr>
        <w:t>Memorandum and Articles of Association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Articles of Incorporation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Article 2 of the Bank’s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shareholder approval in a resolution adopted upon the affirmative majority vote of the common shares, either present or represented, in a meeting of shareholders called to obtain such authorization, including the affirmative vote of the holders of three-quarters (3/4) of the Class A shares issued and outstanding.</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4" w:name="page115"/>
    <w:bookmarkEnd w:id="114"/>
    <w:p>
      <w:pPr>
        <w:jc w:val="both"/>
        <w:spacing w:after="0" w:line="259" w:lineRule="auto"/>
        <w:rPr>
          <w:sz w:val="20"/>
          <w:szCs w:val="20"/>
          <w:color w:val="auto"/>
        </w:rPr>
      </w:pPr>
      <w:r>
        <w:rPr>
          <w:rFonts w:ascii="Arial" w:cs="Arial" w:eastAsia="Arial" w:hAnsi="Arial"/>
          <w:sz w:val="18"/>
          <w:szCs w:val="18"/>
          <w:color w:val="auto"/>
        </w:rPr>
        <w:t>The Bank’s Articles of Incorporation provide that the Board shall direct and control the business and management of the assets of the Bank, except for those matters specifically reserved to shareholders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Articles of Incorporation do not contain provisions limiting the ability of the Board to approve a proposal, arrangement or contract in which a Director is materially interested, or limiting the ability of the Board to fix the compensation of its members. In addition, the Articles of Incorporation do not contain provisions requiring the mandatory retirement of a Director at any prescribed age, or requiring a person to own a certain number of shares to qualify as a Director.</w:t>
      </w:r>
    </w:p>
    <w:p>
      <w:pPr>
        <w:spacing w:after="0" w:line="18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2019, no Class F shares or preferred shares were issued and outstanding.</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Directors are elected by shareholders for periods of three (3) years and they may be re-elected. The holders of the Class A, Class E and Class F shares vote separately as a class in the election of Directors representing their respective class. In the election of Directors, each shareholder of each class electing a Director has a number of votes equal to the number of shares of such class held by such shareholder multiplied by the number of Directors to be elected by such class. The shareholder may cast all votes in favor of one candidate or distribute them among two or more of the Directors to be elected, as the shareholder may decide.</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All common shares have the same rights and privileges regardless of their class, except that:</w:t>
      </w:r>
    </w:p>
    <w:p>
      <w:pPr>
        <w:spacing w:after="0" w:line="225" w:lineRule="exact"/>
        <w:rPr>
          <w:sz w:val="20"/>
          <w:szCs w:val="20"/>
          <w:color w:val="auto"/>
        </w:rPr>
      </w:pPr>
    </w:p>
    <w:p>
      <w:pPr>
        <w:jc w:val="both"/>
        <w:ind w:left="980" w:hanging="324"/>
        <w:spacing w:after="0" w:line="287" w:lineRule="auto"/>
        <w:tabs>
          <w:tab w:leader="none" w:pos="980" w:val="left"/>
        </w:tabs>
        <w:numPr>
          <w:ilvl w:val="0"/>
          <w:numId w:val="88"/>
        </w:numPr>
        <w:rPr>
          <w:rFonts w:ascii="Arial" w:cs="Arial" w:eastAsia="Arial" w:hAnsi="Arial"/>
          <w:sz w:val="16"/>
          <w:szCs w:val="16"/>
          <w:color w:val="auto"/>
        </w:rPr>
      </w:pPr>
      <w:r>
        <w:rPr>
          <w:rFonts w:ascii="Arial" w:cs="Arial" w:eastAsia="Arial" w:hAnsi="Arial"/>
          <w:sz w:val="16"/>
          <w:szCs w:val="16"/>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spacing w:after="0" w:line="2" w:lineRule="exact"/>
        <w:rPr>
          <w:rFonts w:ascii="Arial" w:cs="Arial" w:eastAsia="Arial" w:hAnsi="Arial"/>
          <w:sz w:val="16"/>
          <w:szCs w:val="16"/>
          <w:color w:val="auto"/>
        </w:rPr>
      </w:pPr>
    </w:p>
    <w:p>
      <w:pPr>
        <w:ind w:left="980" w:hanging="324"/>
        <w:spacing w:after="0" w:line="250" w:lineRule="auto"/>
        <w:tabs>
          <w:tab w:leader="none" w:pos="980" w:val="left"/>
        </w:tabs>
        <w:numPr>
          <w:ilvl w:val="0"/>
          <w:numId w:val="88"/>
        </w:numPr>
        <w:rPr>
          <w:rFonts w:ascii="Arial" w:cs="Arial" w:eastAsia="Arial" w:hAnsi="Arial"/>
          <w:sz w:val="18"/>
          <w:szCs w:val="18"/>
          <w:color w:val="auto"/>
        </w:rPr>
      </w:pPr>
      <w:r>
        <w:rPr>
          <w:rFonts w:ascii="Arial" w:cs="Arial" w:eastAsia="Arial" w:hAnsi="Arial"/>
          <w:sz w:val="18"/>
          <w:szCs w:val="18"/>
          <w:color w:val="auto"/>
        </w:rPr>
        <w:t>the Class E shares are freely transferable, but the Class A shares, Class B shares and Class F shares may only be transferred to qualified holders;</w:t>
      </w:r>
    </w:p>
    <w:p>
      <w:pPr>
        <w:ind w:left="980" w:hanging="324"/>
        <w:spacing w:after="0"/>
        <w:tabs>
          <w:tab w:leader="none" w:pos="980" w:val="left"/>
        </w:tabs>
        <w:numPr>
          <w:ilvl w:val="0"/>
          <w:numId w:val="88"/>
        </w:numPr>
        <w:rPr>
          <w:rFonts w:ascii="Arial" w:cs="Arial" w:eastAsia="Arial" w:hAnsi="Arial"/>
          <w:sz w:val="18"/>
          <w:szCs w:val="18"/>
          <w:color w:val="auto"/>
        </w:rPr>
      </w:pPr>
      <w:r>
        <w:rPr>
          <w:rFonts w:ascii="Arial" w:cs="Arial" w:eastAsia="Arial" w:hAnsi="Arial"/>
          <w:sz w:val="18"/>
          <w:szCs w:val="18"/>
          <w:color w:val="auto"/>
        </w:rPr>
        <w:t>the Class B shares and Class F shares may be converted into Class E shares;</w:t>
      </w:r>
    </w:p>
    <w:p>
      <w:pPr>
        <w:spacing w:after="0" w:line="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6"/>
          <w:szCs w:val="16"/>
          <w:color w:val="auto"/>
        </w:rPr>
        <w:t>·</w:t>
      </w:r>
      <w:r>
        <w:rPr>
          <w:sz w:val="20"/>
          <w:szCs w:val="20"/>
          <w:color w:val="auto"/>
        </w:rPr>
        <w:tab/>
      </w:r>
      <w:r>
        <w:rPr>
          <w:rFonts w:ascii="Arial" w:cs="Arial" w:eastAsia="Arial" w:hAnsi="Arial"/>
          <w:sz w:val="16"/>
          <w:szCs w:val="16"/>
          <w:color w:val="auto"/>
        </w:rPr>
        <w:t>the holders of Class A shares, Class B shares and Class F shares benefit from pre-emptive rights, but the holders of Class E shares do not;</w:t>
      </w:r>
    </w:p>
    <w:p>
      <w:pPr>
        <w:spacing w:after="0" w:line="32" w:lineRule="exact"/>
        <w:rPr>
          <w:sz w:val="20"/>
          <w:szCs w:val="20"/>
          <w:color w:val="auto"/>
        </w:rPr>
      </w:pPr>
    </w:p>
    <w:p>
      <w:pPr>
        <w:ind w:left="980" w:hanging="324"/>
        <w:spacing w:after="0"/>
        <w:tabs>
          <w:tab w:leader="none" w:pos="980" w:val="left"/>
        </w:tabs>
        <w:numPr>
          <w:ilvl w:val="0"/>
          <w:numId w:val="89"/>
        </w:numPr>
        <w:rPr>
          <w:rFonts w:ascii="Arial" w:cs="Arial" w:eastAsia="Arial" w:hAnsi="Arial"/>
          <w:sz w:val="18"/>
          <w:szCs w:val="18"/>
          <w:color w:val="auto"/>
        </w:rPr>
      </w:pPr>
      <w:r>
        <w:rPr>
          <w:rFonts w:ascii="Arial" w:cs="Arial" w:eastAsia="Arial" w:hAnsi="Arial"/>
          <w:sz w:val="18"/>
          <w:szCs w:val="18"/>
          <w:color w:val="auto"/>
        </w:rPr>
        <w:t>the classes vote separately for their representative directors; and</w:t>
      </w:r>
    </w:p>
    <w:p>
      <w:pPr>
        <w:spacing w:after="0" w:line="9" w:lineRule="exact"/>
        <w:rPr>
          <w:rFonts w:ascii="Arial" w:cs="Arial" w:eastAsia="Arial" w:hAnsi="Arial"/>
          <w:sz w:val="18"/>
          <w:szCs w:val="18"/>
          <w:color w:val="auto"/>
        </w:rPr>
      </w:pPr>
    </w:p>
    <w:p>
      <w:pPr>
        <w:ind w:left="980" w:hanging="324"/>
        <w:spacing w:after="0" w:line="260" w:lineRule="auto"/>
        <w:tabs>
          <w:tab w:leader="none" w:pos="980" w:val="left"/>
        </w:tabs>
        <w:numPr>
          <w:ilvl w:val="0"/>
          <w:numId w:val="89"/>
        </w:numPr>
        <w:rPr>
          <w:rFonts w:ascii="Arial" w:cs="Arial" w:eastAsia="Arial" w:hAnsi="Arial"/>
          <w:sz w:val="18"/>
          <w:szCs w:val="18"/>
          <w:color w:val="auto"/>
        </w:rPr>
      </w:pPr>
      <w:r>
        <w:rPr>
          <w:rFonts w:ascii="Arial" w:cs="Arial" w:eastAsia="Arial" w:hAnsi="Arial"/>
          <w:sz w:val="18"/>
          <w:szCs w:val="18"/>
          <w:color w:val="auto"/>
        </w:rPr>
        <w:t>the rights, preferences, privileges and obligations of the preferred shares are determined by the Board at the time of their issuance in a certificate of designation.</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Under the Bank’s Articles of Incorporation, preferred shares have no voting rights, except in accordance with their certificate of designation mentioned above. Holders of preferred shares will have the right to elect one Director only upon a default of the terms of such preferred shares and only if contemplated in the certificate of designation. In the event the holders of the preferred shares are entitled to elect a Director, the total number of Directors on the Board will be increased by one. The rights of the holders of the common shares may be changed by an amendment to the Articles of Incorporation of the Bank.</w:t>
      </w:r>
    </w:p>
    <w:p>
      <w:pPr>
        <w:spacing w:after="0" w:line="188" w:lineRule="exact"/>
        <w:rPr>
          <w:sz w:val="20"/>
          <w:szCs w:val="20"/>
          <w:color w:val="auto"/>
        </w:rPr>
      </w:pPr>
    </w:p>
    <w:p>
      <w:pPr>
        <w:jc w:val="both"/>
        <w:ind w:right="20"/>
        <w:spacing w:after="0" w:line="291" w:lineRule="auto"/>
        <w:rPr>
          <w:sz w:val="20"/>
          <w:szCs w:val="20"/>
          <w:color w:val="auto"/>
        </w:rPr>
      </w:pPr>
      <w:r>
        <w:rPr>
          <w:rFonts w:ascii="Arial" w:cs="Arial" w:eastAsia="Arial" w:hAnsi="Arial"/>
          <w:sz w:val="16"/>
          <w:szCs w:val="16"/>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w:t>
      </w:r>
    </w:p>
    <w:p>
      <w:pPr>
        <w:jc w:val="both"/>
        <w:ind w:firstLine="8"/>
        <w:spacing w:after="0" w:line="273" w:lineRule="auto"/>
        <w:tabs>
          <w:tab w:leader="none" w:pos="222" w:val="left"/>
        </w:tabs>
        <w:numPr>
          <w:ilvl w:val="0"/>
          <w:numId w:val="90"/>
        </w:numPr>
        <w:rPr>
          <w:rFonts w:ascii="Arial" w:cs="Arial" w:eastAsia="Arial" w:hAnsi="Arial"/>
          <w:sz w:val="17"/>
          <w:szCs w:val="17"/>
          <w:color w:val="auto"/>
        </w:rPr>
      </w:pPr>
      <w:r>
        <w:rPr>
          <w:rFonts w:ascii="Arial" w:cs="Arial" w:eastAsia="Arial" w:hAnsi="Arial"/>
          <w:sz w:val="17"/>
          <w:szCs w:val="17"/>
          <w:color w:val="auto"/>
        </w:rPr>
        <w:t>any amendment to the Bank’s purposes or powers, (ii) any amendment to the capital structure of the Bank and the qualifications to become a holder of any particular class of shares, (iii) any amendment to the provisions relating to the notice, quorum and voting at shareholders’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7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Notice of meetings of shareholders,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shareholders, shareholders with a right to vote may be represented by a proxy, who need not be a shareholder and who may be appointed by public or private document, with or without power of substitution.</w:t>
      </w:r>
    </w:p>
    <w:p>
      <w:pPr>
        <w:spacing w:after="0" w:line="37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5" w:name="page116"/>
    <w:bookmarkEnd w:id="115"/>
    <w:p>
      <w:pPr>
        <w:jc w:val="both"/>
        <w:spacing w:after="0" w:line="254" w:lineRule="auto"/>
        <w:rPr>
          <w:sz w:val="20"/>
          <w:szCs w:val="20"/>
          <w:color w:val="auto"/>
        </w:rPr>
      </w:pPr>
      <w:r>
        <w:rPr>
          <w:rFonts w:ascii="Arial" w:cs="Arial" w:eastAsia="Arial" w:hAnsi="Arial"/>
          <w:sz w:val="18"/>
          <w:szCs w:val="18"/>
          <w:color w:val="auto"/>
        </w:rPr>
        <w:t>Upon request to the Board or the Chairman of the Board, shareholders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shareholders, a majority of the common shares issued and outstanding must be represented at the meeting. Whenever a quorum is not obtained at a meeting of shareholders, the meeting shall be held on the second date set forth in the notice of the meeting. All resolutions of shareholders shall be adopted by the affirmative majority vote of the common shares represented at the meeting where the resolution was adopted, except where a super-majority vote of the Class A shareholders is required, as described above.</w:t>
      </w:r>
    </w:p>
    <w:p>
      <w:pPr>
        <w:spacing w:after="0" w:line="195"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7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Neither Bladex’s Articles of Incorporation nor its By-Laws contain any provision requiring disclosure with respect to a shareholder’s ownership above a certain threshold.</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At the Annual Meeting of Shareholders held on April 29, 2020, an amendment to Article 12 of the Bank’s Articles of Incorporation was approved to delete a provision that required that the Board of Directors always nominate the Chief Executive Officer from one of the two Directors to be elected by the holders of all of the common shares. This amendment provides further independence at the Board level and also gives the Board more flexibility to nominate persons from a broader scope of candidates, who are not necessarily involved in the day-to-day operations of the Bank.</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Amended Articles of Incorporation are being filed as an exhibit to this Annual Report on Form 20-F for the fiscal year ended December 31, 2020.</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By-Laws were filed as an exhibit to the Form 20-F for the fiscal year ended December 31, 2009, filed with the SEC on June 11, 2010. See Item 19, “Exhibits” for hyperlink to this document.</w:t>
      </w:r>
    </w:p>
    <w:p>
      <w:pPr>
        <w:spacing w:after="0" w:line="166" w:lineRule="exact"/>
        <w:rPr>
          <w:sz w:val="20"/>
          <w:szCs w:val="20"/>
          <w:color w:val="auto"/>
        </w:rPr>
      </w:pPr>
    </w:p>
    <w:p>
      <w:pPr>
        <w:ind w:left="500" w:hanging="492"/>
        <w:spacing w:after="0"/>
        <w:tabs>
          <w:tab w:leader="none" w:pos="500" w:val="left"/>
        </w:tabs>
        <w:numPr>
          <w:ilvl w:val="0"/>
          <w:numId w:val="91"/>
        </w:numPr>
        <w:rPr>
          <w:rFonts w:ascii="Arial" w:cs="Arial" w:eastAsia="Arial" w:hAnsi="Arial"/>
          <w:sz w:val="18"/>
          <w:szCs w:val="18"/>
          <w:b w:val="1"/>
          <w:bCs w:val="1"/>
          <w:color w:val="auto"/>
        </w:rPr>
      </w:pPr>
      <w:r>
        <w:rPr>
          <w:rFonts w:ascii="Arial" w:cs="Arial" w:eastAsia="Arial" w:hAnsi="Arial"/>
          <w:sz w:val="18"/>
          <w:szCs w:val="18"/>
          <w:b w:val="1"/>
          <w:bCs w:val="1"/>
          <w:color w:val="auto"/>
        </w:rPr>
        <w:t>Material Contracts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has not entered into any material contract outside the ordinary course of business during the two-year period immediately preceding the date of this Annual Report.</w:t>
      </w:r>
    </w:p>
    <w:p>
      <w:pPr>
        <w:spacing w:after="0" w:line="166" w:lineRule="exact"/>
        <w:rPr>
          <w:sz w:val="20"/>
          <w:szCs w:val="20"/>
          <w:color w:val="auto"/>
        </w:rPr>
      </w:pPr>
    </w:p>
    <w:p>
      <w:pPr>
        <w:ind w:left="500" w:hanging="492"/>
        <w:spacing w:after="0"/>
        <w:tabs>
          <w:tab w:leader="none" w:pos="500" w:val="left"/>
        </w:tabs>
        <w:numPr>
          <w:ilvl w:val="0"/>
          <w:numId w:val="92"/>
        </w:numPr>
        <w:rPr>
          <w:rFonts w:ascii="Arial" w:cs="Arial" w:eastAsia="Arial" w:hAnsi="Arial"/>
          <w:sz w:val="18"/>
          <w:szCs w:val="18"/>
          <w:b w:val="1"/>
          <w:bCs w:val="1"/>
          <w:color w:val="auto"/>
        </w:rPr>
      </w:pPr>
      <w:r>
        <w:rPr>
          <w:rFonts w:ascii="Arial" w:cs="Arial" w:eastAsia="Arial" w:hAnsi="Arial"/>
          <w:sz w:val="18"/>
          <w:szCs w:val="18"/>
          <w:b w:val="1"/>
          <w:bCs w:val="1"/>
          <w:color w:val="auto"/>
        </w:rPr>
        <w:t>Exchange Controls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Currently, there are no restrictions or limitations under Panamanian law on the export or import of capital, including foreign exchange controls, the payment of dividends or interest, or the rights of foreign shareholders to hold or vote stock.</w:t>
      </w:r>
    </w:p>
    <w:p>
      <w:pPr>
        <w:spacing w:after="0" w:line="166" w:lineRule="exact"/>
        <w:rPr>
          <w:sz w:val="20"/>
          <w:szCs w:val="20"/>
          <w:color w:val="auto"/>
        </w:rPr>
      </w:pPr>
    </w:p>
    <w:p>
      <w:pPr>
        <w:ind w:left="480" w:hanging="472"/>
        <w:spacing w:after="0"/>
        <w:tabs>
          <w:tab w:leader="none" w:pos="480" w:val="left"/>
        </w:tabs>
        <w:numPr>
          <w:ilvl w:val="0"/>
          <w:numId w:val="93"/>
        </w:numPr>
        <w:rPr>
          <w:rFonts w:ascii="Arial" w:cs="Arial" w:eastAsia="Arial" w:hAnsi="Arial"/>
          <w:sz w:val="18"/>
          <w:szCs w:val="18"/>
          <w:b w:val="1"/>
          <w:bCs w:val="1"/>
          <w:color w:val="auto"/>
        </w:rPr>
      </w:pPr>
      <w:r>
        <w:rPr>
          <w:rFonts w:ascii="Arial" w:cs="Arial" w:eastAsia="Arial" w:hAnsi="Arial"/>
          <w:sz w:val="18"/>
          <w:szCs w:val="18"/>
          <w:b w:val="1"/>
          <w:bCs w:val="1"/>
          <w:color w:val="auto"/>
        </w:rPr>
        <w:t>Taxation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United States, Panamanian or other tax consequences of the acquisition, ownership and disposition of Class E shares. The Bank may be subject to the tax regime of other countries or jurisdictions due to its operations.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6" w:name="page117"/>
    <w:bookmarkEnd w:id="116"/>
    <w:p>
      <w:pPr>
        <w:spacing w:after="0"/>
        <w:rPr>
          <w:sz w:val="20"/>
          <w:szCs w:val="20"/>
          <w:color w:val="auto"/>
        </w:rPr>
      </w:pPr>
      <w:r>
        <w:rPr>
          <w:rFonts w:ascii="Arial" w:cs="Arial" w:eastAsia="Arial" w:hAnsi="Arial"/>
          <w:sz w:val="18"/>
          <w:szCs w:val="18"/>
          <w:color w:val="auto"/>
        </w:rPr>
        <w:t>This summary does not address the consequences of the acquisition, ownership or disposition of the Bank’s Class A or Class B shares.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United States Taxes</w:t>
      </w:r>
    </w:p>
    <w:p>
      <w:pPr>
        <w:spacing w:after="0" w:line="225"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Except as specifically noted,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non-U.S. investors (including, without limitation, non-U.S. investors subject to tax as U.S. expatriates and non-U.S. investors holding Class E shares in connection with a U.S. trade or business), persons receiving Class E shares in connection with the performance of services, persons holding Class E shares as part of a hedging, constructive ownership or conversion transaction or a straddle, holders whose functional currency is not the U.S. dollar, or a holder that owns 10% or more (directly, indirectly or constructively) of the shares of the Bank, by vote or value.</w:t>
      </w:r>
    </w:p>
    <w:p>
      <w:pPr>
        <w:spacing w:after="0" w:line="18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87"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and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 of Distributions</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117" w:name="page118"/>
    <w:bookmarkEnd w:id="117"/>
    <w:p>
      <w:pPr>
        <w:jc w:val="both"/>
        <w:spacing w:after="0" w:line="269" w:lineRule="auto"/>
        <w:rPr>
          <w:sz w:val="20"/>
          <w:szCs w:val="20"/>
          <w:color w:val="auto"/>
        </w:rPr>
      </w:pPr>
      <w:r>
        <w:rPr>
          <w:rFonts w:ascii="Arial" w:cs="Arial" w:eastAsia="Arial" w:hAnsi="Arial"/>
          <w:sz w:val="17"/>
          <w:szCs w:val="17"/>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 (1) 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8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that are (1) engaged in a U.S. trade or business, (2) former citizens or long-term residents of the United States; (3) “controlled foreign corporations;” (4) corporations that accumulate earnings in excess of an amount that is deemed to be necessary for its reasonable business needs; or (5) certain foreign charitable organizations, each within the meaning of the Code. Such persons should consult their own tax advisors as to the U.S. federal income or other tax consequences of the ownership and disposition of Class E shares.</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Taxation of Capital Gains</w:t>
      </w:r>
    </w:p>
    <w:p>
      <w:pPr>
        <w:spacing w:after="0" w:line="229" w:lineRule="exact"/>
        <w:rPr>
          <w:sz w:val="20"/>
          <w:szCs w:val="20"/>
          <w:color w:val="auto"/>
        </w:rPr>
      </w:pPr>
    </w:p>
    <w:p>
      <w:pPr>
        <w:jc w:val="both"/>
        <w:spacing w:after="0" w:line="287" w:lineRule="auto"/>
        <w:rPr>
          <w:sz w:val="20"/>
          <w:szCs w:val="20"/>
          <w:color w:val="auto"/>
        </w:rPr>
      </w:pPr>
      <w:r>
        <w:rPr>
          <w:rFonts w:ascii="Arial" w:cs="Arial" w:eastAsia="Arial" w:hAnsi="Arial"/>
          <w:sz w:val="16"/>
          <w:szCs w:val="16"/>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72"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 non-U.S. Holder of Class E shares will generally not be subject to U.S. federal income tax or withholding tax on gain realized on the sale or other disposition of Class E shares. However, special rules may apply in the case of non-U.S. Holders that are: (1) engaged in a U.S. trade or business, (2) former citizens or long-term residents of the United States, “controlled foreign corporations,” corporations that accumulate earnings to avoid U.S. federal income tax, or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18" w:name="page119"/>
    <w:bookmarkEnd w:id="118"/>
    <w:p>
      <w:pPr>
        <w:spacing w:after="0"/>
        <w:rPr>
          <w:sz w:val="20"/>
          <w:szCs w:val="20"/>
          <w:color w:val="auto"/>
        </w:rPr>
      </w:pPr>
      <w:r>
        <w:rPr>
          <w:rFonts w:ascii="Arial" w:cs="Arial" w:eastAsia="Arial" w:hAnsi="Arial"/>
          <w:sz w:val="18"/>
          <w:szCs w:val="18"/>
          <w:b w:val="1"/>
          <w:bCs w:val="1"/>
          <w:color w:val="auto"/>
        </w:rPr>
        <w:t>Passive Foreign Investment Company Status</w:t>
      </w:r>
    </w:p>
    <w:p>
      <w:pPr>
        <w:spacing w:after="0" w:line="229"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Code provides a specific exception from passive income classification for income derived in the “active conduct of a banking business”. The Internal Revenue Service (“IRS”) issued a notice in 1989 (the “Notice”), and the U.S. Department of Treasury has issued multiple sets of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w:t>
      </w:r>
    </w:p>
    <w:p>
      <w:pPr>
        <w:spacing w:after="0" w:line="194"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While the Bank conducts, and intends to continue to conduct, a significant banking business, there can be no assurance that the Bank will satisfy the specific requirements for the active bank exception under the Notice, the Proposed Regulations or the exclusion for qualified banking income. Based on estimates of the Bank’s current and projected gross income and gross assets, the Bank does not believe that it will be classified as a PFIC for the Bank’s current or future taxable years. The determination of whether the Bank is a PFIC, however, is made annually and is based upon the composition of the Bank’s income and assets (including income and assets of entities in which we hold at least a 25% interest), and the nature of the Bank’s activities.</w:t>
      </w:r>
    </w:p>
    <w:p>
      <w:pPr>
        <w:spacing w:after="0" w:line="161"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Because final regulations have not been issued and because the Notice and the Proposed Regulations are inconsistent, the Bank’s status under the PFIC rules is subject to uncertainty. While the Bank conducts, and intends to continue to conduct, a significant banking business, there can be no assurance that it will satisfy the specific requirements under the Notice, the Proposed Regulations or the exclusion for income derived in the active conduct of a banking business. Accordingly, U.S. Holders could be subject to U.S. federal income tax under the rules described below.</w:t>
      </w:r>
    </w:p>
    <w:p>
      <w:pPr>
        <w:spacing w:after="0" w:line="171"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66"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If the Bank were to be classified as a PFIC, U.S. Holders of interests in a non-U.S.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9" w:name="page120"/>
    <w:bookmarkEnd w:id="119"/>
    <w:p>
      <w:pPr>
        <w:jc w:val="both"/>
        <w:spacing w:after="0" w:line="273" w:lineRule="auto"/>
        <w:rPr>
          <w:sz w:val="20"/>
          <w:szCs w:val="20"/>
          <w:color w:val="auto"/>
        </w:rPr>
      </w:pPr>
      <w:r>
        <w:rPr>
          <w:rFonts w:ascii="Arial" w:cs="Arial" w:eastAsia="Arial" w:hAnsi="Arial"/>
          <w:sz w:val="17"/>
          <w:szCs w:val="17"/>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make reasonable best efforts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7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84"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annually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Information Reporting and Backup Withholding</w:t>
      </w:r>
    </w:p>
    <w:p>
      <w:pPr>
        <w:spacing w:after="0" w:line="229" w:lineRule="exact"/>
        <w:rPr>
          <w:sz w:val="20"/>
          <w:szCs w:val="20"/>
          <w:color w:val="auto"/>
        </w:rPr>
      </w:pPr>
    </w:p>
    <w:p>
      <w:pPr>
        <w:jc w:val="both"/>
        <w:spacing w:after="0" w:line="269" w:lineRule="auto"/>
        <w:rPr>
          <w:sz w:val="20"/>
          <w:szCs w:val="20"/>
          <w:color w:val="auto"/>
        </w:rPr>
      </w:pPr>
      <w:r>
        <w:rPr>
          <w:rFonts w:ascii="Arial" w:cs="Arial" w:eastAsia="Arial" w:hAnsi="Arial"/>
          <w:sz w:val="17"/>
          <w:szCs w:val="17"/>
          <w:color w:val="auto"/>
        </w:rPr>
        <w:t>The Bank and any U.S. payor making payments in respect of Class E shares will generally be required to provide the IRS with information concerning certain payments made on Class E shares,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24% with respect to proceeds received on the sale or exchange of Class E shares within the United States and to dividends paid, unless such holder: (1) is a corporation or comes within certain other exempt categories (including non-U.S. Holders,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color w:val="auto"/>
        </w:rPr>
        <w:t>There is no income tax treaty between Panama and the United States.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3.8% Medicare Tax On “Net Investment Income”</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Foreign Asset Reporting</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0" w:name="page121"/>
    <w:bookmarkEnd w:id="120"/>
    <w:p>
      <w:pPr>
        <w:jc w:val="both"/>
        <w:spacing w:after="0" w:line="308" w:lineRule="auto"/>
        <w:rPr>
          <w:sz w:val="20"/>
          <w:szCs w:val="20"/>
          <w:color w:val="auto"/>
        </w:rPr>
      </w:pPr>
      <w:r>
        <w:rPr>
          <w:rFonts w:ascii="Arial" w:cs="Arial" w:eastAsia="Arial" w:hAnsi="Arial"/>
          <w:sz w:val="17"/>
          <w:szCs w:val="17"/>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Panamanian Taxes</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General Principle</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Distributions</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7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Taxation of Capital Gains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66" w:lineRule="exact"/>
        <w:rPr>
          <w:sz w:val="20"/>
          <w:szCs w:val="20"/>
          <w:color w:val="auto"/>
        </w:rPr>
      </w:pPr>
    </w:p>
    <w:p>
      <w:pPr>
        <w:ind w:left="660" w:right="8020" w:hanging="652"/>
        <w:spacing w:after="0" w:line="563" w:lineRule="auto"/>
        <w:tabs>
          <w:tab w:leader="none" w:pos="660" w:val="left"/>
        </w:tabs>
        <w:numPr>
          <w:ilvl w:val="0"/>
          <w:numId w:val="9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Dividends and Paying Agents </w:t>
      </w:r>
      <w:r>
        <w:rPr>
          <w:rFonts w:ascii="Arial" w:cs="Arial" w:eastAsia="Arial" w:hAnsi="Arial"/>
          <w:sz w:val="16"/>
          <w:szCs w:val="16"/>
          <w:color w:val="auto"/>
        </w:rPr>
        <w:t>Not required in this Annual Report.</w:t>
      </w:r>
    </w:p>
    <w:p>
      <w:pPr>
        <w:ind w:left="660" w:hanging="652"/>
        <w:spacing w:after="0"/>
        <w:tabs>
          <w:tab w:leader="none" w:pos="660" w:val="left"/>
        </w:tabs>
        <w:numPr>
          <w:ilvl w:val="0"/>
          <w:numId w:val="94"/>
        </w:numPr>
        <w:rPr>
          <w:rFonts w:ascii="Arial" w:cs="Arial" w:eastAsia="Arial" w:hAnsi="Arial"/>
          <w:sz w:val="18"/>
          <w:szCs w:val="18"/>
          <w:b w:val="1"/>
          <w:bCs w:val="1"/>
          <w:color w:val="auto"/>
        </w:rPr>
      </w:pPr>
      <w:r>
        <w:rPr>
          <w:rFonts w:ascii="Arial" w:cs="Arial" w:eastAsia="Arial" w:hAnsi="Arial"/>
          <w:sz w:val="18"/>
          <w:szCs w:val="18"/>
          <w:b w:val="1"/>
          <w:bCs w:val="1"/>
          <w:color w:val="auto"/>
        </w:rPr>
        <w:t>Statement by Experts</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Not required in this Annual Report.</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1" w:name="page122"/>
    <w:bookmarkEnd w:id="121"/>
    <w:p>
      <w:pPr>
        <w:ind w:left="660" w:hanging="652"/>
        <w:spacing w:after="0"/>
        <w:tabs>
          <w:tab w:leader="none" w:pos="660" w:val="left"/>
        </w:tabs>
        <w:numPr>
          <w:ilvl w:val="0"/>
          <w:numId w:val="95"/>
        </w:numPr>
        <w:rPr>
          <w:rFonts w:ascii="Arial" w:cs="Arial" w:eastAsia="Arial" w:hAnsi="Arial"/>
          <w:sz w:val="18"/>
          <w:szCs w:val="18"/>
          <w:b w:val="1"/>
          <w:bCs w:val="1"/>
          <w:color w:val="auto"/>
        </w:rPr>
      </w:pPr>
      <w:r>
        <w:rPr>
          <w:rFonts w:ascii="Arial" w:cs="Arial" w:eastAsia="Arial" w:hAnsi="Arial"/>
          <w:sz w:val="18"/>
          <w:szCs w:val="18"/>
          <w:b w:val="1"/>
          <w:bCs w:val="1"/>
          <w:color w:val="auto"/>
        </w:rPr>
        <w:t>Documents on Display</w:t>
      </w:r>
    </w:p>
    <w:p>
      <w:pPr>
        <w:spacing w:after="0" w:line="229"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8"/>
          <w:szCs w:val="18"/>
          <w:u w:val="single" w:color="auto"/>
          <w:color w:val="auto"/>
        </w:rPr>
        <w:t>amendez@bladex.com</w:t>
      </w:r>
      <w:r>
        <w:rPr>
          <w:rFonts w:ascii="Arial" w:cs="Arial" w:eastAsia="Arial" w:hAnsi="Arial"/>
          <w:sz w:val="18"/>
          <w:szCs w:val="18"/>
          <w:color w:val="auto"/>
        </w:rPr>
        <w:t xml:space="preserve"> or </w:t>
      </w:r>
      <w:r>
        <w:rPr>
          <w:rFonts w:ascii="Arial" w:cs="Arial" w:eastAsia="Arial" w:hAnsi="Arial"/>
          <w:sz w:val="18"/>
          <w:szCs w:val="18"/>
          <w:u w:val="single" w:color="auto"/>
          <w:color w:val="auto"/>
        </w:rPr>
        <w:t>ir@bladex.com</w:t>
      </w:r>
      <w:r>
        <w:rPr>
          <w:rFonts w:ascii="Arial" w:cs="Arial" w:eastAsia="Arial" w:hAnsi="Arial"/>
          <w:sz w:val="18"/>
          <w:szCs w:val="18"/>
          <w:color w:val="auto"/>
        </w:rPr>
        <w:t xml:space="preserve">. Information is also available on the Bank’s website at: </w:t>
      </w:r>
      <w:r>
        <w:rPr>
          <w:rFonts w:ascii="Arial" w:cs="Arial" w:eastAsia="Arial" w:hAnsi="Arial"/>
          <w:sz w:val="18"/>
          <w:szCs w:val="18"/>
          <w:u w:val="single" w:color="auto"/>
          <w:color w:val="auto"/>
        </w:rPr>
        <w:t>https://www.bladex.com/en</w:t>
      </w:r>
      <w:r>
        <w:rPr>
          <w:rFonts w:ascii="Arial" w:cs="Arial" w:eastAsia="Arial" w:hAnsi="Arial"/>
          <w:sz w:val="18"/>
          <w:szCs w:val="18"/>
          <w:color w:val="auto"/>
        </w:rPr>
        <w:t>.</w:t>
      </w:r>
    </w:p>
    <w:p>
      <w:pPr>
        <w:spacing w:after="0" w:line="191" w:lineRule="exact"/>
        <w:rPr>
          <w:sz w:val="20"/>
          <w:szCs w:val="20"/>
          <w:color w:val="auto"/>
        </w:rPr>
      </w:pPr>
    </w:p>
    <w:p>
      <w:pPr>
        <w:ind w:left="660" w:right="8760" w:hanging="652"/>
        <w:spacing w:after="0" w:line="563" w:lineRule="auto"/>
        <w:tabs>
          <w:tab w:leader="none" w:pos="660" w:val="left"/>
        </w:tabs>
        <w:numPr>
          <w:ilvl w:val="0"/>
          <w:numId w:val="9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Subsidiary Information </w:t>
      </w:r>
      <w:r>
        <w:rPr>
          <w:rFonts w:ascii="Arial" w:cs="Arial" w:eastAsia="Arial" w:hAnsi="Arial"/>
          <w:sz w:val="16"/>
          <w:szCs w:val="16"/>
          <w:color w:val="auto"/>
        </w:rPr>
        <w:t>Not applicable.</w:t>
      </w:r>
    </w:p>
    <w:p>
      <w:pPr>
        <w:spacing w:after="0" w:line="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11.</w:t>
      </w:r>
      <w:r>
        <w:rPr>
          <w:sz w:val="20"/>
          <w:szCs w:val="20"/>
          <w:color w:val="auto"/>
        </w:rPr>
        <w:tab/>
      </w:r>
      <w:r>
        <w:rPr>
          <w:rFonts w:ascii="Arial" w:cs="Arial" w:eastAsia="Arial" w:hAnsi="Arial"/>
          <w:sz w:val="16"/>
          <w:szCs w:val="16"/>
          <w:b w:val="1"/>
          <w:bCs w:val="1"/>
          <w:color w:val="auto"/>
        </w:rPr>
        <w:t>Quantitative and Qualitative Disclosure About Market Risk</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Risk Policy and Assessment Committee and the Finance and Business Committee, which meet on a regular basis and monitor and control the risks in each specific area. At the management level, the Bank has a Risk Management Department that measures and controls overall risk management of the Bank (credit, operational and market risk).</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Interest Rate Risk Management and Sensitivity</w:t>
      </w:r>
    </w:p>
    <w:p>
      <w:pPr>
        <w:spacing w:after="0" w:line="225"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tables below list the notional amounts and weighted interest rates, as of December 31, 2020 and 2019, for derivative financial instruments and other financial instruments that are sensitive to changes in interest rates, including the Bank’s investment securities, loans, borrowings and placements, interest rate swaps, cross currency swaps and forward currency exchange agreements.</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22" w:name="page123"/>
    <w:bookmarkEnd w:id="122"/>
    <w:p>
      <w:pPr>
        <w:spacing w:after="0"/>
        <w:rPr>
          <w:sz w:val="20"/>
          <w:szCs w:val="20"/>
          <w:color w:val="auto"/>
        </w:rPr>
      </w:pPr>
      <w:r>
        <w:rPr>
          <w:rFonts w:ascii="Arial" w:cs="Arial" w:eastAsia="Arial" w:hAnsi="Arial"/>
          <w:sz w:val="18"/>
          <w:szCs w:val="18"/>
          <w:color w:val="auto"/>
        </w:rPr>
        <w:t>As of December 31, 2020:</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Expected maturity date</w:t>
      </w:r>
    </w:p>
    <w:p>
      <w:pPr>
        <w:spacing w:after="0" w:line="4" w:lineRule="exact"/>
        <w:rPr>
          <w:sz w:val="20"/>
          <w:szCs w:val="20"/>
          <w:color w:val="auto"/>
        </w:rPr>
      </w:pPr>
    </w:p>
    <w:tbl>
      <w:tblPr>
        <w:tblLayout w:type="fixed"/>
        <w:tblInd w:w="0" w:type="dxa"/>
        <w:tblCellMar>
          <w:top w:w="0" w:type="dxa"/>
          <w:left w:w="0" w:type="dxa"/>
          <w:bottom w:w="0" w:type="dxa"/>
          <w:right w:w="0" w:type="dxa"/>
        </w:tblCellMar>
      </w:tblPr>
      <w:tr>
        <w:trPr>
          <w:trHeight w:val="110"/>
        </w:trPr>
        <w:tc>
          <w:tcPr>
            <w:tcW w:w="328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60" w:type="dxa"/>
            <w:vAlign w:val="bottom"/>
            <w:tcBorders>
              <w:top w:val="single" w:sz="8" w:color="auto"/>
            </w:tcBorders>
            <w:gridSpan w:val="2"/>
          </w:tcPr>
          <w:p>
            <w:pPr>
              <w:jc w:val="center"/>
              <w:ind w:right="140"/>
              <w:spacing w:after="0" w:line="110" w:lineRule="exact"/>
              <w:rPr>
                <w:sz w:val="20"/>
                <w:szCs w:val="20"/>
                <w:color w:val="auto"/>
              </w:rPr>
            </w:pPr>
            <w:r>
              <w:rPr>
                <w:rFonts w:ascii="Arial" w:cs="Arial" w:eastAsia="Arial" w:hAnsi="Arial"/>
                <w:sz w:val="12"/>
                <w:szCs w:val="12"/>
                <w:b w:val="1"/>
                <w:bCs w:val="1"/>
                <w:color w:val="auto"/>
                <w:w w:val="99"/>
              </w:rPr>
              <w:t>Fair</w:t>
            </w: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gridSpan w:val="2"/>
          </w:tcPr>
          <w:p>
            <w:pPr>
              <w:jc w:val="right"/>
              <w:ind w:right="380"/>
              <w:spacing w:after="0" w:line="135" w:lineRule="exact"/>
              <w:rPr>
                <w:sz w:val="20"/>
                <w:szCs w:val="20"/>
                <w:color w:val="auto"/>
              </w:rPr>
            </w:pPr>
            <w:r>
              <w:rPr>
                <w:rFonts w:ascii="Arial" w:cs="Arial" w:eastAsia="Arial" w:hAnsi="Arial"/>
                <w:sz w:val="13"/>
                <w:szCs w:val="13"/>
                <w:b w:val="1"/>
                <w:bCs w:val="1"/>
                <w:color w:val="auto"/>
              </w:rPr>
              <w:t>There-</w:t>
            </w:r>
          </w:p>
        </w:tc>
        <w:tc>
          <w:tcPr>
            <w:tcW w:w="880" w:type="dxa"/>
            <w:vAlign w:val="bottom"/>
            <w:gridSpan w:val="2"/>
          </w:tcPr>
          <w:p>
            <w:pPr>
              <w:ind w:left="100"/>
              <w:spacing w:after="0" w:line="135" w:lineRule="exact"/>
              <w:rPr>
                <w:sz w:val="20"/>
                <w:szCs w:val="20"/>
                <w:color w:val="auto"/>
              </w:rPr>
            </w:pPr>
            <w:r>
              <w:rPr>
                <w:rFonts w:ascii="Arial" w:cs="Arial" w:eastAsia="Arial" w:hAnsi="Arial"/>
                <w:sz w:val="13"/>
                <w:szCs w:val="13"/>
                <w:b w:val="1"/>
                <w:bCs w:val="1"/>
                <w:color w:val="auto"/>
              </w:rPr>
              <w:t>Without</w:t>
            </w:r>
          </w:p>
        </w:tc>
        <w:tc>
          <w:tcPr>
            <w:tcW w:w="880" w:type="dxa"/>
            <w:vAlign w:val="bottom"/>
            <w:gridSpan w:val="2"/>
          </w:tcPr>
          <w:p>
            <w:pPr>
              <w:jc w:val="right"/>
              <w:ind w:right="440"/>
              <w:spacing w:after="0" w:line="135" w:lineRule="exact"/>
              <w:rPr>
                <w:sz w:val="20"/>
                <w:szCs w:val="20"/>
                <w:color w:val="auto"/>
              </w:rPr>
            </w:pPr>
            <w:r>
              <w:rPr>
                <w:rFonts w:ascii="Arial" w:cs="Arial" w:eastAsia="Arial" w:hAnsi="Arial"/>
                <w:sz w:val="13"/>
                <w:szCs w:val="13"/>
                <w:b w:val="1"/>
                <w:bCs w:val="1"/>
                <w:color w:val="auto"/>
              </w:rPr>
              <w:t>Total</w:t>
            </w:r>
          </w:p>
        </w:tc>
        <w:tc>
          <w:tcPr>
            <w:tcW w:w="760" w:type="dxa"/>
            <w:vAlign w:val="bottom"/>
            <w:gridSpan w:val="2"/>
          </w:tcPr>
          <w:p>
            <w:pPr>
              <w:jc w:val="center"/>
              <w:ind w:right="160"/>
              <w:spacing w:after="0" w:line="135" w:lineRule="exact"/>
              <w:rPr>
                <w:sz w:val="20"/>
                <w:szCs w:val="20"/>
                <w:color w:val="auto"/>
              </w:rPr>
            </w:pPr>
            <w:r>
              <w:rPr>
                <w:rFonts w:ascii="Arial" w:cs="Arial" w:eastAsia="Arial" w:hAnsi="Arial"/>
                <w:sz w:val="13"/>
                <w:szCs w:val="13"/>
                <w:b w:val="1"/>
                <w:bCs w:val="1"/>
                <w:color w:val="auto"/>
                <w:w w:val="84"/>
              </w:rPr>
              <w:t>value</w:t>
            </w:r>
          </w:p>
        </w:tc>
      </w:tr>
      <w:tr>
        <w:trPr>
          <w:trHeight w:val="153"/>
        </w:trPr>
        <w:tc>
          <w:tcPr>
            <w:tcW w:w="3280" w:type="dxa"/>
            <w:vAlign w:val="bottom"/>
          </w:tcPr>
          <w:p>
            <w:pPr>
              <w:spacing w:after="0"/>
              <w:rPr>
                <w:sz w:val="13"/>
                <w:szCs w:val="13"/>
                <w:color w:val="auto"/>
              </w:rPr>
            </w:pPr>
          </w:p>
        </w:tc>
        <w:tc>
          <w:tcPr>
            <w:tcW w:w="68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2021</w:t>
            </w:r>
          </w:p>
        </w:tc>
        <w:tc>
          <w:tcPr>
            <w:tcW w:w="240" w:type="dxa"/>
            <w:vAlign w:val="bottom"/>
          </w:tcPr>
          <w:p>
            <w:pPr>
              <w:spacing w:after="0"/>
              <w:rPr>
                <w:sz w:val="13"/>
                <w:szCs w:val="13"/>
                <w:color w:val="auto"/>
              </w:rPr>
            </w:pPr>
          </w:p>
        </w:tc>
        <w:tc>
          <w:tcPr>
            <w:tcW w:w="70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2022</w:t>
            </w:r>
          </w:p>
        </w:tc>
        <w:tc>
          <w:tcPr>
            <w:tcW w:w="240" w:type="dxa"/>
            <w:vAlign w:val="bottom"/>
          </w:tcPr>
          <w:p>
            <w:pPr>
              <w:spacing w:after="0"/>
              <w:rPr>
                <w:sz w:val="13"/>
                <w:szCs w:val="13"/>
                <w:color w:val="auto"/>
              </w:rPr>
            </w:pPr>
          </w:p>
        </w:tc>
        <w:tc>
          <w:tcPr>
            <w:tcW w:w="68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2023</w:t>
            </w:r>
          </w:p>
        </w:tc>
        <w:tc>
          <w:tcPr>
            <w:tcW w:w="240" w:type="dxa"/>
            <w:vAlign w:val="bottom"/>
          </w:tcPr>
          <w:p>
            <w:pPr>
              <w:spacing w:after="0"/>
              <w:rPr>
                <w:sz w:val="13"/>
                <w:szCs w:val="13"/>
                <w:color w:val="auto"/>
              </w:rPr>
            </w:pPr>
          </w:p>
        </w:tc>
        <w:tc>
          <w:tcPr>
            <w:tcW w:w="68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2024</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2025</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after</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37"/>
              <w:spacing w:after="0"/>
              <w:rPr>
                <w:sz w:val="20"/>
                <w:szCs w:val="20"/>
                <w:color w:val="auto"/>
              </w:rPr>
            </w:pPr>
            <w:r>
              <w:rPr>
                <w:rFonts w:ascii="Arial" w:cs="Arial" w:eastAsia="Arial" w:hAnsi="Arial"/>
                <w:sz w:val="13"/>
                <w:szCs w:val="13"/>
                <w:b w:val="1"/>
                <w:bCs w:val="1"/>
                <w:color w:val="auto"/>
              </w:rPr>
              <w:t>maturity</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2020</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2020</w:t>
            </w:r>
          </w:p>
        </w:tc>
        <w:tc>
          <w:tcPr>
            <w:tcW w:w="100" w:type="dxa"/>
            <w:vAlign w:val="bottom"/>
          </w:tcPr>
          <w:p>
            <w:pPr>
              <w:spacing w:after="0"/>
              <w:rPr>
                <w:sz w:val="13"/>
                <w:szCs w:val="13"/>
                <w:color w:val="auto"/>
              </w:rPr>
            </w:pPr>
          </w:p>
        </w:tc>
      </w:tr>
      <w:tr>
        <w:trPr>
          <w:trHeight w:val="115"/>
        </w:trPr>
        <w:tc>
          <w:tcPr>
            <w:tcW w:w="32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540" w:type="dxa"/>
            <w:vAlign w:val="bottom"/>
            <w:gridSpan w:val="5"/>
          </w:tcPr>
          <w:p>
            <w:pPr>
              <w:jc w:val="right"/>
              <w:ind w:right="317"/>
              <w:spacing w:after="0" w:line="115" w:lineRule="exact"/>
              <w:rPr>
                <w:sz w:val="20"/>
                <w:szCs w:val="20"/>
                <w:color w:val="auto"/>
              </w:rPr>
            </w:pPr>
            <w:r>
              <w:rPr>
                <w:rFonts w:ascii="Arial" w:cs="Arial" w:eastAsia="Arial" w:hAnsi="Arial"/>
                <w:sz w:val="13"/>
                <w:szCs w:val="13"/>
                <w:b w:val="1"/>
                <w:bCs w:val="1"/>
                <w:color w:val="auto"/>
              </w:rPr>
              <w:t>($ Equivalent in thousands)</w:t>
            </w: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ASSETS: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Securities and other financial assets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74,653</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160,978</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151,330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8,461</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395,422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399,458</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4.21%</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2.76%</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4.02%</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3.10%</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Brazilian Real</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Loans at amortized cost</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2,363,202</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60,999</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31,759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3,389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3,944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7,733</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2,471,026</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2,482,753</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2.44%</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4.03%</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5.50%</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4.68%</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4.68%</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2.53%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73,518</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73,518</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73,494</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7.28%</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7.28%</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Floating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1,153,404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560,402</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174,755</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163,440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37,495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91,191</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2,180,687</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2,202,747</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1.95%</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3.84%</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2.86%</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2.85%</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4.59%</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2.02%</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2.63%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76,515</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48,409</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31,148</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12,427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17,667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186,166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186,255</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7.70%</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7.99%</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8.22%</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8.34%</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8.51%</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7.98%</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LIABILITIES: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95,922</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40,036</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400,000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535,958</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538,436</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1.30%</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2.04%</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2.38%</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2,874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49</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205,917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208,840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216,192</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8.22%</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8.99%</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6.94%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6.96%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Euro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64,757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12,238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24,475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101,470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105,507</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3.54%</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0.90%</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0.90%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2.59%</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Japanese Yen</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71,591</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71,591</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71,751</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0.52%</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Australian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color w:val="auto"/>
              </w:rPr>
              <w:t>Floating rate</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462,456</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160,000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62,500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684,956</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685,695</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1.13%</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1.52%</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1.44%</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1.25%</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82,390</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253,499</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45,937</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381,826</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382,801</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5.03%</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4.87%</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5.05%</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4.93%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 – Investment Securities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5,000</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5,000</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(71)</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3.25%</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3.25%</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1.23%</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 – Loans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10,667</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10,667</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(72)</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4.05%</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4.05%</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1.61%</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1.61%</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 – Borrowings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70,000</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40,000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110,000</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(167)</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1.52%</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2.04%</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1.71%</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2.15%</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2.04%</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2.11%</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 – Issuances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20,000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20,000</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(1,015)</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3.70%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3.70%</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Receive 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1,069</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1,069</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1,937</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4,075</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4,340</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4.15%</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4.15%</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4.15%</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4.15%</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Pay 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271,646</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68,768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197,854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23,654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561,922</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(593,915)</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2.22%</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2.12%</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2.17%</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1.01%</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2.79%</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1.90%</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Receive Mexican Peso</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200,815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205,083</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405,898</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428,757</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Mexican Peso fixed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6.97%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6.97%</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4.87%</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4.87%</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Pay 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987</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987</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1,789</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3,763</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(3,983)</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7.98%</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7.98%</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7.98%</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7.98%</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Euro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61,188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12,238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24,475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97,901</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112,309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3.75%</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0.90%</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0.90%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1.85%</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Japanese Yen</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71,688</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71,688</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72,759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Japanese Yen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0.52%</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Australian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FORWARD CURRENCY EXCHANGE AGREEMENTS: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Receive U.S. Dollars/ Pay Mexican Pesos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71,353</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71,353</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(3,589)</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21.51%</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21.51%</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Receive U.S. Dollars/ Pay Brazilian Reales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368</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368</w:t>
            </w:r>
          </w:p>
        </w:tc>
        <w:tc>
          <w:tcPr>
            <w:tcW w:w="7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5.43%</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5.43%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Receive U.S. Dollars/ Pay Euro Dollars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6"/>
        </w:trPr>
        <w:tc>
          <w:tcPr>
            <w:tcW w:w="3280" w:type="dxa"/>
            <w:vAlign w:val="bottom"/>
          </w:tcPr>
          <w:p>
            <w:pPr>
              <w:ind w:left="180"/>
              <w:spacing w:after="0" w:line="136" w:lineRule="exact"/>
              <w:rPr>
                <w:sz w:val="20"/>
                <w:szCs w:val="20"/>
                <w:color w:val="auto"/>
              </w:rPr>
            </w:pPr>
            <w:r>
              <w:rPr>
                <w:rFonts w:ascii="Arial" w:cs="Arial" w:eastAsia="Arial" w:hAnsi="Arial"/>
                <w:sz w:val="13"/>
                <w:szCs w:val="13"/>
                <w:color w:val="auto"/>
              </w:rPr>
              <w:t>Average exchange rate</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bl>
    <w:p>
      <w:pPr>
        <w:spacing w:after="0" w:line="25" w:lineRule="exact"/>
        <w:rPr>
          <w:sz w:val="20"/>
          <w:szCs w:val="20"/>
          <w:color w:val="auto"/>
        </w:rPr>
      </w:pPr>
    </w:p>
    <w:p>
      <w:pPr>
        <w:ind w:left="5500" w:right="2620" w:hanging="5492"/>
        <w:spacing w:after="0" w:line="740" w:lineRule="auto"/>
        <w:tabs>
          <w:tab w:leader="none" w:pos="235" w:val="left"/>
        </w:tabs>
        <w:numPr>
          <w:ilvl w:val="0"/>
          <w:numId w:val="97"/>
        </w:numPr>
        <w:rPr>
          <w:rFonts w:ascii="Arial" w:cs="Arial" w:eastAsia="Arial" w:hAnsi="Arial"/>
          <w:sz w:val="27"/>
          <w:szCs w:val="27"/>
          <w:color w:val="auto"/>
          <w:vertAlign w:val="superscript"/>
        </w:rPr>
      </w:pPr>
      <w:r>
        <w:rPr>
          <w:rFonts w:ascii="Arial" w:cs="Arial" w:eastAsia="Arial" w:hAnsi="Arial"/>
          <w:sz w:val="16"/>
          <w:szCs w:val="16"/>
          <w:color w:val="auto"/>
        </w:rPr>
        <w:t>Borrowings and placements include Repos, short and long-term borrowings and debt, gross of prepaid commissions. 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-409575</wp:posOffset>
            </wp:positionV>
            <wp:extent cx="71323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3" w:name="page124"/>
    <w:bookmarkEnd w:id="123"/>
    <w:p>
      <w:pPr>
        <w:spacing w:after="0"/>
        <w:rPr>
          <w:sz w:val="20"/>
          <w:szCs w:val="20"/>
          <w:color w:val="auto"/>
        </w:rPr>
      </w:pPr>
      <w:r>
        <w:rPr>
          <w:rFonts w:ascii="Arial" w:cs="Arial" w:eastAsia="Arial" w:hAnsi="Arial"/>
          <w:sz w:val="18"/>
          <w:szCs w:val="18"/>
          <w:color w:val="auto"/>
        </w:rPr>
        <w:t>As of December 31, 2019:</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Expected maturity date</w:t>
      </w:r>
    </w:p>
    <w:p>
      <w:pPr>
        <w:spacing w:after="0" w:line="4" w:lineRule="exact"/>
        <w:rPr>
          <w:sz w:val="20"/>
          <w:szCs w:val="20"/>
          <w:color w:val="auto"/>
        </w:rPr>
      </w:pPr>
    </w:p>
    <w:tbl>
      <w:tblPr>
        <w:tblLayout w:type="fixed"/>
        <w:tblInd w:w="0" w:type="dxa"/>
        <w:tblCellMar>
          <w:top w:w="0" w:type="dxa"/>
          <w:left w:w="0" w:type="dxa"/>
          <w:bottom w:w="0" w:type="dxa"/>
          <w:right w:w="0" w:type="dxa"/>
        </w:tblCellMar>
      </w:tblPr>
      <w:tr>
        <w:trPr>
          <w:trHeight w:val="110"/>
        </w:trPr>
        <w:tc>
          <w:tcPr>
            <w:tcW w:w="328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70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68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6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60" w:type="dxa"/>
            <w:vAlign w:val="bottom"/>
            <w:tcBorders>
              <w:top w:val="single" w:sz="8" w:color="auto"/>
            </w:tcBorders>
            <w:gridSpan w:val="2"/>
          </w:tcPr>
          <w:p>
            <w:pPr>
              <w:jc w:val="center"/>
              <w:ind w:right="120"/>
              <w:spacing w:after="0" w:line="110" w:lineRule="exact"/>
              <w:rPr>
                <w:sz w:val="20"/>
                <w:szCs w:val="20"/>
                <w:color w:val="auto"/>
              </w:rPr>
            </w:pPr>
            <w:r>
              <w:rPr>
                <w:rFonts w:ascii="Arial" w:cs="Arial" w:eastAsia="Arial" w:hAnsi="Arial"/>
                <w:sz w:val="12"/>
                <w:szCs w:val="12"/>
                <w:b w:val="1"/>
                <w:bCs w:val="1"/>
                <w:color w:val="auto"/>
              </w:rPr>
              <w:t>Fair</w:t>
            </w: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gridSpan w:val="2"/>
          </w:tcPr>
          <w:p>
            <w:pPr>
              <w:jc w:val="right"/>
              <w:ind w:right="380"/>
              <w:spacing w:after="0" w:line="135" w:lineRule="exact"/>
              <w:rPr>
                <w:sz w:val="20"/>
                <w:szCs w:val="20"/>
                <w:color w:val="auto"/>
              </w:rPr>
            </w:pPr>
            <w:r>
              <w:rPr>
                <w:rFonts w:ascii="Arial" w:cs="Arial" w:eastAsia="Arial" w:hAnsi="Arial"/>
                <w:sz w:val="13"/>
                <w:szCs w:val="13"/>
                <w:b w:val="1"/>
                <w:bCs w:val="1"/>
                <w:color w:val="auto"/>
              </w:rPr>
              <w:t>There-</w:t>
            </w:r>
          </w:p>
        </w:tc>
        <w:tc>
          <w:tcPr>
            <w:tcW w:w="880" w:type="dxa"/>
            <w:vAlign w:val="bottom"/>
            <w:gridSpan w:val="2"/>
          </w:tcPr>
          <w:p>
            <w:pPr>
              <w:ind w:left="100"/>
              <w:spacing w:after="0" w:line="135" w:lineRule="exact"/>
              <w:rPr>
                <w:sz w:val="20"/>
                <w:szCs w:val="20"/>
                <w:color w:val="auto"/>
              </w:rPr>
            </w:pPr>
            <w:r>
              <w:rPr>
                <w:rFonts w:ascii="Arial" w:cs="Arial" w:eastAsia="Arial" w:hAnsi="Arial"/>
                <w:sz w:val="13"/>
                <w:szCs w:val="13"/>
                <w:b w:val="1"/>
                <w:bCs w:val="1"/>
                <w:color w:val="auto"/>
              </w:rPr>
              <w:t>Without</w:t>
            </w:r>
          </w:p>
        </w:tc>
        <w:tc>
          <w:tcPr>
            <w:tcW w:w="880" w:type="dxa"/>
            <w:vAlign w:val="bottom"/>
            <w:gridSpan w:val="2"/>
          </w:tcPr>
          <w:p>
            <w:pPr>
              <w:jc w:val="right"/>
              <w:ind w:right="420"/>
              <w:spacing w:after="0" w:line="135" w:lineRule="exact"/>
              <w:rPr>
                <w:sz w:val="20"/>
                <w:szCs w:val="20"/>
                <w:color w:val="auto"/>
              </w:rPr>
            </w:pPr>
            <w:r>
              <w:rPr>
                <w:rFonts w:ascii="Arial" w:cs="Arial" w:eastAsia="Arial" w:hAnsi="Arial"/>
                <w:sz w:val="13"/>
                <w:szCs w:val="13"/>
                <w:b w:val="1"/>
                <w:bCs w:val="1"/>
                <w:color w:val="auto"/>
              </w:rPr>
              <w:t>Total</w:t>
            </w:r>
          </w:p>
        </w:tc>
        <w:tc>
          <w:tcPr>
            <w:tcW w:w="760" w:type="dxa"/>
            <w:vAlign w:val="bottom"/>
            <w:gridSpan w:val="2"/>
          </w:tcPr>
          <w:p>
            <w:pPr>
              <w:jc w:val="center"/>
              <w:ind w:right="120"/>
              <w:spacing w:after="0" w:line="135" w:lineRule="exact"/>
              <w:rPr>
                <w:sz w:val="20"/>
                <w:szCs w:val="20"/>
                <w:color w:val="auto"/>
              </w:rPr>
            </w:pPr>
            <w:r>
              <w:rPr>
                <w:rFonts w:ascii="Arial" w:cs="Arial" w:eastAsia="Arial" w:hAnsi="Arial"/>
                <w:sz w:val="13"/>
                <w:szCs w:val="13"/>
                <w:b w:val="1"/>
                <w:bCs w:val="1"/>
                <w:color w:val="auto"/>
                <w:w w:val="84"/>
              </w:rPr>
              <w:t>value</w:t>
            </w:r>
          </w:p>
        </w:tc>
      </w:tr>
      <w:tr>
        <w:trPr>
          <w:trHeight w:val="153"/>
        </w:trPr>
        <w:tc>
          <w:tcPr>
            <w:tcW w:w="3280" w:type="dxa"/>
            <w:vAlign w:val="bottom"/>
          </w:tcPr>
          <w:p>
            <w:pPr>
              <w:spacing w:after="0"/>
              <w:rPr>
                <w:sz w:val="13"/>
                <w:szCs w:val="13"/>
                <w:color w:val="auto"/>
              </w:rPr>
            </w:pPr>
          </w:p>
        </w:tc>
        <w:tc>
          <w:tcPr>
            <w:tcW w:w="68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2020</w:t>
            </w:r>
          </w:p>
        </w:tc>
        <w:tc>
          <w:tcPr>
            <w:tcW w:w="240" w:type="dxa"/>
            <w:vAlign w:val="bottom"/>
          </w:tcPr>
          <w:p>
            <w:pPr>
              <w:spacing w:after="0"/>
              <w:rPr>
                <w:sz w:val="13"/>
                <w:szCs w:val="13"/>
                <w:color w:val="auto"/>
              </w:rPr>
            </w:pPr>
          </w:p>
        </w:tc>
        <w:tc>
          <w:tcPr>
            <w:tcW w:w="70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2021</w:t>
            </w:r>
          </w:p>
        </w:tc>
        <w:tc>
          <w:tcPr>
            <w:tcW w:w="240" w:type="dxa"/>
            <w:vAlign w:val="bottom"/>
          </w:tcPr>
          <w:p>
            <w:pPr>
              <w:spacing w:after="0"/>
              <w:rPr>
                <w:sz w:val="13"/>
                <w:szCs w:val="13"/>
                <w:color w:val="auto"/>
              </w:rPr>
            </w:pPr>
          </w:p>
        </w:tc>
        <w:tc>
          <w:tcPr>
            <w:tcW w:w="68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2022</w:t>
            </w:r>
          </w:p>
        </w:tc>
        <w:tc>
          <w:tcPr>
            <w:tcW w:w="240" w:type="dxa"/>
            <w:vAlign w:val="bottom"/>
          </w:tcPr>
          <w:p>
            <w:pPr>
              <w:spacing w:after="0"/>
              <w:rPr>
                <w:sz w:val="13"/>
                <w:szCs w:val="13"/>
                <w:color w:val="auto"/>
              </w:rPr>
            </w:pPr>
          </w:p>
        </w:tc>
        <w:tc>
          <w:tcPr>
            <w:tcW w:w="68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2023</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2024</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after</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37"/>
              <w:spacing w:after="0"/>
              <w:rPr>
                <w:sz w:val="20"/>
                <w:szCs w:val="20"/>
                <w:color w:val="auto"/>
              </w:rPr>
            </w:pPr>
            <w:r>
              <w:rPr>
                <w:rFonts w:ascii="Arial" w:cs="Arial" w:eastAsia="Arial" w:hAnsi="Arial"/>
                <w:sz w:val="13"/>
                <w:szCs w:val="13"/>
                <w:b w:val="1"/>
                <w:bCs w:val="1"/>
                <w:color w:val="auto"/>
              </w:rPr>
              <w:t>maturity</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2019</w:t>
            </w:r>
          </w:p>
        </w:tc>
        <w:tc>
          <w:tcPr>
            <w:tcW w:w="220" w:type="dxa"/>
            <w:vAlign w:val="bottom"/>
          </w:tcPr>
          <w:p>
            <w:pPr>
              <w:spacing w:after="0"/>
              <w:rPr>
                <w:sz w:val="13"/>
                <w:szCs w:val="13"/>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2019</w:t>
            </w:r>
          </w:p>
        </w:tc>
        <w:tc>
          <w:tcPr>
            <w:tcW w:w="100" w:type="dxa"/>
            <w:vAlign w:val="bottom"/>
          </w:tcPr>
          <w:p>
            <w:pPr>
              <w:spacing w:after="0"/>
              <w:rPr>
                <w:sz w:val="13"/>
                <w:szCs w:val="13"/>
                <w:color w:val="auto"/>
              </w:rPr>
            </w:pPr>
          </w:p>
        </w:tc>
      </w:tr>
      <w:tr>
        <w:trPr>
          <w:trHeight w:val="115"/>
        </w:trPr>
        <w:tc>
          <w:tcPr>
            <w:tcW w:w="32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2540" w:type="dxa"/>
            <w:vAlign w:val="bottom"/>
            <w:gridSpan w:val="5"/>
          </w:tcPr>
          <w:p>
            <w:pPr>
              <w:jc w:val="right"/>
              <w:ind w:right="317"/>
              <w:spacing w:after="0" w:line="115" w:lineRule="exact"/>
              <w:rPr>
                <w:sz w:val="20"/>
                <w:szCs w:val="20"/>
                <w:color w:val="auto"/>
              </w:rPr>
            </w:pPr>
            <w:r>
              <w:rPr>
                <w:rFonts w:ascii="Arial" w:cs="Arial" w:eastAsia="Arial" w:hAnsi="Arial"/>
                <w:sz w:val="13"/>
                <w:szCs w:val="13"/>
                <w:b w:val="1"/>
                <w:bCs w:val="1"/>
                <w:color w:val="auto"/>
              </w:rPr>
              <w:t>($ Equivalent in thousands)</w:t>
            </w: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ASSETS: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Securities and other financial assets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28,294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34,813</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16,533</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6,492</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86,132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87,310</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4.29%</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4.40%</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5.06%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4.16%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Brazilian Real</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1,889</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1,889</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1,889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Loans at amortized cost</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2,454,136</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150,292</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28,649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13,959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689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8,572</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2,656,297</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2,828,044</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3.55%</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4.45%</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4.97%</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7.54%</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4.00%</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3.64%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96,643</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96,643</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95,623</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9.76%</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9.76%</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4,394</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4,394</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4,286</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1.20%</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1.20%</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Floating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1,587,324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474,139</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531,892</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146,517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128,131</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105,813</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2,973,816</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3,034,889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3.63%</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5.57%</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5.41%</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4.65%</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4.09%</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4.02%</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4.34%</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60,014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47,613</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29,010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13,898</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5,170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6,142</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161,847</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158,286</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10.33%</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10.57%</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10.66%</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10.79%</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11.29%</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11.24%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10.57%</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LIABILITIES: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75"/>
        </w:trPr>
        <w:tc>
          <w:tcPr>
            <w:tcW w:w="3280" w:type="dxa"/>
            <w:vAlign w:val="bottom"/>
          </w:tcPr>
          <w:p>
            <w:pPr>
              <w:spacing w:after="0" w:line="176" w:lineRule="exact"/>
              <w:rPr>
                <w:sz w:val="20"/>
                <w:szCs w:val="20"/>
                <w:color w:val="auto"/>
              </w:rPr>
            </w:pPr>
            <w:r>
              <w:rPr>
                <w:rFonts w:ascii="Arial" w:cs="Arial" w:eastAsia="Arial" w:hAnsi="Arial"/>
                <w:sz w:val="13"/>
                <w:szCs w:val="13"/>
                <w:b w:val="1"/>
                <w:bCs w:val="1"/>
                <w:color w:val="auto"/>
              </w:rPr>
              <w:t xml:space="preserve">Borrowings and Placements </w:t>
            </w:r>
            <w:r>
              <w:rPr>
                <w:rFonts w:ascii="Arial" w:cs="Arial" w:eastAsia="Arial" w:hAnsi="Arial"/>
                <w:sz w:val="20"/>
                <w:szCs w:val="20"/>
                <w:b w:val="1"/>
                <w:bCs w:val="1"/>
                <w:color w:val="auto"/>
                <w:vertAlign w:val="superscript"/>
              </w:rPr>
              <w:t>(1)</w:t>
            </w:r>
          </w:p>
        </w:tc>
        <w:tc>
          <w:tcPr>
            <w:tcW w:w="6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7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6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Fixed rate</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1,049,567</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30,074</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1,079,641</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1,082,969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2.57%</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2.85%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2.58%</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7,242</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3,031</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52</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10,325</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10,369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6.96%</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8.22%</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8.99%</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7.34%</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Euro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59,465</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59,465</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55,637</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3.54%</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3.54%</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Japanese Yen</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67,831</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67,831</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68,093</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Australian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21,083</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21,083</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21,084</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3.33%</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3.33%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color w:val="auto"/>
              </w:rPr>
              <w:t>Floating rate</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916,500</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495,500</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60,000</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62,500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1,534,500</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1,542,633</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2.23%</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2.96%</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3.27%</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2.54%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120,619</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1,488</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267,336</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389,443</w:t>
            </w:r>
          </w:p>
        </w:tc>
        <w:tc>
          <w:tcPr>
            <w:tcW w:w="7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386,078</w:t>
            </w: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floating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8.08%</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9.06%</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8.15%</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8.13%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INTEREST RATE SWAPS: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Investment Securities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5,000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5,000</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(0.045)</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3.25%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3.25%</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2.99%</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2/99%</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Loans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16,000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16,000</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(0.156)</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4.05%</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4.05%</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3.36%</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3.36%</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Borrowings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50,000</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25,000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75,000</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0.059</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3.07%</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2.71%</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2.54%</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2.81%</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2.72%</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Interest Rate Swaps – Issuances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to floating</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350,000</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5,000</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20,000</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375,000</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(0.988)</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pay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3.55%</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3.69%</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3.70%</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3.66%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Average receive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3.25%</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2.85%</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2.97%</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2.01%</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Cross Currency Swaps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2,110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8,764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10.874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5.62%</w:t>
            </w:r>
          </w:p>
        </w:tc>
        <w:tc>
          <w:tcPr>
            <w:tcW w:w="9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5.72%</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5.67%</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Pay U.S. Dollars</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21,064</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279,422</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56,063</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356,549</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U.S. Dollars fixed rate</w:t>
            </w:r>
          </w:p>
        </w:tc>
        <w:tc>
          <w:tcPr>
            <w:tcW w:w="9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2.53%</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2.53%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U.S. Dollars floating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2.64%</w:t>
            </w: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4.49%</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3.01%</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211,308</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211,308</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8.13%</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8.13%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Pay Mexican Peso</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2,110</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8,764</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10,874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Mexican Peso floating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w:t>
            </w:r>
          </w:p>
        </w:tc>
        <w:tc>
          <w:tcPr>
            <w:tcW w:w="9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11.2%</w:t>
            </w: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11.1%</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Euro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56,063</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56,063</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Euro Dollar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3.75%</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3.75%</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Japanese Yen</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68,114</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68,114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Japanese Yen fixed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0.52%</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Australian Dollar</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21,064</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21.064</w:t>
            </w: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Australian Dollar fixed rate</w:t>
            </w:r>
          </w:p>
        </w:tc>
        <w:tc>
          <w:tcPr>
            <w:tcW w:w="92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3.33%</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3.33%</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35"/>
        </w:trPr>
        <w:tc>
          <w:tcPr>
            <w:tcW w:w="3280" w:type="dxa"/>
            <w:vAlign w:val="bottom"/>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FORWARD CURRENCY EXCHANGE AGREEMENTS:</w:t>
            </w: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 Pay Mexican Pesos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67,299</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67,299</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(2,55)</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19.68</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19.68</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 Pay Brazilian Reales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2,080</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2,080</w:t>
            </w:r>
          </w:p>
        </w:tc>
        <w:tc>
          <w:tcPr>
            <w:tcW w:w="7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(0,0234)</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4.06</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4.06</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35"/>
        </w:trPr>
        <w:tc>
          <w:tcPr>
            <w:tcW w:w="3280" w:type="dxa"/>
            <w:vAlign w:val="bottom"/>
          </w:tcPr>
          <w:p>
            <w:pPr>
              <w:ind w:left="180"/>
              <w:spacing w:after="0" w:line="135" w:lineRule="exact"/>
              <w:rPr>
                <w:sz w:val="20"/>
                <w:szCs w:val="20"/>
                <w:color w:val="auto"/>
              </w:rPr>
            </w:pPr>
            <w:r>
              <w:rPr>
                <w:rFonts w:ascii="Arial" w:cs="Arial" w:eastAsia="Arial" w:hAnsi="Arial"/>
                <w:sz w:val="13"/>
                <w:szCs w:val="13"/>
                <w:color w:val="auto"/>
              </w:rPr>
              <w:t>Receive U.S. Dollars/ Pay Euro Dollars</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5,162</w:t>
            </w:r>
          </w:p>
        </w:tc>
        <w:tc>
          <w:tcPr>
            <w:tcW w:w="9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5,162</w:t>
            </w:r>
          </w:p>
        </w:tc>
        <w:tc>
          <w:tcPr>
            <w:tcW w:w="7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0,624</w:t>
            </w:r>
          </w:p>
        </w:tc>
      </w:tr>
      <w:tr>
        <w:trPr>
          <w:trHeight w:val="135"/>
        </w:trPr>
        <w:tc>
          <w:tcPr>
            <w:tcW w:w="328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Average exchange rate</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1.29</w:t>
            </w:r>
          </w:p>
        </w:tc>
        <w:tc>
          <w:tcPr>
            <w:tcW w:w="9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1.29</w:t>
            </w: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bl>
    <w:p>
      <w:pPr>
        <w:spacing w:after="0" w:line="26" w:lineRule="exact"/>
        <w:rPr>
          <w:sz w:val="20"/>
          <w:szCs w:val="20"/>
          <w:color w:val="auto"/>
        </w:rPr>
      </w:pPr>
    </w:p>
    <w:p>
      <w:pPr>
        <w:ind w:left="5480" w:right="2620" w:hanging="5472"/>
        <w:spacing w:after="0" w:line="366" w:lineRule="auto"/>
        <w:tabs>
          <w:tab w:leader="none" w:pos="219" w:val="left"/>
        </w:tabs>
        <w:numPr>
          <w:ilvl w:val="0"/>
          <w:numId w:val="98"/>
        </w:numPr>
        <w:rPr>
          <w:rFonts w:ascii="Arial" w:cs="Arial" w:eastAsia="Arial" w:hAnsi="Arial"/>
          <w:sz w:val="25"/>
          <w:szCs w:val="25"/>
          <w:color w:val="auto"/>
          <w:vertAlign w:val="superscript"/>
        </w:rPr>
      </w:pPr>
      <w:r>
        <w:rPr>
          <w:rFonts w:ascii="Arial" w:cs="Arial" w:eastAsia="Arial" w:hAnsi="Arial"/>
          <w:sz w:val="15"/>
          <w:szCs w:val="15"/>
          <w:color w:val="auto"/>
        </w:rPr>
        <w:t>Borrowings and placements include Repos, short and long-term borrowings and debt, gross of prepaid commissions. 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279400</wp:posOffset>
            </wp:positionV>
            <wp:extent cx="71323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4" w:name="page125"/>
    <w:bookmarkEnd w:id="124"/>
    <w:p>
      <w:pPr>
        <w:jc w:val="both"/>
        <w:spacing w:after="0" w:line="259" w:lineRule="auto"/>
        <w:rPr>
          <w:sz w:val="20"/>
          <w:szCs w:val="20"/>
          <w:color w:val="auto"/>
        </w:rPr>
      </w:pPr>
      <w:r>
        <w:rPr>
          <w:rFonts w:ascii="Arial" w:cs="Arial" w:eastAsia="Arial" w:hAnsi="Arial"/>
          <w:sz w:val="18"/>
          <w:szCs w:val="18"/>
          <w:color w:val="auto"/>
        </w:rPr>
        <w:t>Although certain assets and liabilities may have similar maturities or periods of re-pricing, they may be impacted in varying degrees by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Foreign Exchange Risk Management and Sensitivity</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accepts deposits and raises funds principally in U.S. dollars, and makes most loans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does not run any foreign exchange trading business nor does it maintain open positions in any currencies beyond the minimum operational balances required to run the business of its representative offices and the foreign currency-denominated assets, liabilities and hedging derivative instruments.</w:t>
      </w:r>
    </w:p>
    <w:p>
      <w:pPr>
        <w:spacing w:after="0" w:line="184"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Most of the Bank’s assets and most of its liabilities are denominated in U.S. dollars and, therefore, the Bank has no significant foreign exchange risk, nor does it hold material open foreign exchange positions. As of December 31, 2020, the Bank had an equivalent of $184 million in non-U.S. dollar financial assets and $184 million of non-U.S. dollar financial liabilities, reflecting a net currency position of $0.3 million. Most of this net currency position came from the Bank’s Mexican pesos loan book, which as of December 31, 2020 amounted to the equivalent of $184 million, mostly funded with liabilities denominated in the same currency. The rest of the open position is hedged with derivatives in order to avoid any currency mismatch.</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5" w:name="page126"/>
    <w:bookmarkEnd w:id="125"/>
    <w:p>
      <w:pPr>
        <w:spacing w:after="0"/>
        <w:rPr>
          <w:sz w:val="20"/>
          <w:szCs w:val="20"/>
          <w:color w:val="auto"/>
        </w:rPr>
      </w:pPr>
      <w:r>
        <w:rPr>
          <w:rFonts w:ascii="Arial" w:cs="Arial" w:eastAsia="Arial" w:hAnsi="Arial"/>
          <w:sz w:val="18"/>
          <w:szCs w:val="18"/>
          <w:b w:val="1"/>
          <w:bCs w:val="1"/>
          <w:i w:val="1"/>
          <w:iCs w:val="1"/>
          <w:color w:val="auto"/>
        </w:rPr>
        <w:t>Price Risk Management and Sensitivity</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8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table below lists the carrying amount and fair value of the Investment Portfolio and the interest rate swaps associated with this portfolio as of the dates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20" w:type="dxa"/>
            <w:vAlign w:val="bottom"/>
          </w:tcPr>
          <w:p>
            <w:pPr>
              <w:spacing w:after="0"/>
              <w:rPr>
                <w:sz w:val="20"/>
                <w:szCs w:val="20"/>
                <w:color w:val="auto"/>
              </w:rPr>
            </w:pPr>
          </w:p>
        </w:tc>
        <w:tc>
          <w:tcPr>
            <w:tcW w:w="2940" w:type="dxa"/>
            <w:vAlign w:val="bottom"/>
            <w:gridSpan w:val="3"/>
          </w:tcPr>
          <w:p>
            <w:pPr>
              <w:jc w:val="right"/>
              <w:ind w:right="620"/>
              <w:spacing w:after="0"/>
              <w:rPr>
                <w:sz w:val="20"/>
                <w:szCs w:val="20"/>
                <w:color w:val="auto"/>
              </w:rPr>
            </w:pPr>
            <w:r>
              <w:rPr>
                <w:rFonts w:ascii="Arial" w:cs="Arial" w:eastAsia="Arial" w:hAnsi="Arial"/>
                <w:sz w:val="18"/>
                <w:szCs w:val="18"/>
                <w:b w:val="1"/>
                <w:bCs w:val="1"/>
                <w:color w:val="auto"/>
              </w:rPr>
              <w:t>As of December 31, 2020</w:t>
            </w:r>
          </w:p>
        </w:tc>
        <w:tc>
          <w:tcPr>
            <w:tcW w:w="278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As of December 31, 2019</w:t>
            </w:r>
          </w:p>
        </w:tc>
      </w:tr>
      <w:tr>
        <w:trPr>
          <w:trHeight w:val="191"/>
        </w:trPr>
        <w:tc>
          <w:tcPr>
            <w:tcW w:w="5520" w:type="dxa"/>
            <w:vAlign w:val="bottom"/>
          </w:tcPr>
          <w:p>
            <w:pPr>
              <w:spacing w:after="0"/>
              <w:rPr>
                <w:sz w:val="16"/>
                <w:szCs w:val="16"/>
                <w:color w:val="auto"/>
              </w:rPr>
            </w:pPr>
          </w:p>
        </w:tc>
        <w:tc>
          <w:tcPr>
            <w:tcW w:w="1520" w:type="dxa"/>
            <w:vAlign w:val="bottom"/>
            <w:tcBorders>
              <w:top w:val="single" w:sz="8" w:color="auto"/>
            </w:tcBorders>
          </w:tcPr>
          <w:p>
            <w:pPr>
              <w:jc w:val="right"/>
              <w:ind w:right="430"/>
              <w:spacing w:after="0" w:line="191" w:lineRule="exact"/>
              <w:rPr>
                <w:sz w:val="20"/>
                <w:szCs w:val="20"/>
                <w:color w:val="auto"/>
              </w:rPr>
            </w:pPr>
            <w:r>
              <w:rPr>
                <w:rFonts w:ascii="Arial" w:cs="Arial" w:eastAsia="Arial" w:hAnsi="Arial"/>
                <w:sz w:val="18"/>
                <w:szCs w:val="18"/>
                <w:b w:val="1"/>
                <w:bCs w:val="1"/>
                <w:color w:val="auto"/>
              </w:rPr>
              <w:t>Carrying</w:t>
            </w: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tcBorders>
              <w:top w:val="single" w:sz="8" w:color="auto"/>
            </w:tcBorders>
          </w:tcPr>
          <w:p>
            <w:pPr>
              <w:jc w:val="right"/>
              <w:ind w:right="430"/>
              <w:spacing w:after="0" w:line="191" w:lineRule="exact"/>
              <w:rPr>
                <w:sz w:val="20"/>
                <w:szCs w:val="20"/>
                <w:color w:val="auto"/>
              </w:rPr>
            </w:pPr>
            <w:r>
              <w:rPr>
                <w:rFonts w:ascii="Arial" w:cs="Arial" w:eastAsia="Arial" w:hAnsi="Arial"/>
                <w:sz w:val="18"/>
                <w:szCs w:val="18"/>
                <w:b w:val="1"/>
                <w:bCs w:val="1"/>
                <w:color w:val="auto"/>
              </w:rPr>
              <w:t>Carrying</w:t>
            </w:r>
          </w:p>
        </w:tc>
        <w:tc>
          <w:tcPr>
            <w:tcW w:w="12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5520" w:type="dxa"/>
            <w:vAlign w:val="bottom"/>
          </w:tcPr>
          <w:p>
            <w:pPr>
              <w:spacing w:after="0"/>
              <w:rPr>
                <w:sz w:val="20"/>
                <w:szCs w:val="20"/>
                <w:color w:val="auto"/>
              </w:rPr>
            </w:pPr>
          </w:p>
        </w:tc>
        <w:tc>
          <w:tcPr>
            <w:tcW w:w="1520" w:type="dxa"/>
            <w:vAlign w:val="bottom"/>
          </w:tcPr>
          <w:p>
            <w:pPr>
              <w:jc w:val="right"/>
              <w:ind w:right="470"/>
              <w:spacing w:after="0"/>
              <w:rPr>
                <w:sz w:val="20"/>
                <w:szCs w:val="20"/>
                <w:color w:val="auto"/>
              </w:rPr>
            </w:pPr>
            <w:r>
              <w:rPr>
                <w:rFonts w:ascii="Arial" w:cs="Arial" w:eastAsia="Arial" w:hAnsi="Arial"/>
                <w:sz w:val="18"/>
                <w:szCs w:val="18"/>
                <w:b w:val="1"/>
                <w:bCs w:val="1"/>
                <w:color w:val="auto"/>
              </w:rPr>
              <w:t>Amount</w:t>
            </w:r>
          </w:p>
        </w:tc>
        <w:tc>
          <w:tcPr>
            <w:tcW w:w="14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Amount</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520" w:type="dxa"/>
            <w:vAlign w:val="bottom"/>
          </w:tcPr>
          <w:p>
            <w:pPr>
              <w:spacing w:after="0"/>
              <w:rPr>
                <w:sz w:val="18"/>
                <w:szCs w:val="18"/>
                <w:color w:val="auto"/>
              </w:rPr>
            </w:pPr>
          </w:p>
        </w:tc>
        <w:tc>
          <w:tcPr>
            <w:tcW w:w="1520" w:type="dxa"/>
            <w:vAlign w:val="bottom"/>
            <w:tcBorders>
              <w:top w:val="single" w:sz="8" w:color="auto"/>
            </w:tcBorders>
          </w:tcPr>
          <w:p>
            <w:pPr>
              <w:spacing w:after="0"/>
              <w:rPr>
                <w:sz w:val="18"/>
                <w:szCs w:val="18"/>
                <w:color w:val="auto"/>
              </w:rPr>
            </w:pPr>
          </w:p>
        </w:tc>
        <w:tc>
          <w:tcPr>
            <w:tcW w:w="2900" w:type="dxa"/>
            <w:vAlign w:val="bottom"/>
            <w:tcBorders>
              <w:top w:val="single" w:sz="8" w:color="auto"/>
            </w:tcBorders>
            <w:gridSpan w:val="3"/>
          </w:tcPr>
          <w:p>
            <w:pPr>
              <w:jc w:val="right"/>
              <w:ind w:right="930"/>
              <w:spacing w:after="0"/>
              <w:rPr>
                <w:sz w:val="20"/>
                <w:szCs w:val="20"/>
                <w:color w:val="auto"/>
              </w:rPr>
            </w:pPr>
            <w:r>
              <w:rPr>
                <w:rFonts w:ascii="Arial" w:cs="Arial" w:eastAsia="Arial" w:hAnsi="Arial"/>
                <w:sz w:val="18"/>
                <w:szCs w:val="18"/>
                <w:color w:val="auto"/>
              </w:rPr>
              <w:t>(in $ thousands)</w:t>
            </w:r>
          </w:p>
        </w:tc>
        <w:tc>
          <w:tcPr>
            <w:tcW w:w="120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5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INVESTMENT SECURITIES</w:t>
            </w:r>
          </w:p>
        </w:tc>
        <w:tc>
          <w:tcPr>
            <w:tcW w:w="15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7"/>
        </w:trPr>
        <w:tc>
          <w:tcPr>
            <w:tcW w:w="5520" w:type="dxa"/>
            <w:vAlign w:val="bottom"/>
          </w:tcPr>
          <w:p>
            <w:pPr>
              <w:ind w:left="260"/>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520" w:type="dxa"/>
            <w:vAlign w:val="bottom"/>
          </w:tcPr>
          <w:p>
            <w:pPr>
              <w:jc w:val="right"/>
              <w:ind w:right="170"/>
              <w:spacing w:after="0"/>
              <w:rPr>
                <w:sz w:val="20"/>
                <w:szCs w:val="20"/>
                <w:color w:val="auto"/>
              </w:rPr>
            </w:pPr>
            <w:r>
              <w:rPr>
                <w:rFonts w:ascii="Arial" w:cs="Arial" w:eastAsia="Arial" w:hAnsi="Arial"/>
                <w:sz w:val="18"/>
                <w:szCs w:val="18"/>
                <w:color w:val="auto"/>
              </w:rPr>
              <w:t>165,564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168,110</w:t>
            </w:r>
          </w:p>
        </w:tc>
        <w:tc>
          <w:tcPr>
            <w:tcW w:w="1480" w:type="dxa"/>
            <w:vAlign w:val="bottom"/>
          </w:tcPr>
          <w:p>
            <w:pPr>
              <w:jc w:val="right"/>
              <w:ind w:right="170"/>
              <w:spacing w:after="0"/>
              <w:rPr>
                <w:sz w:val="20"/>
                <w:szCs w:val="20"/>
                <w:color w:val="auto"/>
              </w:rPr>
            </w:pPr>
            <w:r>
              <w:rPr>
                <w:rFonts w:ascii="Arial" w:cs="Arial" w:eastAsia="Arial" w:hAnsi="Arial"/>
                <w:sz w:val="18"/>
                <w:szCs w:val="18"/>
                <w:color w:val="auto"/>
              </w:rPr>
              <w:t>75,271</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75,724</w:t>
            </w:r>
          </w:p>
        </w:tc>
      </w:tr>
      <w:tr>
        <w:trPr>
          <w:trHeight w:val="216"/>
        </w:trPr>
        <w:tc>
          <w:tcPr>
            <w:tcW w:w="5520" w:type="dxa"/>
            <w:vAlign w:val="bottom"/>
            <w:shd w:val="clear" w:color="auto" w:fill="CCEEFF"/>
          </w:tcPr>
          <w:p>
            <w:pPr>
              <w:ind w:left="260"/>
              <w:spacing w:after="0"/>
              <w:rPr>
                <w:sz w:val="20"/>
                <w:szCs w:val="20"/>
                <w:color w:val="auto"/>
              </w:rPr>
            </w:pPr>
            <w:r>
              <w:rPr>
                <w:rFonts w:ascii="Arial" w:cs="Arial" w:eastAsia="Arial" w:hAnsi="Arial"/>
                <w:sz w:val="18"/>
                <w:szCs w:val="18"/>
                <w:color w:val="auto"/>
              </w:rPr>
              <w:t>Securities at FVOCI</w:t>
            </w:r>
          </w:p>
        </w:tc>
        <w:tc>
          <w:tcPr>
            <w:tcW w:w="15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231,348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231,348</w:t>
            </w:r>
          </w:p>
        </w:tc>
        <w:tc>
          <w:tcPr>
            <w:tcW w:w="148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6,983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6,983</w:t>
            </w:r>
          </w:p>
        </w:tc>
      </w:tr>
      <w:tr>
        <w:trPr>
          <w:trHeight w:val="258"/>
        </w:trPr>
        <w:tc>
          <w:tcPr>
            <w:tcW w:w="5520" w:type="dxa"/>
            <w:vAlign w:val="bottom"/>
          </w:tcPr>
          <w:p>
            <w:pPr>
              <w:ind w:left="260"/>
              <w:spacing w:after="0" w:line="258" w:lineRule="exact"/>
              <w:rPr>
                <w:sz w:val="20"/>
                <w:szCs w:val="20"/>
                <w:color w:val="auto"/>
              </w:rPr>
            </w:pPr>
            <w:r>
              <w:rPr>
                <w:rFonts w:ascii="Arial" w:cs="Arial" w:eastAsia="Arial" w:hAnsi="Arial"/>
                <w:sz w:val="18"/>
                <w:szCs w:val="18"/>
                <w:color w:val="auto"/>
              </w:rPr>
              <w:t xml:space="preserve">Interest rate swaps </w:t>
            </w:r>
            <w:r>
              <w:rPr>
                <w:rFonts w:ascii="Arial" w:cs="Arial" w:eastAsia="Arial" w:hAnsi="Arial"/>
                <w:sz w:val="29"/>
                <w:szCs w:val="29"/>
                <w:color w:val="auto"/>
                <w:vertAlign w:val="superscript"/>
              </w:rPr>
              <w:t>(2)</w:t>
            </w:r>
          </w:p>
        </w:tc>
        <w:tc>
          <w:tcPr>
            <w:tcW w:w="1520" w:type="dxa"/>
            <w:vAlign w:val="bottom"/>
          </w:tcPr>
          <w:p>
            <w:pPr>
              <w:jc w:val="right"/>
              <w:ind w:right="110"/>
              <w:spacing w:after="0"/>
              <w:rPr>
                <w:sz w:val="20"/>
                <w:szCs w:val="20"/>
                <w:color w:val="auto"/>
              </w:rPr>
            </w:pPr>
            <w:r>
              <w:rPr>
                <w:rFonts w:ascii="Arial" w:cs="Arial" w:eastAsia="Arial" w:hAnsi="Arial"/>
                <w:sz w:val="18"/>
                <w:szCs w:val="18"/>
                <w:color w:val="auto"/>
              </w:rPr>
              <w:t>(101)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(101)</w:t>
            </w:r>
          </w:p>
        </w:tc>
        <w:tc>
          <w:tcPr>
            <w:tcW w:w="1480" w:type="dxa"/>
            <w:vAlign w:val="bottom"/>
          </w:tcPr>
          <w:p>
            <w:pPr>
              <w:jc w:val="right"/>
              <w:ind w:right="110"/>
              <w:spacing w:after="0"/>
              <w:rPr>
                <w:sz w:val="20"/>
                <w:szCs w:val="20"/>
                <w:color w:val="auto"/>
              </w:rPr>
            </w:pPr>
            <w:r>
              <w:rPr>
                <w:rFonts w:ascii="Arial" w:cs="Arial" w:eastAsia="Arial" w:hAnsi="Arial"/>
                <w:sz w:val="18"/>
                <w:szCs w:val="18"/>
                <w:color w:val="auto"/>
              </w:rPr>
              <w:t>(42)</w:t>
            </w:r>
          </w:p>
        </w:tc>
        <w:tc>
          <w:tcPr>
            <w:tcW w:w="1300" w:type="dxa"/>
            <w:vAlign w:val="bottom"/>
            <w:gridSpan w:val="2"/>
          </w:tcPr>
          <w:p>
            <w:pPr>
              <w:jc w:val="right"/>
              <w:ind w:right="40"/>
              <w:spacing w:after="0"/>
              <w:rPr>
                <w:sz w:val="20"/>
                <w:szCs w:val="20"/>
                <w:color w:val="auto"/>
              </w:rPr>
            </w:pPr>
            <w:r>
              <w:rPr>
                <w:rFonts w:ascii="Arial" w:cs="Arial" w:eastAsia="Arial" w:hAnsi="Arial"/>
                <w:sz w:val="18"/>
                <w:szCs w:val="18"/>
                <w:color w:val="auto"/>
              </w:rPr>
              <w:t>(42)</w:t>
            </w:r>
          </w:p>
        </w:tc>
      </w:tr>
    </w:tbl>
    <w:p>
      <w:pPr>
        <w:ind w:left="260" w:right="20" w:hanging="252"/>
        <w:spacing w:after="0" w:line="187" w:lineRule="auto"/>
        <w:tabs>
          <w:tab w:leader="none" w:pos="260" w:val="left"/>
        </w:tabs>
        <w:numPr>
          <w:ilvl w:val="0"/>
          <w:numId w:val="99"/>
        </w:numPr>
        <w:rPr>
          <w:rFonts w:ascii="Arial" w:cs="Arial" w:eastAsia="Arial" w:hAnsi="Arial"/>
          <w:sz w:val="30"/>
          <w:szCs w:val="30"/>
          <w:color w:val="auto"/>
          <w:vertAlign w:val="superscript"/>
        </w:rPr>
      </w:pPr>
      <w:r>
        <w:rPr>
          <w:rFonts w:ascii="Arial" w:cs="Arial" w:eastAsia="Arial" w:hAnsi="Arial"/>
          <w:sz w:val="18"/>
          <w:szCs w:val="18"/>
          <w:color w:val="auto"/>
        </w:rPr>
        <w:t>As of December 31, 2020 and 2019, the carrying value of securities at amortized cost is net of accrued interest receivable of $1.9 million and $0.8 million, and the allowance for expected credit losses of $0.4 million and $0.1 million, respectively.</w:t>
      </w:r>
    </w:p>
    <w:p>
      <w:pPr>
        <w:ind w:left="260" w:hanging="252"/>
        <w:spacing w:after="0" w:line="180" w:lineRule="auto"/>
        <w:tabs>
          <w:tab w:leader="none" w:pos="260" w:val="left"/>
        </w:tabs>
        <w:numPr>
          <w:ilvl w:val="0"/>
          <w:numId w:val="99"/>
        </w:numPr>
        <w:rPr>
          <w:rFonts w:ascii="Arial" w:cs="Arial" w:eastAsia="Arial" w:hAnsi="Arial"/>
          <w:sz w:val="25"/>
          <w:szCs w:val="25"/>
          <w:color w:val="auto"/>
          <w:vertAlign w:val="superscript"/>
        </w:rPr>
      </w:pPr>
      <w:r>
        <w:rPr>
          <w:rFonts w:ascii="Arial" w:cs="Arial" w:eastAsia="Arial" w:hAnsi="Arial"/>
          <w:sz w:val="15"/>
          <w:szCs w:val="15"/>
          <w:color w:val="auto"/>
        </w:rPr>
        <w:t>As of December 31, 2020 and 2019, includes interest rate swaps that applies for hedge accounting.</w:t>
      </w:r>
    </w:p>
    <w:p>
      <w:pPr>
        <w:spacing w:after="0" w:line="198"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12.</w:t>
      </w:r>
      <w:r>
        <w:rPr>
          <w:sz w:val="20"/>
          <w:szCs w:val="20"/>
          <w:color w:val="auto"/>
        </w:rPr>
        <w:tab/>
      </w:r>
      <w:r>
        <w:rPr>
          <w:rFonts w:ascii="Arial" w:cs="Arial" w:eastAsia="Arial" w:hAnsi="Arial"/>
          <w:sz w:val="16"/>
          <w:szCs w:val="16"/>
          <w:b w:val="1"/>
          <w:bCs w:val="1"/>
          <w:color w:val="auto"/>
        </w:rPr>
        <w:t>Description of Securities Other than Equity Securities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126" w:name="page127"/>
    <w:bookmarkEnd w:id="126"/>
    <w:p>
      <w:pPr>
        <w:jc w:val="center"/>
        <w:spacing w:after="0"/>
        <w:rPr>
          <w:sz w:val="20"/>
          <w:szCs w:val="20"/>
          <w:color w:val="auto"/>
        </w:rPr>
      </w:pPr>
      <w:r>
        <w:rPr>
          <w:rFonts w:ascii="Arial" w:cs="Arial" w:eastAsia="Arial" w:hAnsi="Arial"/>
          <w:sz w:val="18"/>
          <w:szCs w:val="18"/>
          <w:b w:val="1"/>
          <w:bCs w:val="1"/>
          <w:color w:val="auto"/>
        </w:rPr>
        <w:t>PART 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13.</w:t>
      </w:r>
      <w:r>
        <w:rPr>
          <w:sz w:val="20"/>
          <w:szCs w:val="20"/>
          <w:color w:val="auto"/>
        </w:rPr>
        <w:tab/>
      </w:r>
      <w:r>
        <w:rPr>
          <w:rFonts w:ascii="Arial" w:cs="Arial" w:eastAsia="Arial" w:hAnsi="Arial"/>
          <w:sz w:val="16"/>
          <w:szCs w:val="16"/>
          <w:b w:val="1"/>
          <w:bCs w:val="1"/>
          <w:color w:val="auto"/>
        </w:rPr>
        <w:t>Defaults, Dividend Arrearages and Delinquencies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14.</w:t>
      </w:r>
      <w:r>
        <w:rPr>
          <w:sz w:val="20"/>
          <w:szCs w:val="20"/>
          <w:color w:val="auto"/>
        </w:rPr>
        <w:tab/>
      </w:r>
      <w:r>
        <w:rPr>
          <w:rFonts w:ascii="Arial" w:cs="Arial" w:eastAsia="Arial" w:hAnsi="Arial"/>
          <w:sz w:val="16"/>
          <w:szCs w:val="16"/>
          <w:b w:val="1"/>
          <w:bCs w:val="1"/>
          <w:color w:val="auto"/>
        </w:rPr>
        <w:t>Material Modifications to the Rights of Security Holders and Use of Proceeds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None.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15.</w:t>
      </w:r>
      <w:r>
        <w:rPr>
          <w:sz w:val="20"/>
          <w:szCs w:val="20"/>
          <w:color w:val="auto"/>
        </w:rPr>
        <w:tab/>
      </w:r>
      <w:r>
        <w:rPr>
          <w:rFonts w:ascii="Arial" w:cs="Arial" w:eastAsia="Arial" w:hAnsi="Arial"/>
          <w:sz w:val="16"/>
          <w:szCs w:val="16"/>
          <w:b w:val="1"/>
          <w:bCs w:val="1"/>
          <w:color w:val="auto"/>
        </w:rPr>
        <w:t>Controls and Procedures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 Disclosure Controls and Procedures</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Chief Executive Officer (“CEO”) and the Chief Financial Officer (“CFO”) evaluated the effectiveness of the Bank’s disclosure controls and procedures as of December 31, 2020, and concluded that they were effective as of December 31, 2020.</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 Management’s Annual Report on Internal Control Over Financial Reporting</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2020.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88"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Management’s evaluation was based on the criteria set forth by the Internal Control-Integrated Framework 2013 of the Committee of Sponsoring Organizations of the Treadway Commission.</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84" w:lineRule="exact"/>
        <w:rPr>
          <w:sz w:val="20"/>
          <w:szCs w:val="20"/>
          <w:color w:val="auto"/>
        </w:rPr>
      </w:pPr>
    </w:p>
    <w:p>
      <w:pPr>
        <w:ind w:left="660" w:hanging="4"/>
        <w:spacing w:after="0" w:line="277" w:lineRule="auto"/>
        <w:tabs>
          <w:tab w:leader="none" w:pos="936" w:val="left"/>
        </w:tabs>
        <w:numPr>
          <w:ilvl w:val="0"/>
          <w:numId w:val="100"/>
        </w:numPr>
        <w:rPr>
          <w:rFonts w:ascii="Arial" w:cs="Arial" w:eastAsia="Arial" w:hAnsi="Arial"/>
          <w:sz w:val="18"/>
          <w:szCs w:val="18"/>
          <w:color w:val="auto"/>
        </w:rPr>
      </w:pPr>
      <w:r>
        <w:rPr>
          <w:rFonts w:ascii="Arial" w:cs="Arial" w:eastAsia="Arial" w:hAnsi="Arial"/>
          <w:sz w:val="18"/>
          <w:szCs w:val="18"/>
          <w:color w:val="auto"/>
        </w:rPr>
        <w:t>pertain to the maintenance of records that, in reasonable detail, accurately and fairly reflect the Bank’s transactions and dispositions of its assets;</w:t>
      </w:r>
    </w:p>
    <w:p>
      <w:pPr>
        <w:spacing w:after="0" w:line="170" w:lineRule="exact"/>
        <w:rPr>
          <w:rFonts w:ascii="Arial" w:cs="Arial" w:eastAsia="Arial" w:hAnsi="Arial"/>
          <w:sz w:val="18"/>
          <w:szCs w:val="18"/>
          <w:color w:val="auto"/>
        </w:rPr>
      </w:pPr>
    </w:p>
    <w:p>
      <w:pPr>
        <w:jc w:val="both"/>
        <w:ind w:left="660" w:hanging="4"/>
        <w:spacing w:after="0" w:line="263" w:lineRule="auto"/>
        <w:tabs>
          <w:tab w:leader="none" w:pos="926" w:val="left"/>
        </w:tabs>
        <w:numPr>
          <w:ilvl w:val="0"/>
          <w:numId w:val="100"/>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83" w:lineRule="exact"/>
        <w:rPr>
          <w:rFonts w:ascii="Arial" w:cs="Arial" w:eastAsia="Arial" w:hAnsi="Arial"/>
          <w:sz w:val="18"/>
          <w:szCs w:val="18"/>
          <w:color w:val="auto"/>
        </w:rPr>
      </w:pPr>
    </w:p>
    <w:p>
      <w:pPr>
        <w:ind w:left="660" w:hanging="4"/>
        <w:spacing w:after="0" w:line="277" w:lineRule="auto"/>
        <w:tabs>
          <w:tab w:leader="none" w:pos="920" w:val="left"/>
        </w:tabs>
        <w:numPr>
          <w:ilvl w:val="0"/>
          <w:numId w:val="100"/>
        </w:numPr>
        <w:rPr>
          <w:rFonts w:ascii="Arial" w:cs="Arial" w:eastAsia="Arial" w:hAnsi="Arial"/>
          <w:sz w:val="18"/>
          <w:szCs w:val="18"/>
          <w:color w:val="auto"/>
        </w:rPr>
      </w:pPr>
      <w:r>
        <w:rPr>
          <w:rFonts w:ascii="Arial" w:cs="Arial" w:eastAsia="Arial" w:hAnsi="Arial"/>
          <w:sz w:val="18"/>
          <w:szCs w:val="18"/>
          <w:color w:val="auto"/>
        </w:rPr>
        <w:t>provide reasonable assurance regarding prevention or timely detection of unauthorized acquisition, use or disposition of the Bank’s assets that could have a material effect on its financial statements.</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27" w:name="page128"/>
    <w:bookmarkEnd w:id="127"/>
    <w:p>
      <w:pPr>
        <w:jc w:val="both"/>
        <w:spacing w:after="0" w:line="259" w:lineRule="auto"/>
        <w:rPr>
          <w:sz w:val="20"/>
          <w:szCs w:val="20"/>
          <w:color w:val="auto"/>
        </w:rPr>
      </w:pPr>
      <w:r>
        <w:rPr>
          <w:rFonts w:ascii="Arial" w:cs="Arial" w:eastAsia="Arial" w:hAnsi="Arial"/>
          <w:sz w:val="18"/>
          <w:szCs w:val="18"/>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8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Based on the assessment and criteria described above, the Bank’s management concluded that, as of December 31, 2020, the Bank’s internal control over financial reporting was effective.</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Bank’s independent registered public accounting firm, KPMG, has issued an attestation report on the effectiveness of the Bank’s internal control over financial reporting.</w:t>
      </w:r>
    </w:p>
    <w:p>
      <w:pPr>
        <w:spacing w:after="0" w:line="38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 Attestation Report of the Registered Public Accounting Firm</w:t>
      </w:r>
    </w:p>
    <w:p>
      <w:pPr>
        <w:sectPr>
          <w:pgSz w:w="11900" w:h="16838" w:orient="portrait"/>
          <w:cols w:equalWidth="0" w:num="1">
            <w:col w:w="11240"/>
          </w:cols>
          <w:pgMar w:left="320" w:top="908" w:right="339" w:bottom="1440" w:gutter="0" w:footer="0" w:header="0"/>
        </w:sectPr>
      </w:pPr>
    </w:p>
    <w:p>
      <w:pPr>
        <w:spacing w:after="0" w:line="225" w:lineRule="exact"/>
        <w:rPr>
          <w:sz w:val="20"/>
          <w:szCs w:val="20"/>
          <w:color w:val="auto"/>
        </w:rPr>
      </w:pPr>
    </w:p>
    <w:p>
      <w:pPr>
        <w:ind w:left="372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107950</wp:posOffset>
            </wp:positionH>
            <wp:positionV relativeFrom="paragraph">
              <wp:posOffset>-119380</wp:posOffset>
            </wp:positionV>
            <wp:extent cx="1174115" cy="47180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1174115" cy="471805"/>
                    </a:xfrm>
                    <a:prstGeom prst="rect">
                      <a:avLst/>
                    </a:prstGeom>
                    <a:noFill/>
                  </pic:spPr>
                </pic:pic>
              </a:graphicData>
            </a:graphic>
          </wp:anchor>
        </w:drawing>
      </w:r>
    </w:p>
    <w:p>
      <w:pPr>
        <w:spacing w:after="0" w:line="7" w:lineRule="exact"/>
        <w:rPr>
          <w:sz w:val="20"/>
          <w:szCs w:val="20"/>
          <w:color w:val="auto"/>
        </w:rPr>
      </w:pPr>
    </w:p>
    <w:p>
      <w:pPr>
        <w:ind w:left="3720"/>
        <w:spacing w:after="0"/>
        <w:rPr>
          <w:sz w:val="20"/>
          <w:szCs w:val="20"/>
          <w:color w:val="auto"/>
        </w:rPr>
      </w:pPr>
      <w:r>
        <w:rPr>
          <w:rFonts w:ascii="Arial" w:cs="Arial" w:eastAsia="Arial" w:hAnsi="Arial"/>
          <w:sz w:val="16"/>
          <w:szCs w:val="16"/>
          <w:color w:val="auto"/>
        </w:rPr>
        <w:t>Torre PDC, Ave. Samuel Lewis y</w:t>
      </w:r>
    </w:p>
    <w:p>
      <w:pPr>
        <w:spacing w:after="0" w:line="32" w:lineRule="exact"/>
        <w:rPr>
          <w:sz w:val="20"/>
          <w:szCs w:val="20"/>
          <w:color w:val="auto"/>
        </w:rPr>
      </w:pPr>
    </w:p>
    <w:p>
      <w:pPr>
        <w:ind w:left="3720"/>
        <w:spacing w:after="0"/>
        <w:rPr>
          <w:sz w:val="20"/>
          <w:szCs w:val="20"/>
          <w:color w:val="auto"/>
        </w:rPr>
      </w:pPr>
      <w:r>
        <w:rPr>
          <w:rFonts w:ascii="Arial" w:cs="Arial" w:eastAsia="Arial" w:hAnsi="Arial"/>
          <w:sz w:val="18"/>
          <w:szCs w:val="18"/>
          <w:color w:val="auto"/>
        </w:rPr>
        <w:t>Calle 56 Este, Obarrio</w:t>
      </w:r>
    </w:p>
    <w:p>
      <w:pPr>
        <w:spacing w:after="0" w:line="9" w:lineRule="exact"/>
        <w:rPr>
          <w:sz w:val="20"/>
          <w:szCs w:val="20"/>
          <w:color w:val="auto"/>
        </w:rPr>
      </w:pPr>
    </w:p>
    <w:p>
      <w:pPr>
        <w:ind w:left="3720"/>
        <w:spacing w:after="0"/>
        <w:rPr>
          <w:sz w:val="20"/>
          <w:szCs w:val="20"/>
          <w:color w:val="auto"/>
        </w:rPr>
      </w:pPr>
      <w:r>
        <w:rPr>
          <w:rFonts w:ascii="Arial" w:cs="Arial" w:eastAsia="Arial" w:hAnsi="Arial"/>
          <w:sz w:val="16"/>
          <w:szCs w:val="16"/>
          <w:color w:val="auto"/>
        </w:rPr>
        <w:t>Panamá, República de Panamá</w:t>
      </w:r>
    </w:p>
    <w:p>
      <w:pPr>
        <w:spacing w:after="0" w:line="20" w:lineRule="exact"/>
        <w:rPr>
          <w:sz w:val="20"/>
          <w:szCs w:val="20"/>
          <w:color w:val="auto"/>
        </w:rPr>
      </w:pPr>
      <w:r>
        <w:rPr>
          <w:sz w:val="20"/>
          <w:szCs w:val="20"/>
          <w:color w:val="auto"/>
        </w:rPr>
        <w:br w:type="column"/>
      </w:r>
    </w:p>
    <w:p>
      <w:pPr>
        <w:spacing w:after="0" w:line="209" w:lineRule="exact"/>
        <w:rPr>
          <w:sz w:val="20"/>
          <w:szCs w:val="20"/>
          <w:color w:val="auto"/>
        </w:rPr>
      </w:pPr>
    </w:p>
    <w:p>
      <w:pPr>
        <w:spacing w:after="0"/>
        <w:rPr>
          <w:sz w:val="20"/>
          <w:szCs w:val="20"/>
          <w:color w:val="auto"/>
        </w:rPr>
      </w:pPr>
      <w:r>
        <w:rPr>
          <w:rFonts w:ascii="Arial" w:cs="Arial" w:eastAsia="Arial" w:hAnsi="Arial"/>
          <w:sz w:val="16"/>
          <w:szCs w:val="16"/>
          <w:color w:val="auto"/>
        </w:rPr>
        <w:t>Teléfono: (507) 208-0700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Website: kpmg.com.pa</w:t>
      </w:r>
    </w:p>
    <w:p>
      <w:pPr>
        <w:spacing w:after="0" w:line="609" w:lineRule="exact"/>
        <w:rPr>
          <w:sz w:val="20"/>
          <w:szCs w:val="20"/>
          <w:color w:val="auto"/>
        </w:rPr>
      </w:pPr>
    </w:p>
    <w:p>
      <w:pPr>
        <w:sectPr>
          <w:pgSz w:w="11900" w:h="16838" w:orient="portrait"/>
          <w:cols w:equalWidth="0" w:num="2">
            <w:col w:w="6720" w:space="720"/>
            <w:col w:w="3800"/>
          </w:cols>
          <w:pgMar w:left="320" w:top="908" w:right="339" w:bottom="1440" w:gutter="0" w:footer="0" w:header="0"/>
          <w:type w:val="continuous"/>
        </w:sectPr>
      </w:pPr>
    </w:p>
    <w:p>
      <w:pPr>
        <w:spacing w:after="0" w:line="30" w:lineRule="exact"/>
        <w:rPr>
          <w:sz w:val="20"/>
          <w:szCs w:val="20"/>
          <w:color w:val="auto"/>
        </w:rPr>
      </w:pPr>
    </w:p>
    <w:p>
      <w:pPr>
        <w:ind w:left="2540"/>
        <w:spacing w:after="0"/>
        <w:rPr>
          <w:sz w:val="20"/>
          <w:szCs w:val="20"/>
          <w:color w:val="auto"/>
        </w:rPr>
      </w:pPr>
      <w:r>
        <w:rPr>
          <w:rFonts w:ascii="Arial" w:cs="Arial" w:eastAsia="Arial" w:hAnsi="Arial"/>
          <w:sz w:val="18"/>
          <w:szCs w:val="18"/>
          <w:b w:val="1"/>
          <w:bCs w:val="1"/>
          <w:u w:val="single" w:color="auto"/>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Opinion on Internal Control Over Financial Reporting</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 xml:space="preserve">We have audited Banco Latinoamericano de Comercio Exterior, S. A. and subsidiaries’ (the Bank) internal control over financial reporting as of December 31, 2020,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In our opinion, the Bank maintained, in all material respects, effective internal control over financial reporting as of December 31, 2020,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w:t>
      </w:r>
    </w:p>
    <w:p>
      <w:pPr>
        <w:spacing w:after="0" w:line="188"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We also have audited, in accordance with the standards of the Public Company Accounting Oversight Board (United States) (PCAOB), the consolidated statements of financial position of the Bank as of December 31, 2020 and 2019, the related consolidated statements of profit or loss, comprehensive income, stockholders’ equity, and cash flows for each of the years in the three-year period ended December 31, 2020, and the related notes (collectively, the consolidated financial statements), and our report dated April 29, 2021 expressed an unqualified opinion on those consolidated financial statements.</w:t>
      </w:r>
    </w:p>
    <w:p>
      <w:pPr>
        <w:spacing w:after="0" w:line="15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type w:val="continuous"/>
        </w:sectPr>
      </w:pPr>
    </w:p>
    <w:bookmarkStart w:id="128" w:name="page129"/>
    <w:bookmarkEnd w:id="128"/>
    <w:p>
      <w:pPr>
        <w:jc w:val="both"/>
        <w:spacing w:after="0" w:line="296" w:lineRule="auto"/>
        <w:rPr>
          <w:sz w:val="20"/>
          <w:szCs w:val="20"/>
          <w:color w:val="auto"/>
        </w:rPr>
      </w:pPr>
      <w:r>
        <w:rPr>
          <w:rFonts w:ascii="Arial" w:cs="Arial" w:eastAsia="Arial" w:hAnsi="Arial"/>
          <w:sz w:val="16"/>
          <w:szCs w:val="16"/>
          <w:color w:val="auto"/>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 also included performing such other procedures as we considered necessary in the circumstances. We believe that our audit provides a reasonable basis for our opinion.</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Definition and Limitations of Internal Control Over Financial Reporting</w:t>
      </w:r>
    </w:p>
    <w:p>
      <w:pPr>
        <w:spacing w:after="0" w:line="225"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192"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29, 2021</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 Changes in Internal Control over Financial Reporting</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There has been no change in the Bank’s internal control over financial reporting during the fiscal year ended December 31, 2020 that has materially affected, or is reasonably likely to materially affect, the Bank’s internal control over financial reporting, as such term is defined in Rules 13a-15(f) and 15d-15(f) under the Exchange Act.</w:t>
      </w:r>
    </w:p>
    <w:p>
      <w:pPr>
        <w:spacing w:after="0" w:line="180"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w:t>
      </w:r>
      <w:r>
        <w:rPr>
          <w:sz w:val="20"/>
          <w:szCs w:val="20"/>
          <w:color w:val="auto"/>
        </w:rPr>
        <w:tab/>
      </w:r>
      <w:r>
        <w:rPr>
          <w:rFonts w:ascii="Arial" w:cs="Arial" w:eastAsia="Arial" w:hAnsi="Arial"/>
          <w:sz w:val="16"/>
          <w:szCs w:val="16"/>
          <w:b w:val="1"/>
          <w:bCs w:val="1"/>
          <w:color w:val="auto"/>
        </w:rPr>
        <w:t>[Reserved]</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16A.</w:t>
      </w:r>
      <w:r>
        <w:rPr>
          <w:sz w:val="20"/>
          <w:szCs w:val="20"/>
          <w:color w:val="auto"/>
        </w:rPr>
        <w:tab/>
      </w:r>
      <w:r>
        <w:rPr>
          <w:rFonts w:ascii="Arial" w:cs="Arial" w:eastAsia="Arial" w:hAnsi="Arial"/>
          <w:sz w:val="16"/>
          <w:szCs w:val="16"/>
          <w:b w:val="1"/>
          <w:bCs w:val="1"/>
          <w:color w:val="auto"/>
        </w:rPr>
        <w:t>Audit Committee Financial Expert</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Board has determined that at least one member of the Audit Committee is an “audit committee financial expert,” as defined in the rules enacted by the SEC under the Sarbanes-Oxley Act, Section 303A of NYSE Listed Company Manual, and Rule No. 05-2011, as amended by Rule No. 05-2014, of the Superintendency of Banks of Panama. The Audit Committee’s financial expert is Mr. Herminio A. Blanco. Mr. Blanco is independent as defined by the NYSE Listed Company Manual and Item 407 of Regulation S-K.</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See Item 6.A., “Directors and Executive Officers.”</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29" w:name="page130"/>
    <w:bookmarkEnd w:id="129"/>
    <w:p>
      <w:pPr>
        <w:spacing w:after="0"/>
        <w:tabs>
          <w:tab w:leader="none" w:pos="1280" w:val="left"/>
        </w:tabs>
        <w:rPr>
          <w:sz w:val="20"/>
          <w:szCs w:val="20"/>
          <w:color w:val="auto"/>
        </w:rPr>
      </w:pPr>
      <w:r>
        <w:rPr>
          <w:rFonts w:ascii="Arial" w:cs="Arial" w:eastAsia="Arial" w:hAnsi="Arial"/>
          <w:sz w:val="18"/>
          <w:szCs w:val="18"/>
          <w:b w:val="1"/>
          <w:bCs w:val="1"/>
          <w:color w:val="auto"/>
        </w:rPr>
        <w:t>Item 16B.</w:t>
      </w:r>
      <w:r>
        <w:rPr>
          <w:sz w:val="20"/>
          <w:szCs w:val="20"/>
          <w:color w:val="auto"/>
        </w:rPr>
        <w:tab/>
      </w:r>
      <w:r>
        <w:rPr>
          <w:rFonts w:ascii="Arial" w:cs="Arial" w:eastAsia="Arial" w:hAnsi="Arial"/>
          <w:sz w:val="15"/>
          <w:szCs w:val="15"/>
          <w:b w:val="1"/>
          <w:bCs w:val="1"/>
          <w:color w:val="auto"/>
        </w:rPr>
        <w:t>Code of Ethics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 has adopted a Code of Ethics that applies to the Bank’s principal executive officer, principal financial officer and principal accounting officer and was amended in April of 2020 and approved by the Board of Directors in its meetings held on April 28, 2020 to further strengthen the conflicts of interest from corporate gifts and anti-corruption anti-bribery provisions contained therein, specifically referring to compliance with the U.S. Foreign Corrupt Practices Act of 1977. The Bank’s Code of Ethics includes the information regarding its corporate governance practices necessary to comply with Section 303A of the NYSE Rules.</w:t>
      </w:r>
    </w:p>
    <w:p>
      <w:pPr>
        <w:spacing w:after="0" w:line="18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 xml:space="preserve">A copy of the Bank’s amended Code of Ethics is being filed with the SEC as an Exhibit to this Annual Report on Form 20-F for the fiscal year ended December 31, 2020, and may also be found on the Bank’s website at </w:t>
      </w:r>
      <w:r>
        <w:rPr>
          <w:rFonts w:ascii="Arial" w:cs="Arial" w:eastAsia="Arial" w:hAnsi="Arial"/>
          <w:sz w:val="18"/>
          <w:szCs w:val="18"/>
          <w:u w:val="single" w:color="auto"/>
          <w:color w:val="auto"/>
        </w:rPr>
        <w:t>https://www.bladex.com/en/corporate-governance</w:t>
      </w:r>
      <w:r>
        <w:rPr>
          <w:rFonts w:ascii="Arial" w:cs="Arial" w:eastAsia="Arial" w:hAnsi="Arial"/>
          <w:sz w:val="18"/>
          <w:szCs w:val="18"/>
          <w:color w:val="auto"/>
        </w:rPr>
        <w:t xml:space="preserve"> (for purposes of Section 406 of the Sarbanes-Oxley Act of 2002).</w:t>
      </w:r>
    </w:p>
    <w:p>
      <w:pPr>
        <w:spacing w:after="0" w:line="180"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16C.</w:t>
      </w:r>
      <w:r>
        <w:rPr>
          <w:sz w:val="20"/>
          <w:szCs w:val="20"/>
          <w:color w:val="auto"/>
        </w:rPr>
        <w:tab/>
      </w:r>
      <w:r>
        <w:rPr>
          <w:rFonts w:ascii="Arial" w:cs="Arial" w:eastAsia="Arial" w:hAnsi="Arial"/>
          <w:sz w:val="15"/>
          <w:szCs w:val="15"/>
          <w:b w:val="1"/>
          <w:bCs w:val="1"/>
          <w:color w:val="auto"/>
        </w:rPr>
        <w:t>Principal Accountant Fees and Services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following table summarizes the fees paid and/or accrued by the Bank for audit services provided by KPMG, as well as fees paid by the Bank for audit-related services provided by KPMG and Deloitte (the Bank’s independent registered public accounting firm until 2017).</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8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520" w:type="dxa"/>
            <w:vAlign w:val="bottom"/>
            <w:gridSpan w:val="6"/>
          </w:tcPr>
          <w:p>
            <w:pPr>
              <w:ind w:left="320"/>
              <w:spacing w:after="0"/>
              <w:rPr>
                <w:sz w:val="20"/>
                <w:szCs w:val="20"/>
                <w:color w:val="auto"/>
              </w:rPr>
            </w:pPr>
            <w:r>
              <w:rPr>
                <w:rFonts w:ascii="Arial" w:cs="Arial" w:eastAsia="Arial" w:hAnsi="Arial"/>
                <w:sz w:val="18"/>
                <w:szCs w:val="18"/>
                <w:b w:val="1"/>
                <w:bCs w:val="1"/>
                <w:color w:val="auto"/>
              </w:rPr>
              <w:t>As of December 31,</w:t>
            </w:r>
          </w:p>
        </w:tc>
      </w:tr>
      <w:tr>
        <w:trPr>
          <w:trHeight w:val="223"/>
        </w:trPr>
        <w:tc>
          <w:tcPr>
            <w:tcW w:w="4880" w:type="dxa"/>
            <w:vAlign w:val="bottom"/>
          </w:tcPr>
          <w:p>
            <w:pPr>
              <w:spacing w:after="0"/>
              <w:rPr>
                <w:sz w:val="19"/>
                <w:szCs w:val="19"/>
                <w:color w:val="auto"/>
              </w:rPr>
            </w:pPr>
          </w:p>
        </w:tc>
        <w:tc>
          <w:tcPr>
            <w:tcW w:w="3560" w:type="dxa"/>
            <w:vAlign w:val="bottom"/>
          </w:tcPr>
          <w:p>
            <w:pPr>
              <w:spacing w:after="0"/>
              <w:rPr>
                <w:sz w:val="19"/>
                <w:szCs w:val="19"/>
                <w:color w:val="auto"/>
              </w:rPr>
            </w:pPr>
          </w:p>
        </w:tc>
        <w:tc>
          <w:tcPr>
            <w:tcW w:w="280" w:type="dxa"/>
            <w:vAlign w:val="bottom"/>
            <w:tcBorders>
              <w:top w:val="single" w:sz="8" w:color="auto"/>
              <w:bottom w:val="single" w:sz="8" w:color="auto"/>
            </w:tcBorders>
          </w:tcPr>
          <w:p>
            <w:pPr>
              <w:spacing w:after="0"/>
              <w:rPr>
                <w:sz w:val="19"/>
                <w:szCs w:val="19"/>
                <w:color w:val="auto"/>
              </w:rPr>
            </w:pPr>
          </w:p>
        </w:tc>
        <w:tc>
          <w:tcPr>
            <w:tcW w:w="96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19"/>
                <w:szCs w:val="19"/>
                <w:color w:val="auto"/>
              </w:rPr>
            </w:pPr>
          </w:p>
        </w:tc>
      </w:tr>
      <w:tr>
        <w:trPr>
          <w:trHeight w:val="209"/>
        </w:trPr>
        <w:tc>
          <w:tcPr>
            <w:tcW w:w="488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Audit fees</w:t>
            </w:r>
          </w:p>
        </w:tc>
        <w:tc>
          <w:tcPr>
            <w:tcW w:w="38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771,412</w:t>
            </w:r>
          </w:p>
        </w:tc>
        <w:tc>
          <w:tcPr>
            <w:tcW w:w="3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680,000</w:t>
            </w: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Audit-related fees</w:t>
            </w:r>
          </w:p>
        </w:tc>
        <w:tc>
          <w:tcPr>
            <w:tcW w:w="35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399,768</w:t>
            </w:r>
          </w:p>
        </w:tc>
        <w:tc>
          <w:tcPr>
            <w:tcW w:w="1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185,149</w:t>
            </w: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Tax fees</w:t>
            </w:r>
          </w:p>
        </w:tc>
        <w:tc>
          <w:tcPr>
            <w:tcW w:w="35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r>
      <w:tr>
        <w:trPr>
          <w:trHeight w:val="229"/>
        </w:trPr>
        <w:tc>
          <w:tcPr>
            <w:tcW w:w="4880" w:type="dxa"/>
            <w:vAlign w:val="bottom"/>
          </w:tcPr>
          <w:p>
            <w:pPr>
              <w:spacing w:after="0"/>
              <w:rPr>
                <w:sz w:val="20"/>
                <w:szCs w:val="20"/>
                <w:color w:val="auto"/>
              </w:rPr>
            </w:pPr>
            <w:r>
              <w:rPr>
                <w:rFonts w:ascii="Arial" w:cs="Arial" w:eastAsia="Arial" w:hAnsi="Arial"/>
                <w:sz w:val="18"/>
                <w:szCs w:val="18"/>
                <w:color w:val="auto"/>
              </w:rPr>
              <w:t>All other fees</w:t>
            </w:r>
          </w:p>
        </w:tc>
        <w:tc>
          <w:tcPr>
            <w:tcW w:w="35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r>
      <w:tr>
        <w:trPr>
          <w:trHeight w:val="223"/>
        </w:trPr>
        <w:tc>
          <w:tcPr>
            <w:tcW w:w="48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56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jc w:val="right"/>
              <w:ind w:right="90"/>
              <w:spacing w:after="0"/>
              <w:rPr>
                <w:sz w:val="20"/>
                <w:szCs w:val="20"/>
                <w:color w:val="auto"/>
              </w:rPr>
            </w:pPr>
            <w:r>
              <w:rPr>
                <w:rFonts w:ascii="Arial" w:cs="Arial" w:eastAsia="Arial" w:hAnsi="Arial"/>
                <w:sz w:val="18"/>
                <w:szCs w:val="18"/>
                <w:b w:val="1"/>
                <w:bCs w:val="1"/>
                <w:color w:val="auto"/>
                <w:w w:val="79"/>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1,171,180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0"/>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865,149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88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rPr>
          <w:sz w:val="20"/>
          <w:szCs w:val="20"/>
          <w:color w:val="auto"/>
        </w:rPr>
      </w:pPr>
      <w:r>
        <w:rPr>
          <w:rFonts w:ascii="Arial" w:cs="Arial" w:eastAsia="Arial" w:hAnsi="Arial"/>
          <w:sz w:val="18"/>
          <w:szCs w:val="18"/>
          <w:color w:val="auto"/>
        </w:rPr>
        <w:t>The following is a description of the type of services included within the categories listed above:</w:t>
      </w:r>
    </w:p>
    <w:p>
      <w:pPr>
        <w:spacing w:after="0" w:line="211" w:lineRule="exact"/>
        <w:rPr>
          <w:sz w:val="20"/>
          <w:szCs w:val="20"/>
          <w:color w:val="auto"/>
        </w:rPr>
      </w:pPr>
    </w:p>
    <w:p>
      <w:pPr>
        <w:ind w:left="660" w:hanging="247"/>
        <w:spacing w:after="0" w:line="258" w:lineRule="auto"/>
        <w:tabs>
          <w:tab w:leader="none" w:pos="66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Audit fees include aggregate fees billed for professional services rendered by KPMG,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8"/>
          <w:szCs w:val="18"/>
          <w:color w:val="auto"/>
        </w:rPr>
      </w:pPr>
    </w:p>
    <w:p>
      <w:pPr>
        <w:jc w:val="both"/>
        <w:ind w:left="660" w:hanging="247"/>
        <w:spacing w:after="0" w:line="255" w:lineRule="auto"/>
        <w:tabs>
          <w:tab w:leader="none" w:pos="660" w:val="left"/>
        </w:tabs>
        <w:numPr>
          <w:ilvl w:val="0"/>
          <w:numId w:val="101"/>
        </w:numPr>
        <w:rPr>
          <w:rFonts w:ascii="Arial" w:cs="Arial" w:eastAsia="Arial" w:hAnsi="Arial"/>
          <w:sz w:val="18"/>
          <w:szCs w:val="18"/>
          <w:color w:val="auto"/>
        </w:rPr>
      </w:pPr>
      <w:r>
        <w:rPr>
          <w:rFonts w:ascii="Arial" w:cs="Arial" w:eastAsia="Arial" w:hAnsi="Arial"/>
          <w:sz w:val="18"/>
          <w:szCs w:val="18"/>
          <w:color w:val="auto"/>
        </w:rPr>
        <w:t>Audit-related fees include aggregate fees billed for assurance and related services by KPMG and Deloitte, respectively, that are reasonably related to the performance of the audit or review of the Bank’s financial statements and are not reported under the “Audit fees.” These services are associated primarily with funding programs as part of the normal course of business of the Bank.</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Audit Committee Pre-Approval Policies and Procedures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Audit Committee pre-approves all audit and non-audit services to be provided to the Bank by the Bank’s independent accounting firm. All of the services related to the audit fees and audit-related fees described above were approved by the Audit Committee.</w:t>
      </w:r>
    </w:p>
    <w:p>
      <w:pPr>
        <w:spacing w:after="0" w:line="16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16D.</w:t>
      </w:r>
      <w:r>
        <w:rPr>
          <w:sz w:val="20"/>
          <w:szCs w:val="20"/>
          <w:color w:val="auto"/>
        </w:rPr>
        <w:tab/>
      </w:r>
      <w:r>
        <w:rPr>
          <w:rFonts w:ascii="Arial" w:cs="Arial" w:eastAsia="Arial" w:hAnsi="Arial"/>
          <w:sz w:val="16"/>
          <w:szCs w:val="16"/>
          <w:b w:val="1"/>
          <w:bCs w:val="1"/>
          <w:color w:val="auto"/>
        </w:rPr>
        <w:t>Exemptions from the Listing Standards for Audit Committees</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16E.</w:t>
      </w:r>
      <w:r>
        <w:rPr>
          <w:sz w:val="20"/>
          <w:szCs w:val="20"/>
          <w:color w:val="auto"/>
        </w:rPr>
        <w:tab/>
      </w:r>
      <w:r>
        <w:rPr>
          <w:rFonts w:ascii="Arial" w:cs="Arial" w:eastAsia="Arial" w:hAnsi="Arial"/>
          <w:sz w:val="16"/>
          <w:szCs w:val="16"/>
          <w:b w:val="1"/>
          <w:bCs w:val="1"/>
          <w:color w:val="auto"/>
        </w:rPr>
        <w:t>Purchases of Equity Securities by the Issuer and Affiliated Purchasers</w:t>
      </w: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30" w:name="page131"/>
    <w:bookmarkEnd w:id="130"/>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16F.</w:t>
      </w:r>
      <w:r>
        <w:rPr>
          <w:sz w:val="20"/>
          <w:szCs w:val="20"/>
          <w:color w:val="auto"/>
        </w:rPr>
        <w:tab/>
      </w:r>
      <w:r>
        <w:rPr>
          <w:rFonts w:ascii="Arial" w:cs="Arial" w:eastAsia="Arial" w:hAnsi="Arial"/>
          <w:sz w:val="16"/>
          <w:szCs w:val="16"/>
          <w:b w:val="1"/>
          <w:bCs w:val="1"/>
          <w:color w:val="auto"/>
        </w:rPr>
        <w:t>Change in Registrant’s Certifying Accountant</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21"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16G.</w:t>
      </w:r>
      <w:r>
        <w:rPr>
          <w:sz w:val="20"/>
          <w:szCs w:val="20"/>
          <w:color w:val="auto"/>
        </w:rPr>
        <w:tab/>
      </w:r>
      <w:r>
        <w:rPr>
          <w:rFonts w:ascii="Arial" w:cs="Arial" w:eastAsia="Arial" w:hAnsi="Arial"/>
          <w:sz w:val="16"/>
          <w:szCs w:val="16"/>
          <w:b w:val="1"/>
          <w:bCs w:val="1"/>
          <w:color w:val="auto"/>
        </w:rPr>
        <w:t>Corporate Governance</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corporate governance practices of the Bank and those required by the NYSE for domestic companies in the United States differ in two significant ways:</w:t>
      </w:r>
    </w:p>
    <w:p>
      <w:pPr>
        <w:spacing w:after="0" w:line="170"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First, under Section 303A.04 of the NYSE Rules, a listed company must have a nomination/corporate governance committee comprised entirely of independent directors. However, it is common practice among public companies in Panama, including the Bank, not to have a corporate governance committee. The Bank addresses all corporate governance matters in plenary meetings of the Board, and the Audit Committee has been given the responsibility of improving the Bank’s corporate governance practices and monitoring compliance with such practices.</w:t>
      </w:r>
    </w:p>
    <w:p>
      <w:pPr>
        <w:spacing w:after="0" w:line="171"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Second, under Section 303A.08 of the NYSE Rules, shareholders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shareholders of the equity compensation plans and/or material revisions to such plans at the next shareholders’ meeting and shareholders may revoke the Board’s approval of the equity compensation plans and/or material revisions to such plans at such meeting.</w:t>
      </w:r>
    </w:p>
    <w:p>
      <w:pPr>
        <w:spacing w:after="0" w:line="172"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16H.</w:t>
      </w:r>
      <w:r>
        <w:rPr>
          <w:sz w:val="20"/>
          <w:szCs w:val="20"/>
          <w:color w:val="auto"/>
        </w:rPr>
        <w:tab/>
      </w:r>
      <w:r>
        <w:rPr>
          <w:rFonts w:ascii="Arial" w:cs="Arial" w:eastAsia="Arial" w:hAnsi="Arial"/>
          <w:sz w:val="16"/>
          <w:szCs w:val="16"/>
          <w:b w:val="1"/>
          <w:bCs w:val="1"/>
          <w:color w:val="auto"/>
        </w:rPr>
        <w:t>Mine Safety Disclosure</w:t>
      </w:r>
    </w:p>
    <w:p>
      <w:pPr>
        <w:spacing w:after="0" w:line="229"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Not applicable.</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131" w:name="page132"/>
    <w:bookmarkEnd w:id="131"/>
    <w:p>
      <w:pPr>
        <w:jc w:val="center"/>
        <w:spacing w:after="0"/>
        <w:rPr>
          <w:sz w:val="20"/>
          <w:szCs w:val="20"/>
          <w:color w:val="auto"/>
        </w:rPr>
      </w:pPr>
      <w:r>
        <w:rPr>
          <w:rFonts w:ascii="Arial" w:cs="Arial" w:eastAsia="Arial" w:hAnsi="Arial"/>
          <w:sz w:val="18"/>
          <w:szCs w:val="18"/>
          <w:b w:val="1"/>
          <w:bCs w:val="1"/>
          <w:color w:val="auto"/>
        </w:rPr>
        <w:t>PART III</w:t>
      </w:r>
    </w:p>
    <w:p>
      <w:pPr>
        <w:spacing w:after="0" w:line="225"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Item 17.</w:t>
      </w:r>
      <w:r>
        <w:rPr>
          <w:sz w:val="20"/>
          <w:szCs w:val="20"/>
          <w:color w:val="auto"/>
        </w:rPr>
        <w:tab/>
      </w:r>
      <w:r>
        <w:rPr>
          <w:rFonts w:ascii="Arial" w:cs="Arial" w:eastAsia="Arial" w:hAnsi="Arial"/>
          <w:sz w:val="16"/>
          <w:szCs w:val="16"/>
          <w:b w:val="1"/>
          <w:bCs w:val="1"/>
          <w:color w:val="auto"/>
        </w:rPr>
        <w:t>Financial Statements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Bank is providing the financial statements and related information specified in Item 18.</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0" w:type="dxa"/>
            <w:vAlign w:val="bottom"/>
          </w:tcPr>
          <w:p>
            <w:pPr>
              <w:spacing w:after="0"/>
              <w:rPr>
                <w:sz w:val="20"/>
                <w:szCs w:val="20"/>
                <w:color w:val="auto"/>
              </w:rPr>
            </w:pPr>
            <w:r>
              <w:rPr>
                <w:rFonts w:ascii="Arial" w:cs="Arial" w:eastAsia="Arial" w:hAnsi="Arial"/>
                <w:sz w:val="18"/>
                <w:szCs w:val="18"/>
                <w:b w:val="1"/>
                <w:bCs w:val="1"/>
                <w:color w:val="auto"/>
                <w:w w:val="92"/>
              </w:rPr>
              <w:t>Item 18.</w:t>
            </w:r>
          </w:p>
        </w:tc>
        <w:tc>
          <w:tcPr>
            <w:tcW w:w="4580" w:type="dxa"/>
            <w:vAlign w:val="bottom"/>
          </w:tcPr>
          <w:p>
            <w:pPr>
              <w:ind w:left="660"/>
              <w:spacing w:after="0"/>
              <w:rPr>
                <w:sz w:val="20"/>
                <w:szCs w:val="20"/>
                <w:color w:val="auto"/>
              </w:rPr>
            </w:pPr>
            <w:r>
              <w:rPr>
                <w:rFonts w:ascii="Arial" w:cs="Arial" w:eastAsia="Arial" w:hAnsi="Arial"/>
                <w:sz w:val="18"/>
                <w:szCs w:val="18"/>
                <w:b w:val="1"/>
                <w:bCs w:val="1"/>
                <w:color w:val="auto"/>
              </w:rPr>
              <w:t>Financial Statements</w:t>
            </w:r>
          </w:p>
        </w:tc>
        <w:tc>
          <w:tcPr>
            <w:tcW w:w="60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5220" w:type="dxa"/>
            <w:vAlign w:val="bottom"/>
            <w:gridSpan w:val="2"/>
          </w:tcPr>
          <w:p>
            <w:pPr>
              <w:spacing w:after="0"/>
              <w:rPr>
                <w:sz w:val="20"/>
                <w:szCs w:val="20"/>
                <w:color w:val="auto"/>
              </w:rPr>
            </w:pPr>
            <w:r>
              <w:rPr>
                <w:rFonts w:ascii="Arial" w:cs="Arial" w:eastAsia="Arial" w:hAnsi="Arial"/>
                <w:sz w:val="18"/>
                <w:szCs w:val="18"/>
                <w:color w:val="auto"/>
              </w:rPr>
              <w:t>List of Consolidated Financial Statements</w:t>
            </w:r>
          </w:p>
        </w:tc>
        <w:tc>
          <w:tcPr>
            <w:tcW w:w="6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6"/>
              </w:rPr>
              <w:t>Reports of Independent Registered Public Accounting Firm</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F-3</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Consolidated Statement of Financial Position</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F-5</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Consolidated Statement of Profit or Loss</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F-6</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Consolidated Statement of Comprehensive Income</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F-7</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Consolidated Statement of Changes in Equity</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F-8</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Consolidated Statement of Cash Flows</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F-9</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0" w:type="dxa"/>
            <w:vAlign w:val="bottom"/>
            <w:shd w:val="clear" w:color="auto" w:fill="CCEEFF"/>
          </w:tcPr>
          <w:p>
            <w:pPr>
              <w:spacing w:after="0"/>
              <w:rPr>
                <w:sz w:val="18"/>
                <w:szCs w:val="18"/>
                <w:color w:val="auto"/>
              </w:rPr>
            </w:pPr>
          </w:p>
        </w:tc>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Notes to the Consolidated Financial Statements</w:t>
            </w:r>
          </w:p>
        </w:tc>
        <w:tc>
          <w:tcPr>
            <w:tcW w:w="6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F-10</w:t>
            </w:r>
          </w:p>
        </w:tc>
        <w:tc>
          <w:tcPr>
            <w:tcW w:w="2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648"/>
        </w:trPr>
        <w:tc>
          <w:tcPr>
            <w:tcW w:w="64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tcPr>
          <w:p>
            <w:pPr>
              <w:spacing w:after="0"/>
              <w:rPr>
                <w:sz w:val="24"/>
                <w:szCs w:val="24"/>
                <w:color w:val="auto"/>
              </w:rPr>
            </w:pPr>
          </w:p>
        </w:tc>
        <w:tc>
          <w:tcPr>
            <w:tcW w:w="6020" w:type="dxa"/>
            <w:vAlign w:val="bottom"/>
            <w:tcBorders>
              <w:bottom w:val="single" w:sz="8" w:color="auto"/>
            </w:tcBorders>
          </w:tcPr>
          <w:p>
            <w:pPr>
              <w:jc w:val="right"/>
              <w:ind w:right="5390"/>
              <w:spacing w:after="0"/>
              <w:rPr>
                <w:sz w:val="20"/>
                <w:szCs w:val="20"/>
                <w:color w:val="auto"/>
              </w:rPr>
            </w:pPr>
            <w:r>
              <w:rPr>
                <w:rFonts w:ascii="Arial" w:cs="Arial" w:eastAsia="Arial" w:hAnsi="Arial"/>
                <w:sz w:val="18"/>
                <w:szCs w:val="18"/>
                <w:color w:val="auto"/>
              </w:rPr>
              <w:t>128</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132" w:name="page133"/>
    <w:bookmarkEnd w:id="13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r>
              <w:rPr>
                <w:rFonts w:ascii="Arial" w:cs="Arial" w:eastAsia="Arial" w:hAnsi="Arial"/>
                <w:sz w:val="18"/>
                <w:szCs w:val="18"/>
                <w:b w:val="1"/>
                <w:bCs w:val="1"/>
                <w:color w:val="auto"/>
                <w:w w:val="95"/>
              </w:rPr>
              <w:t>Item 19.</w:t>
            </w:r>
          </w:p>
        </w:tc>
        <w:tc>
          <w:tcPr>
            <w:tcW w:w="1840" w:type="dxa"/>
            <w:vAlign w:val="bottom"/>
            <w:gridSpan w:val="5"/>
          </w:tcPr>
          <w:p>
            <w:pPr>
              <w:ind w:left="640"/>
              <w:spacing w:after="0"/>
              <w:rPr>
                <w:sz w:val="20"/>
                <w:szCs w:val="20"/>
                <w:color w:val="auto"/>
              </w:rPr>
            </w:pPr>
            <w:r>
              <w:rPr>
                <w:rFonts w:ascii="Arial" w:cs="Arial" w:eastAsia="Arial" w:hAnsi="Arial"/>
                <w:sz w:val="18"/>
                <w:szCs w:val="18"/>
                <w:b w:val="1"/>
                <w:bCs w:val="1"/>
                <w:color w:val="auto"/>
              </w:rPr>
              <w:t>Exhibits</w:t>
            </w:r>
          </w:p>
        </w:tc>
        <w:tc>
          <w:tcPr>
            <w:tcW w:w="6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39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432"/>
        </w:trPr>
        <w:tc>
          <w:tcPr>
            <w:tcW w:w="660" w:type="dxa"/>
            <w:vAlign w:val="bottom"/>
          </w:tcPr>
          <w:p>
            <w:pPr>
              <w:spacing w:after="0"/>
              <w:rPr>
                <w:sz w:val="24"/>
                <w:szCs w:val="24"/>
                <w:color w:val="auto"/>
              </w:rPr>
            </w:pPr>
          </w:p>
        </w:tc>
        <w:tc>
          <w:tcPr>
            <w:tcW w:w="1840" w:type="dxa"/>
            <w:vAlign w:val="bottom"/>
            <w:gridSpan w:val="5"/>
          </w:tcPr>
          <w:p>
            <w:pPr>
              <w:spacing w:after="0"/>
              <w:rPr>
                <w:sz w:val="20"/>
                <w:szCs w:val="20"/>
                <w:color w:val="auto"/>
              </w:rPr>
            </w:pPr>
            <w:r>
              <w:rPr>
                <w:rFonts w:ascii="Arial" w:cs="Arial" w:eastAsia="Arial" w:hAnsi="Arial"/>
                <w:sz w:val="18"/>
                <w:szCs w:val="18"/>
                <w:color w:val="auto"/>
              </w:rPr>
              <w:t>List of Exhibits</w:t>
            </w:r>
          </w:p>
        </w:tc>
        <w:tc>
          <w:tcPr>
            <w:tcW w:w="6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9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391"/>
        </w:trPr>
        <w:tc>
          <w:tcPr>
            <w:tcW w:w="660" w:type="dxa"/>
            <w:vAlign w:val="bottom"/>
          </w:tcPr>
          <w:p>
            <w:pPr>
              <w:spacing w:after="0"/>
              <w:rPr>
                <w:sz w:val="24"/>
                <w:szCs w:val="24"/>
                <w:color w:val="auto"/>
              </w:rPr>
            </w:pPr>
          </w:p>
        </w:tc>
        <w:tc>
          <w:tcPr>
            <w:tcW w:w="1840" w:type="dxa"/>
            <w:vAlign w:val="bottom"/>
            <w:gridSpan w:val="5"/>
          </w:tcPr>
          <w:p>
            <w:pPr>
              <w:spacing w:after="0"/>
              <w:rPr>
                <w:rFonts w:ascii="Arial" w:cs="Arial" w:eastAsia="Arial" w:hAnsi="Arial"/>
                <w:sz w:val="18"/>
                <w:szCs w:val="18"/>
                <w:color w:val="0000EE"/>
              </w:rPr>
            </w:pPr>
            <w:hyperlink w:anchor="page264">
              <w:r>
                <w:rPr>
                  <w:rFonts w:ascii="Arial" w:cs="Arial" w:eastAsia="Arial" w:hAnsi="Arial"/>
                  <w:sz w:val="18"/>
                  <w:szCs w:val="18"/>
                  <w:color w:val="0000EE"/>
                </w:rPr>
                <w:t>Exhibit 1.1.</w:t>
              </w:r>
            </w:hyperlink>
          </w:p>
        </w:tc>
        <w:tc>
          <w:tcPr>
            <w:tcW w:w="8740" w:type="dxa"/>
            <w:vAlign w:val="bottom"/>
            <w:gridSpan w:val="12"/>
          </w:tcPr>
          <w:p>
            <w:pPr>
              <w:spacing w:after="0"/>
              <w:rPr>
                <w:rFonts w:ascii="Arial" w:cs="Arial" w:eastAsia="Arial" w:hAnsi="Arial"/>
                <w:sz w:val="18"/>
                <w:szCs w:val="18"/>
                <w:color w:val="0000EE"/>
              </w:rPr>
            </w:pPr>
            <w:hyperlink w:anchor="page264">
              <w:r>
                <w:rPr>
                  <w:rFonts w:ascii="Arial" w:cs="Arial" w:eastAsia="Arial" w:hAnsi="Arial"/>
                  <w:sz w:val="18"/>
                  <w:szCs w:val="18"/>
                  <w:color w:val="0000EE"/>
                </w:rPr>
                <w:t>Amended and Restated Articles of Incorporation</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660" w:type="dxa"/>
            <w:vAlign w:val="bottom"/>
            <w:shd w:val="clear" w:color="auto" w:fill="0000EE"/>
          </w:tcPr>
          <w:p>
            <w:pPr>
              <w:spacing w:after="0" w:line="20" w:lineRule="exact"/>
              <w:rPr>
                <w:sz w:val="1"/>
                <w:szCs w:val="1"/>
                <w:color w:val="auto"/>
              </w:rPr>
            </w:pPr>
          </w:p>
        </w:tc>
        <w:tc>
          <w:tcPr>
            <w:tcW w:w="400" w:type="dxa"/>
            <w:vAlign w:val="bottom"/>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640" w:type="dxa"/>
            <w:vAlign w:val="bottom"/>
            <w:shd w:val="clear" w:color="auto" w:fill="0000EE"/>
          </w:tcPr>
          <w:p>
            <w:pPr>
              <w:spacing w:after="0" w:line="20" w:lineRule="exact"/>
              <w:rPr>
                <w:sz w:val="1"/>
                <w:szCs w:val="1"/>
                <w:color w:val="auto"/>
              </w:rPr>
            </w:pPr>
          </w:p>
        </w:tc>
        <w:tc>
          <w:tcPr>
            <w:tcW w:w="260" w:type="dxa"/>
            <w:vAlign w:val="bottom"/>
            <w:shd w:val="clear" w:color="auto" w:fill="0000EE"/>
          </w:tcPr>
          <w:p>
            <w:pPr>
              <w:spacing w:after="0" w:line="20" w:lineRule="exact"/>
              <w:rPr>
                <w:sz w:val="1"/>
                <w:szCs w:val="1"/>
                <w:color w:val="auto"/>
              </w:rPr>
            </w:pPr>
          </w:p>
        </w:tc>
        <w:tc>
          <w:tcPr>
            <w:tcW w:w="1200" w:type="dxa"/>
            <w:vAlign w:val="bottom"/>
            <w:shd w:val="clear" w:color="auto" w:fill="0000EE"/>
          </w:tcPr>
          <w:p>
            <w:pPr>
              <w:spacing w:after="0" w:line="20" w:lineRule="exact"/>
              <w:rPr>
                <w:sz w:val="1"/>
                <w:szCs w:val="1"/>
                <w:color w:val="auto"/>
              </w:rPr>
            </w:pPr>
          </w:p>
        </w:tc>
        <w:tc>
          <w:tcPr>
            <w:tcW w:w="39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840" w:type="dxa"/>
            <w:vAlign w:val="bottom"/>
            <w:gridSpan w:val="5"/>
          </w:tcPr>
          <w:p>
            <w:pPr>
              <w:spacing w:after="0"/>
              <w:rPr>
                <w:rFonts w:ascii="Arial" w:cs="Arial" w:eastAsia="Arial" w:hAnsi="Arial"/>
                <w:sz w:val="18"/>
                <w:szCs w:val="18"/>
                <w:color w:val="0000EE"/>
              </w:rPr>
            </w:pPr>
            <w:hyperlink r:id="rId141">
              <w:r>
                <w:rPr>
                  <w:rFonts w:ascii="Arial" w:cs="Arial" w:eastAsia="Arial" w:hAnsi="Arial"/>
                  <w:sz w:val="18"/>
                  <w:szCs w:val="18"/>
                  <w:color w:val="0000EE"/>
                </w:rPr>
                <w:t>Exhibit 1.2.</w:t>
              </w:r>
            </w:hyperlink>
          </w:p>
        </w:tc>
        <w:tc>
          <w:tcPr>
            <w:tcW w:w="8740" w:type="dxa"/>
            <w:vAlign w:val="bottom"/>
            <w:gridSpan w:val="12"/>
          </w:tcPr>
          <w:p>
            <w:pPr>
              <w:spacing w:after="0"/>
              <w:rPr>
                <w:rFonts w:ascii="Arial" w:cs="Arial" w:eastAsia="Arial" w:hAnsi="Arial"/>
                <w:sz w:val="18"/>
                <w:szCs w:val="18"/>
                <w:color w:val="0000EE"/>
              </w:rPr>
            </w:pPr>
            <w:hyperlink r:id="rId141">
              <w:r>
                <w:rPr>
                  <w:rFonts w:ascii="Arial" w:cs="Arial" w:eastAsia="Arial" w:hAnsi="Arial"/>
                  <w:sz w:val="18"/>
                  <w:szCs w:val="18"/>
                  <w:color w:val="0000EE"/>
                </w:rPr>
                <w:t>By-Laws</w:t>
              </w:r>
            </w:hyperlink>
          </w:p>
        </w:tc>
      </w:tr>
      <w:tr>
        <w:trPr>
          <w:trHeight w:val="20"/>
        </w:trPr>
        <w:tc>
          <w:tcPr>
            <w:tcW w:w="660" w:type="dxa"/>
            <w:vAlign w:val="bottom"/>
          </w:tcPr>
          <w:p>
            <w:pPr>
              <w:spacing w:after="0" w:line="20" w:lineRule="exact"/>
              <w:rPr>
                <w:sz w:val="1"/>
                <w:szCs w:val="1"/>
                <w:color w:val="auto"/>
              </w:rPr>
            </w:pPr>
          </w:p>
        </w:tc>
        <w:tc>
          <w:tcPr>
            <w:tcW w:w="840" w:type="dxa"/>
            <w:vAlign w:val="bottom"/>
            <w:gridSpan w:val="2"/>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660" w:type="dxa"/>
            <w:vAlign w:val="bottom"/>
            <w:shd w:val="clear" w:color="auto" w:fill="0000EE"/>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18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840" w:type="dxa"/>
            <w:vAlign w:val="bottom"/>
            <w:gridSpan w:val="5"/>
          </w:tcPr>
          <w:p>
            <w:pPr>
              <w:spacing w:after="0"/>
              <w:rPr>
                <w:rFonts w:ascii="Arial" w:cs="Arial" w:eastAsia="Arial" w:hAnsi="Arial"/>
                <w:sz w:val="18"/>
                <w:szCs w:val="18"/>
                <w:color w:val="0000EE"/>
              </w:rPr>
            </w:pPr>
            <w:hyperlink r:id="rId142">
              <w:r>
                <w:rPr>
                  <w:rFonts w:ascii="Arial" w:cs="Arial" w:eastAsia="Arial" w:hAnsi="Arial"/>
                  <w:sz w:val="18"/>
                  <w:szCs w:val="18"/>
                  <w:color w:val="0000EE"/>
                </w:rPr>
                <w:t>Exhibit 2.1.</w:t>
              </w:r>
            </w:hyperlink>
          </w:p>
        </w:tc>
        <w:tc>
          <w:tcPr>
            <w:tcW w:w="8740" w:type="dxa"/>
            <w:vAlign w:val="bottom"/>
            <w:gridSpan w:val="12"/>
          </w:tcPr>
          <w:p>
            <w:pPr>
              <w:spacing w:after="0"/>
              <w:rPr>
                <w:rFonts w:ascii="Arial" w:cs="Arial" w:eastAsia="Arial" w:hAnsi="Arial"/>
                <w:sz w:val="18"/>
                <w:szCs w:val="18"/>
                <w:color w:val="0000EE"/>
                <w:w w:val="95"/>
              </w:rPr>
            </w:pPr>
            <w:hyperlink r:id="rId142">
              <w:r>
                <w:rPr>
                  <w:rFonts w:ascii="Arial" w:cs="Arial" w:eastAsia="Arial" w:hAnsi="Arial"/>
                  <w:sz w:val="18"/>
                  <w:szCs w:val="18"/>
                  <w:color w:val="0000EE"/>
                  <w:w w:val="95"/>
                </w:rPr>
                <w:t>Description of rights of each class of securities registered under Section 12 of the Securities Exchange Act of 1934</w:t>
              </w:r>
            </w:hyperlink>
          </w:p>
        </w:tc>
      </w:tr>
      <w:tr>
        <w:trPr>
          <w:trHeight w:val="20"/>
        </w:trPr>
        <w:tc>
          <w:tcPr>
            <w:tcW w:w="660" w:type="dxa"/>
            <w:vAlign w:val="bottom"/>
          </w:tcPr>
          <w:p>
            <w:pPr>
              <w:spacing w:after="0" w:line="20" w:lineRule="exact"/>
              <w:rPr>
                <w:sz w:val="1"/>
                <w:szCs w:val="1"/>
                <w:color w:val="auto"/>
              </w:rPr>
            </w:pPr>
          </w:p>
        </w:tc>
        <w:tc>
          <w:tcPr>
            <w:tcW w:w="840" w:type="dxa"/>
            <w:vAlign w:val="bottom"/>
            <w:gridSpan w:val="2"/>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640" w:type="dxa"/>
            <w:vAlign w:val="bottom"/>
            <w:shd w:val="clear" w:color="auto" w:fill="0000EE"/>
          </w:tcPr>
          <w:p>
            <w:pPr>
              <w:spacing w:after="0" w:line="20" w:lineRule="exact"/>
              <w:rPr>
                <w:sz w:val="1"/>
                <w:szCs w:val="1"/>
                <w:color w:val="auto"/>
              </w:rPr>
            </w:pPr>
          </w:p>
        </w:tc>
        <w:tc>
          <w:tcPr>
            <w:tcW w:w="260" w:type="dxa"/>
            <w:vAlign w:val="bottom"/>
            <w:shd w:val="clear" w:color="auto" w:fill="0000EE"/>
          </w:tcPr>
          <w:p>
            <w:pPr>
              <w:spacing w:after="0" w:line="20" w:lineRule="exact"/>
              <w:rPr>
                <w:sz w:val="1"/>
                <w:szCs w:val="1"/>
                <w:color w:val="auto"/>
              </w:rPr>
            </w:pPr>
          </w:p>
        </w:tc>
        <w:tc>
          <w:tcPr>
            <w:tcW w:w="5180" w:type="dxa"/>
            <w:vAlign w:val="bottom"/>
            <w:gridSpan w:val="2"/>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740" w:type="dxa"/>
            <w:vAlign w:val="bottom"/>
            <w:shd w:val="clear" w:color="auto" w:fill="0000EE"/>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1840" w:type="dxa"/>
            <w:vAlign w:val="bottom"/>
            <w:gridSpan w:val="5"/>
          </w:tcPr>
          <w:p>
            <w:pPr>
              <w:spacing w:after="0"/>
              <w:rPr>
                <w:rFonts w:ascii="Arial" w:cs="Arial" w:eastAsia="Arial" w:hAnsi="Arial"/>
                <w:sz w:val="18"/>
                <w:szCs w:val="18"/>
                <w:color w:val="0000EE"/>
              </w:rPr>
            </w:pPr>
            <w:hyperlink w:anchor="page273">
              <w:r>
                <w:rPr>
                  <w:rFonts w:ascii="Arial" w:cs="Arial" w:eastAsia="Arial" w:hAnsi="Arial"/>
                  <w:sz w:val="18"/>
                  <w:szCs w:val="18"/>
                  <w:color w:val="0000EE"/>
                </w:rPr>
                <w:t>Exhibit 8.1.</w:t>
              </w:r>
            </w:hyperlink>
          </w:p>
        </w:tc>
        <w:tc>
          <w:tcPr>
            <w:tcW w:w="8740" w:type="dxa"/>
            <w:vAlign w:val="bottom"/>
            <w:gridSpan w:val="12"/>
          </w:tcPr>
          <w:p>
            <w:pPr>
              <w:spacing w:after="0"/>
              <w:rPr>
                <w:rFonts w:ascii="Arial" w:cs="Arial" w:eastAsia="Arial" w:hAnsi="Arial"/>
                <w:sz w:val="18"/>
                <w:szCs w:val="18"/>
                <w:color w:val="0000EE"/>
              </w:rPr>
            </w:pPr>
            <w:hyperlink w:anchor="page273">
              <w:r>
                <w:rPr>
                  <w:rFonts w:ascii="Arial" w:cs="Arial" w:eastAsia="Arial" w:hAnsi="Arial"/>
                  <w:sz w:val="18"/>
                  <w:szCs w:val="18"/>
                  <w:color w:val="0000EE"/>
                </w:rPr>
                <w:t>List of Subsidiaries</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340" w:type="dxa"/>
            <w:vAlign w:val="bottom"/>
            <w:shd w:val="clear" w:color="auto" w:fill="0000EE"/>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18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880" w:type="dxa"/>
            <w:vAlign w:val="bottom"/>
            <w:gridSpan w:val="3"/>
          </w:tcPr>
          <w:p>
            <w:pPr>
              <w:spacing w:after="0"/>
              <w:rPr>
                <w:rFonts w:ascii="Arial" w:cs="Arial" w:eastAsia="Arial" w:hAnsi="Arial"/>
                <w:sz w:val="18"/>
                <w:szCs w:val="18"/>
                <w:color w:val="0000EE"/>
                <w:w w:val="91"/>
              </w:rPr>
            </w:pPr>
            <w:hyperlink w:anchor="page274">
              <w:r>
                <w:rPr>
                  <w:rFonts w:ascii="Arial" w:cs="Arial" w:eastAsia="Arial" w:hAnsi="Arial"/>
                  <w:sz w:val="18"/>
                  <w:szCs w:val="18"/>
                  <w:color w:val="0000EE"/>
                  <w:w w:val="91"/>
                </w:rPr>
                <w:t>Exhibit 11.1</w:t>
              </w:r>
            </w:hyperlink>
          </w:p>
        </w:tc>
        <w:tc>
          <w:tcPr>
            <w:tcW w:w="960" w:type="dxa"/>
            <w:vAlign w:val="bottom"/>
            <w:gridSpan w:val="2"/>
          </w:tcPr>
          <w:p>
            <w:pPr>
              <w:spacing w:after="0"/>
              <w:rPr>
                <w:sz w:val="24"/>
                <w:szCs w:val="24"/>
                <w:color w:val="auto"/>
              </w:rPr>
            </w:pPr>
          </w:p>
        </w:tc>
        <w:tc>
          <w:tcPr>
            <w:tcW w:w="8740" w:type="dxa"/>
            <w:vAlign w:val="bottom"/>
            <w:gridSpan w:val="12"/>
          </w:tcPr>
          <w:p>
            <w:pPr>
              <w:spacing w:after="0"/>
              <w:rPr>
                <w:rFonts w:ascii="Arial" w:cs="Arial" w:eastAsia="Arial" w:hAnsi="Arial"/>
                <w:sz w:val="18"/>
                <w:szCs w:val="18"/>
                <w:color w:val="0000EE"/>
              </w:rPr>
            </w:pPr>
            <w:hyperlink w:anchor="page274">
              <w:r>
                <w:rPr>
                  <w:rFonts w:ascii="Arial" w:cs="Arial" w:eastAsia="Arial" w:hAnsi="Arial"/>
                  <w:sz w:val="18"/>
                  <w:szCs w:val="18"/>
                  <w:color w:val="0000EE"/>
                </w:rPr>
                <w:t>Code of Ethics</w:t>
              </w:r>
            </w:hyperlink>
          </w:p>
        </w:tc>
      </w:tr>
      <w:tr>
        <w:trPr>
          <w:trHeight w:val="20"/>
        </w:trPr>
        <w:tc>
          <w:tcPr>
            <w:tcW w:w="660" w:type="dxa"/>
            <w:vAlign w:val="bottom"/>
          </w:tcPr>
          <w:p>
            <w:pPr>
              <w:spacing w:after="0" w:line="20" w:lineRule="exact"/>
              <w:rPr>
                <w:sz w:val="1"/>
                <w:szCs w:val="1"/>
                <w:color w:val="auto"/>
              </w:rPr>
            </w:pPr>
          </w:p>
        </w:tc>
        <w:tc>
          <w:tcPr>
            <w:tcW w:w="880" w:type="dxa"/>
            <w:vAlign w:val="bottom"/>
            <w:gridSpan w:val="3"/>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060" w:type="dxa"/>
            <w:vAlign w:val="bottom"/>
            <w:gridSpan w:val="2"/>
            <w:shd w:val="clear" w:color="auto" w:fill="0000EE"/>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18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940" w:type="dxa"/>
            <w:vAlign w:val="bottom"/>
            <w:gridSpan w:val="4"/>
          </w:tcPr>
          <w:p>
            <w:pPr>
              <w:spacing w:after="0"/>
              <w:rPr>
                <w:rFonts w:ascii="Arial" w:cs="Arial" w:eastAsia="Arial" w:hAnsi="Arial"/>
                <w:sz w:val="18"/>
                <w:szCs w:val="18"/>
                <w:color w:val="0000EE"/>
                <w:w w:val="92"/>
              </w:rPr>
            </w:pPr>
            <w:hyperlink w:anchor="page294">
              <w:r>
                <w:rPr>
                  <w:rFonts w:ascii="Arial" w:cs="Arial" w:eastAsia="Arial" w:hAnsi="Arial"/>
                  <w:sz w:val="18"/>
                  <w:szCs w:val="18"/>
                  <w:color w:val="0000EE"/>
                  <w:w w:val="92"/>
                </w:rPr>
                <w:t>Exhibit 12.1.</w:t>
              </w:r>
            </w:hyperlink>
          </w:p>
        </w:tc>
        <w:tc>
          <w:tcPr>
            <w:tcW w:w="900" w:type="dxa"/>
            <w:vAlign w:val="bottom"/>
          </w:tcPr>
          <w:p>
            <w:pPr>
              <w:spacing w:after="0"/>
              <w:rPr>
                <w:sz w:val="24"/>
                <w:szCs w:val="24"/>
                <w:color w:val="auto"/>
              </w:rPr>
            </w:pPr>
          </w:p>
        </w:tc>
        <w:tc>
          <w:tcPr>
            <w:tcW w:w="8740" w:type="dxa"/>
            <w:vAlign w:val="bottom"/>
            <w:gridSpan w:val="12"/>
          </w:tcPr>
          <w:p>
            <w:pPr>
              <w:spacing w:after="0"/>
              <w:rPr>
                <w:rFonts w:ascii="Arial" w:cs="Arial" w:eastAsia="Arial" w:hAnsi="Arial"/>
                <w:sz w:val="18"/>
                <w:szCs w:val="18"/>
                <w:color w:val="0000EE"/>
              </w:rPr>
            </w:pPr>
            <w:hyperlink w:anchor="page294">
              <w:r>
                <w:rPr>
                  <w:rFonts w:ascii="Arial" w:cs="Arial" w:eastAsia="Arial" w:hAnsi="Arial"/>
                  <w:sz w:val="18"/>
                  <w:szCs w:val="18"/>
                  <w:color w:val="0000EE"/>
                </w:rPr>
                <w:t>Certification of Principal Executive Officer pursuant to Exchange Act Rules 13a – 14(a) and 15d – 14(a)</w:t>
              </w:r>
            </w:hyperlink>
          </w:p>
        </w:tc>
      </w:tr>
      <w:tr>
        <w:trPr>
          <w:trHeight w:val="412"/>
        </w:trPr>
        <w:tc>
          <w:tcPr>
            <w:tcW w:w="660" w:type="dxa"/>
            <w:vAlign w:val="bottom"/>
          </w:tcPr>
          <w:p>
            <w:pPr>
              <w:spacing w:after="0"/>
              <w:rPr>
                <w:sz w:val="24"/>
                <w:szCs w:val="24"/>
                <w:color w:val="auto"/>
              </w:rPr>
            </w:pPr>
          </w:p>
        </w:tc>
        <w:tc>
          <w:tcPr>
            <w:tcW w:w="940" w:type="dxa"/>
            <w:vAlign w:val="bottom"/>
            <w:tcBorders>
              <w:top w:val="single" w:sz="8" w:color="0000EE"/>
              <w:bottom w:val="single" w:sz="8" w:color="0000EE"/>
            </w:tcBorders>
            <w:gridSpan w:val="4"/>
          </w:tcPr>
          <w:p>
            <w:pPr>
              <w:spacing w:after="0"/>
              <w:rPr>
                <w:rFonts w:ascii="Arial" w:cs="Arial" w:eastAsia="Arial" w:hAnsi="Arial"/>
                <w:sz w:val="18"/>
                <w:szCs w:val="18"/>
                <w:color w:val="0000EE"/>
                <w:w w:val="92"/>
              </w:rPr>
            </w:pPr>
            <w:hyperlink w:anchor="page295">
              <w:r>
                <w:rPr>
                  <w:rFonts w:ascii="Arial" w:cs="Arial" w:eastAsia="Arial" w:hAnsi="Arial"/>
                  <w:sz w:val="18"/>
                  <w:szCs w:val="18"/>
                  <w:color w:val="0000EE"/>
                  <w:w w:val="92"/>
                </w:rPr>
                <w:t>Exhibit 12.2.</w:t>
              </w:r>
            </w:hyperlink>
          </w:p>
        </w:tc>
        <w:tc>
          <w:tcPr>
            <w:tcW w:w="900" w:type="dxa"/>
            <w:vAlign w:val="bottom"/>
          </w:tcPr>
          <w:p>
            <w:pPr>
              <w:spacing w:after="0"/>
              <w:rPr>
                <w:sz w:val="24"/>
                <w:szCs w:val="24"/>
                <w:color w:val="auto"/>
              </w:rPr>
            </w:pPr>
          </w:p>
        </w:tc>
        <w:tc>
          <w:tcPr>
            <w:tcW w:w="7480" w:type="dxa"/>
            <w:vAlign w:val="bottom"/>
            <w:tcBorders>
              <w:top w:val="single" w:sz="8" w:color="0000EE"/>
              <w:bottom w:val="single" w:sz="8" w:color="0000EE"/>
            </w:tcBorders>
            <w:gridSpan w:val="7"/>
          </w:tcPr>
          <w:p>
            <w:pPr>
              <w:spacing w:after="0"/>
              <w:rPr>
                <w:rFonts w:ascii="Arial" w:cs="Arial" w:eastAsia="Arial" w:hAnsi="Arial"/>
                <w:sz w:val="18"/>
                <w:szCs w:val="18"/>
                <w:color w:val="0000EE"/>
                <w:w w:val="91"/>
              </w:rPr>
            </w:pPr>
            <w:hyperlink w:anchor="page295">
              <w:r>
                <w:rPr>
                  <w:rFonts w:ascii="Arial" w:cs="Arial" w:eastAsia="Arial" w:hAnsi="Arial"/>
                  <w:sz w:val="18"/>
                  <w:szCs w:val="18"/>
                  <w:color w:val="0000EE"/>
                  <w:w w:val="91"/>
                </w:rPr>
                <w:t>Certification of Principal Financial Officer pursuant to Exchange Act Rules 13a – 14(a) and 15d – 14(a)</w:t>
              </w:r>
            </w:hyperlink>
          </w:p>
        </w:tc>
        <w:tc>
          <w:tcPr>
            <w:tcW w:w="40" w:type="dxa"/>
            <w:vAlign w:val="bottom"/>
            <w:tcBorders>
              <w:top w:val="single" w:sz="8" w:color="0000EE"/>
            </w:tcBorders>
          </w:tcPr>
          <w:p>
            <w:pPr>
              <w:spacing w:after="0"/>
              <w:rPr>
                <w:sz w:val="24"/>
                <w:szCs w:val="24"/>
                <w:color w:val="auto"/>
              </w:rPr>
            </w:pPr>
          </w:p>
        </w:tc>
        <w:tc>
          <w:tcPr>
            <w:tcW w:w="1220" w:type="dxa"/>
            <w:vAlign w:val="bottom"/>
            <w:gridSpan w:val="4"/>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940" w:type="dxa"/>
            <w:vAlign w:val="bottom"/>
            <w:gridSpan w:val="4"/>
          </w:tcPr>
          <w:p>
            <w:pPr>
              <w:spacing w:after="0"/>
              <w:rPr>
                <w:rFonts w:ascii="Arial" w:cs="Arial" w:eastAsia="Arial" w:hAnsi="Arial"/>
                <w:sz w:val="18"/>
                <w:szCs w:val="18"/>
                <w:color w:val="0000EE"/>
                <w:w w:val="92"/>
              </w:rPr>
            </w:pPr>
            <w:hyperlink w:anchor="page296">
              <w:r>
                <w:rPr>
                  <w:rFonts w:ascii="Arial" w:cs="Arial" w:eastAsia="Arial" w:hAnsi="Arial"/>
                  <w:sz w:val="18"/>
                  <w:szCs w:val="18"/>
                  <w:color w:val="0000EE"/>
                  <w:w w:val="92"/>
                </w:rPr>
                <w:t>Exhibit 13.1.</w:t>
              </w:r>
            </w:hyperlink>
          </w:p>
        </w:tc>
        <w:tc>
          <w:tcPr>
            <w:tcW w:w="900" w:type="dxa"/>
            <w:vAlign w:val="bottom"/>
          </w:tcPr>
          <w:p>
            <w:pPr>
              <w:spacing w:after="0"/>
              <w:rPr>
                <w:sz w:val="24"/>
                <w:szCs w:val="24"/>
                <w:color w:val="auto"/>
              </w:rPr>
            </w:pPr>
          </w:p>
        </w:tc>
        <w:tc>
          <w:tcPr>
            <w:tcW w:w="8740" w:type="dxa"/>
            <w:vAlign w:val="bottom"/>
            <w:gridSpan w:val="12"/>
          </w:tcPr>
          <w:p>
            <w:pPr>
              <w:spacing w:after="0"/>
              <w:rPr>
                <w:rFonts w:ascii="Arial" w:cs="Arial" w:eastAsia="Arial" w:hAnsi="Arial"/>
                <w:sz w:val="18"/>
                <w:szCs w:val="18"/>
                <w:color w:val="0000EE"/>
                <w:w w:val="93"/>
              </w:rPr>
            </w:pPr>
            <w:hyperlink w:anchor="page296">
              <w:r>
                <w:rPr>
                  <w:rFonts w:ascii="Arial" w:cs="Arial" w:eastAsia="Arial" w:hAnsi="Arial"/>
                  <w:sz w:val="18"/>
                  <w:szCs w:val="18"/>
                  <w:color w:val="0000EE"/>
                  <w:w w:val="93"/>
                </w:rPr>
                <w:t>Certification of Principal Executive Officer pursuant to 18 U.S.C. Section 1350, as adopted pursuant to Section 906 of</w:t>
              </w:r>
            </w:hyperlink>
          </w:p>
        </w:tc>
      </w:tr>
      <w:tr>
        <w:trPr>
          <w:trHeight w:val="196"/>
        </w:trPr>
        <w:tc>
          <w:tcPr>
            <w:tcW w:w="660" w:type="dxa"/>
            <w:vAlign w:val="bottom"/>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0" w:type="dxa"/>
            <w:vAlign w:val="bottom"/>
            <w:tcBorders>
              <w:top w:val="single" w:sz="8" w:color="0000EE"/>
            </w:tcBorders>
          </w:tcPr>
          <w:p>
            <w:pPr>
              <w:spacing w:after="0"/>
              <w:rPr>
                <w:sz w:val="17"/>
                <w:szCs w:val="17"/>
                <w:color w:val="auto"/>
              </w:rPr>
            </w:pPr>
          </w:p>
        </w:tc>
        <w:tc>
          <w:tcPr>
            <w:tcW w:w="40" w:type="dxa"/>
            <w:vAlign w:val="bottom"/>
            <w:tcBorders>
              <w:top w:val="single" w:sz="8" w:color="0000EE"/>
            </w:tcBorders>
          </w:tcPr>
          <w:p>
            <w:pPr>
              <w:spacing w:after="0"/>
              <w:rPr>
                <w:sz w:val="17"/>
                <w:szCs w:val="17"/>
                <w:color w:val="auto"/>
              </w:rPr>
            </w:pPr>
          </w:p>
        </w:tc>
        <w:tc>
          <w:tcPr>
            <w:tcW w:w="60" w:type="dxa"/>
            <w:vAlign w:val="bottom"/>
            <w:tcBorders>
              <w:top w:val="single" w:sz="8" w:color="0000EE"/>
            </w:tcBorders>
          </w:tcPr>
          <w:p>
            <w:pPr>
              <w:spacing w:after="0"/>
              <w:rPr>
                <w:sz w:val="17"/>
                <w:szCs w:val="17"/>
                <w:color w:val="auto"/>
              </w:rPr>
            </w:pPr>
          </w:p>
        </w:tc>
        <w:tc>
          <w:tcPr>
            <w:tcW w:w="900" w:type="dxa"/>
            <w:vAlign w:val="bottom"/>
          </w:tcPr>
          <w:p>
            <w:pPr>
              <w:spacing w:after="0"/>
              <w:rPr>
                <w:sz w:val="17"/>
                <w:szCs w:val="17"/>
                <w:color w:val="auto"/>
              </w:rPr>
            </w:pPr>
          </w:p>
        </w:tc>
        <w:tc>
          <w:tcPr>
            <w:tcW w:w="2300" w:type="dxa"/>
            <w:vAlign w:val="bottom"/>
            <w:tcBorders>
              <w:top w:val="single" w:sz="8" w:color="0000EE"/>
              <w:bottom w:val="single" w:sz="8" w:color="0000EE"/>
            </w:tcBorders>
            <w:gridSpan w:val="5"/>
          </w:tcPr>
          <w:p>
            <w:pPr>
              <w:spacing w:after="0" w:line="196" w:lineRule="exact"/>
              <w:rPr>
                <w:rFonts w:ascii="Arial" w:cs="Arial" w:eastAsia="Arial" w:hAnsi="Arial"/>
                <w:sz w:val="18"/>
                <w:szCs w:val="18"/>
                <w:color w:val="0000EE"/>
                <w:w w:val="89"/>
              </w:rPr>
            </w:pPr>
            <w:hyperlink w:anchor="page296">
              <w:r>
                <w:rPr>
                  <w:rFonts w:ascii="Arial" w:cs="Arial" w:eastAsia="Arial" w:hAnsi="Arial"/>
                  <w:sz w:val="18"/>
                  <w:szCs w:val="18"/>
                  <w:color w:val="0000EE"/>
                  <w:w w:val="89"/>
                </w:rPr>
                <w:t>the Sarbanes Oxley Act of 2002</w:t>
              </w:r>
            </w:hyperlink>
          </w:p>
        </w:tc>
        <w:tc>
          <w:tcPr>
            <w:tcW w:w="6200" w:type="dxa"/>
            <w:vAlign w:val="bottom"/>
            <w:tcBorders>
              <w:top w:val="single" w:sz="8" w:color="0000EE"/>
            </w:tcBorders>
            <w:gridSpan w:val="5"/>
          </w:tcPr>
          <w:p>
            <w:pPr>
              <w:spacing w:after="0"/>
              <w:rPr>
                <w:sz w:val="17"/>
                <w:szCs w:val="17"/>
                <w:color w:val="auto"/>
              </w:rPr>
            </w:pPr>
          </w:p>
        </w:tc>
        <w:tc>
          <w:tcPr>
            <w:tcW w:w="240" w:type="dxa"/>
            <w:vAlign w:val="bottom"/>
            <w:gridSpan w:val="2"/>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4"/>
          </w:tcPr>
          <w:p>
            <w:pPr>
              <w:spacing w:after="0"/>
              <w:rPr>
                <w:rFonts w:ascii="Arial" w:cs="Arial" w:eastAsia="Arial" w:hAnsi="Arial"/>
                <w:sz w:val="18"/>
                <w:szCs w:val="18"/>
                <w:color w:val="0000EE"/>
                <w:w w:val="92"/>
              </w:rPr>
            </w:pPr>
            <w:hyperlink w:anchor="page297">
              <w:r>
                <w:rPr>
                  <w:rFonts w:ascii="Arial" w:cs="Arial" w:eastAsia="Arial" w:hAnsi="Arial"/>
                  <w:sz w:val="18"/>
                  <w:szCs w:val="18"/>
                  <w:color w:val="0000EE"/>
                  <w:w w:val="92"/>
                </w:rPr>
                <w:t>Exhibit 13.2.</w:t>
              </w:r>
            </w:hyperlink>
          </w:p>
        </w:tc>
        <w:tc>
          <w:tcPr>
            <w:tcW w:w="900" w:type="dxa"/>
            <w:vAlign w:val="bottom"/>
          </w:tcPr>
          <w:p>
            <w:pPr>
              <w:spacing w:after="0"/>
              <w:rPr>
                <w:sz w:val="24"/>
                <w:szCs w:val="24"/>
                <w:color w:val="auto"/>
              </w:rPr>
            </w:pPr>
          </w:p>
        </w:tc>
        <w:tc>
          <w:tcPr>
            <w:tcW w:w="8740" w:type="dxa"/>
            <w:vAlign w:val="bottom"/>
            <w:gridSpan w:val="12"/>
          </w:tcPr>
          <w:p>
            <w:pPr>
              <w:spacing w:after="0"/>
              <w:rPr>
                <w:rFonts w:ascii="Arial" w:cs="Arial" w:eastAsia="Arial" w:hAnsi="Arial"/>
                <w:sz w:val="18"/>
                <w:szCs w:val="18"/>
                <w:color w:val="0000EE"/>
                <w:w w:val="91"/>
              </w:rPr>
            </w:pPr>
            <w:hyperlink w:anchor="page297">
              <w:r>
                <w:rPr>
                  <w:rFonts w:ascii="Arial" w:cs="Arial" w:eastAsia="Arial" w:hAnsi="Arial"/>
                  <w:sz w:val="18"/>
                  <w:szCs w:val="18"/>
                  <w:color w:val="0000EE"/>
                  <w:w w:val="91"/>
                </w:rPr>
                <w:t>Certification of Principal Financial Officer pursuant to 18 U.S.C. Section 1350, as adopted pursuant to Section 906 of the</w:t>
              </w:r>
            </w:hyperlink>
          </w:p>
        </w:tc>
      </w:tr>
      <w:tr>
        <w:trPr>
          <w:trHeight w:val="196"/>
        </w:trPr>
        <w:tc>
          <w:tcPr>
            <w:tcW w:w="660" w:type="dxa"/>
            <w:vAlign w:val="bottom"/>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0" w:type="dxa"/>
            <w:vAlign w:val="bottom"/>
            <w:tcBorders>
              <w:top w:val="single" w:sz="8" w:color="0000EE"/>
            </w:tcBorders>
          </w:tcPr>
          <w:p>
            <w:pPr>
              <w:spacing w:after="0"/>
              <w:rPr>
                <w:sz w:val="17"/>
                <w:szCs w:val="17"/>
                <w:color w:val="auto"/>
              </w:rPr>
            </w:pPr>
          </w:p>
        </w:tc>
        <w:tc>
          <w:tcPr>
            <w:tcW w:w="40" w:type="dxa"/>
            <w:vAlign w:val="bottom"/>
            <w:tcBorders>
              <w:top w:val="single" w:sz="8" w:color="0000EE"/>
            </w:tcBorders>
          </w:tcPr>
          <w:p>
            <w:pPr>
              <w:spacing w:after="0"/>
              <w:rPr>
                <w:sz w:val="17"/>
                <w:szCs w:val="17"/>
                <w:color w:val="auto"/>
              </w:rPr>
            </w:pPr>
          </w:p>
        </w:tc>
        <w:tc>
          <w:tcPr>
            <w:tcW w:w="60" w:type="dxa"/>
            <w:vAlign w:val="bottom"/>
            <w:tcBorders>
              <w:top w:val="single" w:sz="8" w:color="0000EE"/>
            </w:tcBorders>
          </w:tcPr>
          <w:p>
            <w:pPr>
              <w:spacing w:after="0"/>
              <w:rPr>
                <w:sz w:val="17"/>
                <w:szCs w:val="17"/>
                <w:color w:val="auto"/>
              </w:rPr>
            </w:pPr>
          </w:p>
        </w:tc>
        <w:tc>
          <w:tcPr>
            <w:tcW w:w="900" w:type="dxa"/>
            <w:vAlign w:val="bottom"/>
          </w:tcPr>
          <w:p>
            <w:pPr>
              <w:spacing w:after="0"/>
              <w:rPr>
                <w:sz w:val="17"/>
                <w:szCs w:val="17"/>
                <w:color w:val="auto"/>
              </w:rPr>
            </w:pPr>
          </w:p>
        </w:tc>
        <w:tc>
          <w:tcPr>
            <w:tcW w:w="2040" w:type="dxa"/>
            <w:vAlign w:val="bottom"/>
            <w:tcBorders>
              <w:top w:val="single" w:sz="8" w:color="0000EE"/>
              <w:bottom w:val="single" w:sz="8" w:color="0000EE"/>
            </w:tcBorders>
            <w:gridSpan w:val="4"/>
          </w:tcPr>
          <w:p>
            <w:pPr>
              <w:spacing w:after="0" w:line="196" w:lineRule="exact"/>
              <w:rPr>
                <w:rFonts w:ascii="Arial" w:cs="Arial" w:eastAsia="Arial" w:hAnsi="Arial"/>
                <w:sz w:val="18"/>
                <w:szCs w:val="18"/>
                <w:color w:val="0000EE"/>
                <w:w w:val="90"/>
              </w:rPr>
            </w:pPr>
            <w:hyperlink w:anchor="page297">
              <w:r>
                <w:rPr>
                  <w:rFonts w:ascii="Arial" w:cs="Arial" w:eastAsia="Arial" w:hAnsi="Arial"/>
                  <w:sz w:val="18"/>
                  <w:szCs w:val="18"/>
                  <w:color w:val="0000EE"/>
                  <w:w w:val="90"/>
                </w:rPr>
                <w:t>Sarbanes Oxley Act of 2002</w:t>
              </w:r>
            </w:hyperlink>
          </w:p>
        </w:tc>
        <w:tc>
          <w:tcPr>
            <w:tcW w:w="6680" w:type="dxa"/>
            <w:vAlign w:val="bottom"/>
            <w:tcBorders>
              <w:top w:val="single" w:sz="8" w:color="0000EE"/>
            </w:tcBorders>
            <w:gridSpan w:val="7"/>
          </w:tcPr>
          <w:p>
            <w:pPr>
              <w:spacing w:after="0"/>
              <w:rPr>
                <w:sz w:val="17"/>
                <w:szCs w:val="17"/>
                <w:color w:val="auto"/>
              </w:rPr>
            </w:pPr>
          </w:p>
        </w:tc>
        <w:tc>
          <w:tcPr>
            <w:tcW w:w="20" w:type="dxa"/>
            <w:vAlign w:val="bottom"/>
          </w:tcPr>
          <w:p>
            <w:pPr>
              <w:spacing w:after="0"/>
              <w:rPr>
                <w:sz w:val="17"/>
                <w:szCs w:val="17"/>
                <w:color w:val="auto"/>
              </w:rPr>
            </w:pPr>
          </w:p>
        </w:tc>
      </w:tr>
      <w:tr>
        <w:trPr>
          <w:trHeight w:val="669"/>
        </w:trPr>
        <w:tc>
          <w:tcPr>
            <w:tcW w:w="6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500" w:type="dxa"/>
            <w:vAlign w:val="bottom"/>
            <w:tcBorders>
              <w:bottom w:val="single" w:sz="8" w:color="auto"/>
            </w:tcBorders>
            <w:gridSpan w:val="6"/>
          </w:tcPr>
          <w:p>
            <w:pPr>
              <w:ind w:left="2980"/>
              <w:spacing w:after="0"/>
              <w:rPr>
                <w:sz w:val="20"/>
                <w:szCs w:val="20"/>
                <w:color w:val="auto"/>
              </w:rPr>
            </w:pPr>
            <w:r>
              <w:rPr>
                <w:rFonts w:ascii="Arial" w:cs="Arial" w:eastAsia="Arial" w:hAnsi="Arial"/>
                <w:sz w:val="18"/>
                <w:szCs w:val="18"/>
                <w:color w:val="auto"/>
              </w:rPr>
              <w:t>129</w:t>
            </w:r>
          </w:p>
        </w:tc>
        <w:tc>
          <w:tcPr>
            <w:tcW w:w="39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133" w:name="page134"/>
    <w:bookmarkEnd w:id="133"/>
    <w:p>
      <w:pPr>
        <w:jc w:val="center"/>
        <w:ind w:right="-19"/>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registrant hereby certifies that it meets all of the requirements for filing on Form 20-F and that it has duly caused and authorized the undersigned to sign this Annual Report on its behalf.</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S.A.</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Jorge Salas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Chief Executive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April 29, 2021</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904" w:right="359" w:bottom="1440" w:gutter="0" w:footer="0" w:header="0"/>
        </w:sectPr>
      </w:pPr>
    </w:p>
    <w:bookmarkStart w:id="134" w:name="page135"/>
    <w:bookmarkEnd w:id="134"/>
    <w:tbl>
      <w:tblPr>
        <w:tblLayout w:type="fixed"/>
        <w:tblInd w:w="0" w:type="dxa"/>
        <w:tblCellMar>
          <w:top w:w="0" w:type="dxa"/>
          <w:left w:w="0" w:type="dxa"/>
          <w:bottom w:w="0" w:type="dxa"/>
          <w:right w:w="0" w:type="dxa"/>
        </w:tblCellMar>
      </w:tblPr>
      <w:tr>
        <w:trPr>
          <w:trHeight w:val="207"/>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9640" w:type="dxa"/>
            <w:vAlign w:val="bottom"/>
            <w:gridSpan w:val="16"/>
          </w:tcPr>
          <w:p>
            <w:pPr>
              <w:jc w:val="center"/>
              <w:ind w:right="1600"/>
              <w:spacing w:after="0"/>
              <w:rPr>
                <w:sz w:val="20"/>
                <w:szCs w:val="20"/>
                <w:color w:val="auto"/>
              </w:rPr>
            </w:pPr>
            <w:r>
              <w:rPr>
                <w:rFonts w:ascii="Arial" w:cs="Arial" w:eastAsia="Arial" w:hAnsi="Arial"/>
                <w:sz w:val="18"/>
                <w:szCs w:val="18"/>
                <w:b w:val="1"/>
                <w:bCs w:val="1"/>
                <w:color w:val="auto"/>
              </w:rPr>
              <w:t>EXHIBIT INDEX</w:t>
            </w:r>
          </w:p>
        </w:tc>
      </w:tr>
      <w:tr>
        <w:trPr>
          <w:trHeight w:val="453"/>
        </w:trPr>
        <w:tc>
          <w:tcPr>
            <w:tcW w:w="1600" w:type="dxa"/>
            <w:vAlign w:val="bottom"/>
            <w:gridSpan w:val="4"/>
          </w:tcPr>
          <w:p>
            <w:pPr>
              <w:spacing w:after="0"/>
              <w:rPr>
                <w:sz w:val="20"/>
                <w:szCs w:val="20"/>
                <w:color w:val="auto"/>
              </w:rPr>
            </w:pPr>
            <w:r>
              <w:rPr>
                <w:rFonts w:ascii="Arial" w:cs="Arial" w:eastAsia="Arial" w:hAnsi="Arial"/>
                <w:sz w:val="18"/>
                <w:szCs w:val="18"/>
                <w:b w:val="1"/>
                <w:bCs w:val="1"/>
                <w:color w:val="auto"/>
              </w:rPr>
              <w:t>Exhibit</w:t>
            </w:r>
          </w:p>
        </w:tc>
        <w:tc>
          <w:tcPr>
            <w:tcW w:w="3320" w:type="dxa"/>
            <w:vAlign w:val="bottom"/>
          </w:tcPr>
          <w:p>
            <w:pPr>
              <w:spacing w:after="0"/>
              <w:rPr>
                <w:sz w:val="24"/>
                <w:szCs w:val="24"/>
                <w:color w:val="auto"/>
              </w:rPr>
            </w:pPr>
          </w:p>
        </w:tc>
        <w:tc>
          <w:tcPr>
            <w:tcW w:w="820" w:type="dxa"/>
            <w:vAlign w:val="bottom"/>
            <w:tcBorders>
              <w:top w:val="single" w:sz="8" w:color="auto"/>
            </w:tcBorders>
          </w:tcPr>
          <w:p>
            <w:pPr>
              <w:spacing w:after="0"/>
              <w:rPr>
                <w:sz w:val="24"/>
                <w:szCs w:val="24"/>
                <w:color w:val="auto"/>
              </w:rPr>
            </w:pPr>
          </w:p>
        </w:tc>
        <w:tc>
          <w:tcPr>
            <w:tcW w:w="360" w:type="dxa"/>
            <w:vAlign w:val="bottom"/>
            <w:tcBorders>
              <w:top w:val="single" w:sz="8" w:color="auto"/>
            </w:tcBorders>
          </w:tcPr>
          <w:p>
            <w:pPr>
              <w:spacing w:after="0"/>
              <w:rPr>
                <w:sz w:val="24"/>
                <w:szCs w:val="24"/>
                <w:color w:val="auto"/>
              </w:rPr>
            </w:pPr>
          </w:p>
        </w:tc>
        <w:tc>
          <w:tcPr>
            <w:tcW w:w="22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391"/>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rPr>
            </w:pPr>
            <w:hyperlink w:anchor="page264">
              <w:r>
                <w:rPr>
                  <w:rFonts w:ascii="Arial" w:cs="Arial" w:eastAsia="Arial" w:hAnsi="Arial"/>
                  <w:sz w:val="18"/>
                  <w:szCs w:val="18"/>
                  <w:color w:val="0000EE"/>
                </w:rPr>
                <w:t>Exhibit 1.1.</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gridSpan w:val="14"/>
          </w:tcPr>
          <w:p>
            <w:pPr>
              <w:spacing w:after="0"/>
              <w:rPr>
                <w:rFonts w:ascii="Arial" w:cs="Arial" w:eastAsia="Arial" w:hAnsi="Arial"/>
                <w:sz w:val="18"/>
                <w:szCs w:val="18"/>
                <w:color w:val="0000EE"/>
              </w:rPr>
            </w:pPr>
            <w:hyperlink w:anchor="page264">
              <w:r>
                <w:rPr>
                  <w:rFonts w:ascii="Arial" w:cs="Arial" w:eastAsia="Arial" w:hAnsi="Arial"/>
                  <w:sz w:val="18"/>
                  <w:szCs w:val="18"/>
                  <w:color w:val="0000EE"/>
                </w:rPr>
                <w:t>Amended and Restated Articles of Incorporation</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420" w:type="dxa"/>
            <w:vAlign w:val="bottom"/>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600" w:type="dxa"/>
            <w:vAlign w:val="bottom"/>
            <w:shd w:val="clear" w:color="auto" w:fill="0000EE"/>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660" w:type="dxa"/>
            <w:vAlign w:val="bottom"/>
            <w:shd w:val="clear" w:color="auto" w:fill="0000EE"/>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840" w:type="dxa"/>
            <w:vAlign w:val="bottom"/>
          </w:tcPr>
          <w:p>
            <w:pPr>
              <w:spacing w:after="0"/>
              <w:rPr>
                <w:rFonts w:ascii="Arial" w:cs="Arial" w:eastAsia="Arial" w:hAnsi="Arial"/>
                <w:sz w:val="18"/>
                <w:szCs w:val="18"/>
                <w:color w:val="0000EE"/>
                <w:w w:val="89"/>
              </w:rPr>
            </w:pPr>
            <w:hyperlink r:id="rId141">
              <w:r>
                <w:rPr>
                  <w:rFonts w:ascii="Arial" w:cs="Arial" w:eastAsia="Arial" w:hAnsi="Arial"/>
                  <w:sz w:val="18"/>
                  <w:szCs w:val="18"/>
                  <w:color w:val="0000EE"/>
                  <w:w w:val="89"/>
                </w:rPr>
                <w:t>Exhibit 1.2.</w:t>
              </w:r>
            </w:hyperlink>
          </w:p>
        </w:tc>
        <w:tc>
          <w:tcPr>
            <w:tcW w:w="100" w:type="dxa"/>
            <w:vAlign w:val="bottom"/>
            <w:gridSpan w:val="2"/>
          </w:tcPr>
          <w:p>
            <w:pPr>
              <w:spacing w:after="0"/>
              <w:rPr>
                <w:sz w:val="24"/>
                <w:szCs w:val="24"/>
                <w:color w:val="auto"/>
              </w:rPr>
            </w:pPr>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gridSpan w:val="14"/>
          </w:tcPr>
          <w:p>
            <w:pPr>
              <w:spacing w:after="0"/>
              <w:rPr>
                <w:rFonts w:ascii="Arial" w:cs="Arial" w:eastAsia="Arial" w:hAnsi="Arial"/>
                <w:sz w:val="18"/>
                <w:szCs w:val="18"/>
                <w:color w:val="0000EE"/>
              </w:rPr>
            </w:pPr>
            <w:hyperlink r:id="rId141">
              <w:r>
                <w:rPr>
                  <w:rFonts w:ascii="Arial" w:cs="Arial" w:eastAsia="Arial" w:hAnsi="Arial"/>
                  <w:sz w:val="18"/>
                  <w:szCs w:val="18"/>
                  <w:color w:val="0000EE"/>
                </w:rPr>
                <w:t>By-Laws</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40" w:type="dxa"/>
            <w:vAlign w:val="bottom"/>
            <w:tcBorders>
              <w:left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2260" w:type="dxa"/>
            <w:vAlign w:val="bottom"/>
            <w:gridSpan w:val="2"/>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840" w:type="dxa"/>
            <w:vAlign w:val="bottom"/>
            <w:tcBorders>
              <w:bottom w:val="single" w:sz="8" w:color="0000EE"/>
            </w:tcBorders>
          </w:tcPr>
          <w:p>
            <w:pPr>
              <w:spacing w:after="0"/>
              <w:rPr>
                <w:rFonts w:ascii="Arial" w:cs="Arial" w:eastAsia="Arial" w:hAnsi="Arial"/>
                <w:sz w:val="18"/>
                <w:szCs w:val="18"/>
                <w:color w:val="0000EE"/>
                <w:w w:val="89"/>
              </w:rPr>
            </w:pPr>
            <w:hyperlink r:id="rId142">
              <w:r>
                <w:rPr>
                  <w:rFonts w:ascii="Arial" w:cs="Arial" w:eastAsia="Arial" w:hAnsi="Arial"/>
                  <w:sz w:val="18"/>
                  <w:szCs w:val="18"/>
                  <w:color w:val="0000EE"/>
                  <w:w w:val="89"/>
                </w:rPr>
                <w:t>Exhibit 2.1.</w:t>
              </w:r>
            </w:hyperlink>
          </w:p>
        </w:tc>
        <w:tc>
          <w:tcPr>
            <w:tcW w:w="100" w:type="dxa"/>
            <w:vAlign w:val="bottom"/>
            <w:gridSpan w:val="2"/>
          </w:tcPr>
          <w:p>
            <w:pPr>
              <w:spacing w:after="0"/>
              <w:rPr>
                <w:sz w:val="24"/>
                <w:szCs w:val="24"/>
                <w:color w:val="auto"/>
              </w:rPr>
            </w:pPr>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400" w:type="dxa"/>
            <w:vAlign w:val="bottom"/>
            <w:tcBorders>
              <w:bottom w:val="single" w:sz="8" w:color="0000EE"/>
            </w:tcBorders>
            <w:gridSpan w:val="12"/>
          </w:tcPr>
          <w:p>
            <w:pPr>
              <w:spacing w:after="0"/>
              <w:rPr>
                <w:rFonts w:ascii="Arial" w:cs="Arial" w:eastAsia="Arial" w:hAnsi="Arial"/>
                <w:sz w:val="18"/>
                <w:szCs w:val="18"/>
                <w:color w:val="0000EE"/>
                <w:w w:val="90"/>
              </w:rPr>
            </w:pPr>
            <w:hyperlink r:id="rId142">
              <w:r>
                <w:rPr>
                  <w:rFonts w:ascii="Arial" w:cs="Arial" w:eastAsia="Arial" w:hAnsi="Arial"/>
                  <w:sz w:val="18"/>
                  <w:szCs w:val="18"/>
                  <w:color w:val="0000EE"/>
                  <w:w w:val="90"/>
                </w:rPr>
                <w:t>Description of rights of each class of securities registered under Section 12</w:t>
              </w:r>
            </w:hyperlink>
          </w:p>
        </w:tc>
        <w:tc>
          <w:tcPr>
            <w:tcW w:w="100" w:type="dxa"/>
            <w:vAlign w:val="bottom"/>
            <w:gridSpan w:val="2"/>
          </w:tcPr>
          <w:p>
            <w:pPr>
              <w:spacing w:after="0"/>
              <w:rPr>
                <w:sz w:val="24"/>
                <w:szCs w:val="24"/>
                <w:color w:val="auto"/>
              </w:rPr>
            </w:pPr>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3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840" w:type="dxa"/>
            <w:vAlign w:val="bottom"/>
            <w:tcBorders>
              <w:bottom w:val="single" w:sz="8" w:color="0000EE"/>
            </w:tcBorders>
            <w:gridSpan w:val="7"/>
          </w:tcPr>
          <w:p>
            <w:pPr>
              <w:spacing w:after="0" w:line="196" w:lineRule="exact"/>
              <w:rPr>
                <w:rFonts w:ascii="Arial" w:cs="Arial" w:eastAsia="Arial" w:hAnsi="Arial"/>
                <w:sz w:val="18"/>
                <w:szCs w:val="18"/>
                <w:color w:val="0000EE"/>
                <w:w w:val="90"/>
              </w:rPr>
            </w:pPr>
            <w:hyperlink r:id="rId142">
              <w:r>
                <w:rPr>
                  <w:rFonts w:ascii="Arial" w:cs="Arial" w:eastAsia="Arial" w:hAnsi="Arial"/>
                  <w:sz w:val="18"/>
                  <w:szCs w:val="18"/>
                  <w:color w:val="0000EE"/>
                  <w:w w:val="90"/>
                </w:rPr>
                <w:t>of the Securities Exchange Act of 1934</w:t>
              </w:r>
            </w:hyperlink>
          </w:p>
        </w:tc>
        <w:tc>
          <w:tcPr>
            <w:tcW w:w="2660" w:type="dxa"/>
            <w:vAlign w:val="bottom"/>
            <w:gridSpan w:val="7"/>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rPr>
            </w:pPr>
            <w:hyperlink w:anchor="page273">
              <w:r>
                <w:rPr>
                  <w:rFonts w:ascii="Arial" w:cs="Arial" w:eastAsia="Arial" w:hAnsi="Arial"/>
                  <w:sz w:val="18"/>
                  <w:szCs w:val="18"/>
                  <w:color w:val="0000EE"/>
                </w:rPr>
                <w:t>Exhibit 8.1.</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gridSpan w:val="14"/>
          </w:tcPr>
          <w:p>
            <w:pPr>
              <w:spacing w:after="0"/>
              <w:rPr>
                <w:rFonts w:ascii="Arial" w:cs="Arial" w:eastAsia="Arial" w:hAnsi="Arial"/>
                <w:sz w:val="18"/>
                <w:szCs w:val="18"/>
                <w:color w:val="0000EE"/>
              </w:rPr>
            </w:pPr>
            <w:hyperlink w:anchor="page273">
              <w:r>
                <w:rPr>
                  <w:rFonts w:ascii="Arial" w:cs="Arial" w:eastAsia="Arial" w:hAnsi="Arial"/>
                  <w:sz w:val="18"/>
                  <w:szCs w:val="18"/>
                  <w:color w:val="0000EE"/>
                </w:rPr>
                <w:t>List of Subsidiaries</w:t>
              </w:r>
            </w:hyperlink>
          </w:p>
        </w:tc>
      </w:tr>
      <w:tr>
        <w:trPr>
          <w:trHeight w:val="20"/>
        </w:trPr>
        <w:tc>
          <w:tcPr>
            <w:tcW w:w="660" w:type="dxa"/>
            <w:vAlign w:val="bottom"/>
          </w:tcPr>
          <w:p>
            <w:pPr>
              <w:spacing w:after="0" w:line="20" w:lineRule="exact"/>
              <w:rPr>
                <w:sz w:val="1"/>
                <w:szCs w:val="1"/>
                <w:color w:val="auto"/>
              </w:rPr>
            </w:pPr>
          </w:p>
        </w:tc>
        <w:tc>
          <w:tcPr>
            <w:tcW w:w="840" w:type="dxa"/>
            <w:vAlign w:val="bottom"/>
            <w:shd w:val="clear" w:color="auto" w:fill="0000EE"/>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720" w:type="dxa"/>
            <w:vAlign w:val="bottom"/>
            <w:gridSpan w:val="3"/>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3100" w:type="dxa"/>
            <w:vAlign w:val="bottom"/>
            <w:gridSpan w:val="3"/>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880" w:type="dxa"/>
            <w:vAlign w:val="bottom"/>
            <w:tcBorders>
              <w:bottom w:val="single" w:sz="8" w:color="0000EE"/>
            </w:tcBorders>
            <w:gridSpan w:val="2"/>
          </w:tcPr>
          <w:p>
            <w:pPr>
              <w:spacing w:after="0"/>
              <w:rPr>
                <w:rFonts w:ascii="Arial" w:cs="Arial" w:eastAsia="Arial" w:hAnsi="Arial"/>
                <w:sz w:val="18"/>
                <w:szCs w:val="18"/>
                <w:color w:val="0000EE"/>
                <w:w w:val="91"/>
              </w:rPr>
            </w:pPr>
            <w:hyperlink w:anchor="page274">
              <w:r>
                <w:rPr>
                  <w:rFonts w:ascii="Arial" w:cs="Arial" w:eastAsia="Arial" w:hAnsi="Arial"/>
                  <w:sz w:val="18"/>
                  <w:szCs w:val="18"/>
                  <w:color w:val="0000EE"/>
                  <w:w w:val="91"/>
                </w:rPr>
                <w:t>Exhibit 11.1</w:t>
              </w:r>
            </w:hyperlink>
          </w:p>
        </w:tc>
        <w:tc>
          <w:tcPr>
            <w:tcW w:w="6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80" w:type="dxa"/>
            <w:vAlign w:val="bottom"/>
            <w:tcBorders>
              <w:bottom w:val="single" w:sz="8" w:color="0000EE"/>
            </w:tcBorders>
            <w:gridSpan w:val="4"/>
          </w:tcPr>
          <w:p>
            <w:pPr>
              <w:spacing w:after="0"/>
              <w:rPr>
                <w:rFonts w:ascii="Arial" w:cs="Arial" w:eastAsia="Arial" w:hAnsi="Arial"/>
                <w:sz w:val="18"/>
                <w:szCs w:val="18"/>
                <w:color w:val="0000EE"/>
                <w:w w:val="90"/>
              </w:rPr>
            </w:pPr>
            <w:hyperlink w:anchor="page274">
              <w:r>
                <w:rPr>
                  <w:rFonts w:ascii="Arial" w:cs="Arial" w:eastAsia="Arial" w:hAnsi="Arial"/>
                  <w:sz w:val="18"/>
                  <w:szCs w:val="18"/>
                  <w:color w:val="0000EE"/>
                  <w:w w:val="90"/>
                </w:rPr>
                <w:t>Code of Ethics</w:t>
              </w:r>
            </w:hyperlink>
          </w:p>
        </w:tc>
        <w:tc>
          <w:tcPr>
            <w:tcW w:w="4420" w:type="dxa"/>
            <w:vAlign w:val="bottom"/>
            <w:gridSpan w:val="10"/>
          </w:tcPr>
          <w:p>
            <w:pPr>
              <w:spacing w:after="0"/>
              <w:rPr>
                <w:sz w:val="24"/>
                <w:szCs w:val="24"/>
                <w:color w:val="auto"/>
              </w:rPr>
            </w:pPr>
          </w:p>
        </w:tc>
      </w:tr>
      <w:tr>
        <w:trPr>
          <w:trHeight w:val="412"/>
        </w:trPr>
        <w:tc>
          <w:tcPr>
            <w:tcW w:w="660" w:type="dxa"/>
            <w:vAlign w:val="bottom"/>
          </w:tcPr>
          <w:p>
            <w:pPr>
              <w:spacing w:after="0"/>
              <w:rPr>
                <w:sz w:val="24"/>
                <w:szCs w:val="24"/>
                <w:color w:val="auto"/>
              </w:rPr>
            </w:pPr>
          </w:p>
        </w:tc>
        <w:tc>
          <w:tcPr>
            <w:tcW w:w="940" w:type="dxa"/>
            <w:vAlign w:val="bottom"/>
            <w:tcBorders>
              <w:bottom w:val="single" w:sz="8" w:color="0000EE"/>
            </w:tcBorders>
            <w:gridSpan w:val="3"/>
          </w:tcPr>
          <w:p>
            <w:pPr>
              <w:spacing w:after="0"/>
              <w:rPr>
                <w:rFonts w:ascii="Arial" w:cs="Arial" w:eastAsia="Arial" w:hAnsi="Arial"/>
                <w:sz w:val="18"/>
                <w:szCs w:val="18"/>
                <w:color w:val="0000EE"/>
                <w:w w:val="92"/>
              </w:rPr>
            </w:pPr>
            <w:hyperlink w:anchor="page294">
              <w:r>
                <w:rPr>
                  <w:rFonts w:ascii="Arial" w:cs="Arial" w:eastAsia="Arial" w:hAnsi="Arial"/>
                  <w:sz w:val="18"/>
                  <w:szCs w:val="18"/>
                  <w:color w:val="0000EE"/>
                  <w:w w:val="92"/>
                </w:rPr>
                <w:t>Exhibit 12.1.</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tcBorders>
              <w:bottom w:val="single" w:sz="8" w:color="0000EE"/>
            </w:tcBorders>
            <w:gridSpan w:val="14"/>
          </w:tcPr>
          <w:p>
            <w:pPr>
              <w:spacing w:after="0"/>
              <w:rPr>
                <w:rFonts w:ascii="Arial" w:cs="Arial" w:eastAsia="Arial" w:hAnsi="Arial"/>
                <w:sz w:val="18"/>
                <w:szCs w:val="18"/>
                <w:color w:val="0000EE"/>
                <w:w w:val="92"/>
              </w:rPr>
            </w:pPr>
            <w:hyperlink w:anchor="page294">
              <w:r>
                <w:rPr>
                  <w:rFonts w:ascii="Arial" w:cs="Arial" w:eastAsia="Arial" w:hAnsi="Arial"/>
                  <w:sz w:val="18"/>
                  <w:szCs w:val="18"/>
                  <w:color w:val="0000EE"/>
                  <w:w w:val="92"/>
                </w:rPr>
                <w:t>Certification of Principal Executive Officer pursuant to Exchange Act Rules</w:t>
              </w:r>
            </w:hyperlink>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3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5500" w:type="dxa"/>
            <w:vAlign w:val="bottom"/>
            <w:gridSpan w:val="14"/>
          </w:tcPr>
          <w:p>
            <w:pPr>
              <w:spacing w:after="0" w:line="196" w:lineRule="exact"/>
              <w:rPr>
                <w:rFonts w:ascii="Arial" w:cs="Arial" w:eastAsia="Arial" w:hAnsi="Arial"/>
                <w:sz w:val="18"/>
                <w:szCs w:val="18"/>
                <w:color w:val="0000EE"/>
              </w:rPr>
            </w:pPr>
            <w:hyperlink w:anchor="page294">
              <w:r>
                <w:rPr>
                  <w:rFonts w:ascii="Arial" w:cs="Arial" w:eastAsia="Arial" w:hAnsi="Arial"/>
                  <w:sz w:val="18"/>
                  <w:szCs w:val="18"/>
                  <w:color w:val="0000EE"/>
                </w:rPr>
                <w:t>13a – 14(a) and 15d – 14(a)</w:t>
              </w:r>
            </w:hyperlink>
          </w:p>
        </w:tc>
      </w:tr>
      <w:tr>
        <w:trPr>
          <w:trHeight w:val="20"/>
        </w:trPr>
        <w:tc>
          <w:tcPr>
            <w:tcW w:w="660" w:type="dxa"/>
            <w:vAlign w:val="bottom"/>
          </w:tcPr>
          <w:p>
            <w:pPr>
              <w:spacing w:after="0" w:line="20" w:lineRule="exact"/>
              <w:rPr>
                <w:sz w:val="1"/>
                <w:szCs w:val="1"/>
                <w:color w:val="auto"/>
              </w:rPr>
            </w:pPr>
          </w:p>
        </w:tc>
        <w:tc>
          <w:tcPr>
            <w:tcW w:w="940" w:type="dxa"/>
            <w:vAlign w:val="bottom"/>
            <w:gridSpan w:val="3"/>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1640" w:type="dxa"/>
            <w:vAlign w:val="bottom"/>
            <w:gridSpan w:val="5"/>
            <w:shd w:val="clear" w:color="auto" w:fill="0000EE"/>
          </w:tcPr>
          <w:p>
            <w:pPr>
              <w:spacing w:after="0" w:line="20" w:lineRule="exact"/>
              <w:rPr>
                <w:sz w:val="1"/>
                <w:szCs w:val="1"/>
                <w:color w:val="auto"/>
              </w:rPr>
            </w:pPr>
          </w:p>
        </w:tc>
        <w:tc>
          <w:tcPr>
            <w:tcW w:w="3100" w:type="dxa"/>
            <w:vAlign w:val="bottom"/>
            <w:gridSpan w:val="3"/>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w w:val="92"/>
              </w:rPr>
            </w:pPr>
            <w:hyperlink w:anchor="page295">
              <w:r>
                <w:rPr>
                  <w:rFonts w:ascii="Arial" w:cs="Arial" w:eastAsia="Arial" w:hAnsi="Arial"/>
                  <w:sz w:val="18"/>
                  <w:szCs w:val="18"/>
                  <w:color w:val="0000EE"/>
                  <w:w w:val="92"/>
                </w:rPr>
                <w:t>Exhibit 12.2.</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gridSpan w:val="14"/>
          </w:tcPr>
          <w:p>
            <w:pPr>
              <w:spacing w:after="0"/>
              <w:rPr>
                <w:rFonts w:ascii="Arial" w:cs="Arial" w:eastAsia="Arial" w:hAnsi="Arial"/>
                <w:sz w:val="18"/>
                <w:szCs w:val="18"/>
                <w:color w:val="0000EE"/>
                <w:w w:val="93"/>
              </w:rPr>
            </w:pPr>
            <w:hyperlink w:anchor="page295">
              <w:r>
                <w:rPr>
                  <w:rFonts w:ascii="Arial" w:cs="Arial" w:eastAsia="Arial" w:hAnsi="Arial"/>
                  <w:sz w:val="18"/>
                  <w:szCs w:val="18"/>
                  <w:color w:val="0000EE"/>
                  <w:w w:val="93"/>
                </w:rPr>
                <w:t>Certification of Principal Financial Officer pursuant to Exchange Act Rules</w:t>
              </w:r>
            </w:hyperlink>
          </w:p>
        </w:tc>
      </w:tr>
      <w:tr>
        <w:trPr>
          <w:trHeight w:val="196"/>
        </w:trPr>
        <w:tc>
          <w:tcPr>
            <w:tcW w:w="660" w:type="dxa"/>
            <w:vAlign w:val="bottom"/>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40" w:type="dxa"/>
            <w:vAlign w:val="bottom"/>
            <w:tcBorders>
              <w:top w:val="single" w:sz="8" w:color="0000EE"/>
            </w:tcBorders>
          </w:tcPr>
          <w:p>
            <w:pPr>
              <w:spacing w:after="0"/>
              <w:rPr>
                <w:sz w:val="17"/>
                <w:szCs w:val="17"/>
                <w:color w:val="auto"/>
              </w:rPr>
            </w:pPr>
          </w:p>
        </w:tc>
        <w:tc>
          <w:tcPr>
            <w:tcW w:w="60" w:type="dxa"/>
            <w:vAlign w:val="bottom"/>
            <w:tcBorders>
              <w:top w:val="single" w:sz="8" w:color="0000EE"/>
            </w:tcBorders>
          </w:tcPr>
          <w:p>
            <w:pPr>
              <w:spacing w:after="0"/>
              <w:rPr>
                <w:sz w:val="17"/>
                <w:szCs w:val="17"/>
                <w:color w:val="auto"/>
              </w:rPr>
            </w:pPr>
          </w:p>
        </w:tc>
        <w:tc>
          <w:tcPr>
            <w:tcW w:w="33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5440" w:type="dxa"/>
            <w:vAlign w:val="bottom"/>
            <w:tcBorders>
              <w:top w:val="single" w:sz="8" w:color="0000EE"/>
            </w:tcBorders>
            <w:gridSpan w:val="13"/>
          </w:tcPr>
          <w:p>
            <w:pPr>
              <w:spacing w:after="0" w:line="196" w:lineRule="exact"/>
              <w:rPr>
                <w:rFonts w:ascii="Arial" w:cs="Arial" w:eastAsia="Arial" w:hAnsi="Arial"/>
                <w:sz w:val="18"/>
                <w:szCs w:val="18"/>
                <w:color w:val="0000EE"/>
              </w:rPr>
            </w:pPr>
            <w:hyperlink w:anchor="page295">
              <w:r>
                <w:rPr>
                  <w:rFonts w:ascii="Arial" w:cs="Arial" w:eastAsia="Arial" w:hAnsi="Arial"/>
                  <w:sz w:val="18"/>
                  <w:szCs w:val="18"/>
                  <w:color w:val="0000EE"/>
                </w:rPr>
                <w:t>13a – 14(a) and 15d – 14(a)</w:t>
              </w:r>
            </w:hyperlink>
          </w:p>
        </w:tc>
        <w:tc>
          <w:tcPr>
            <w:tcW w:w="60" w:type="dxa"/>
            <w:vAlign w:val="bottom"/>
          </w:tcPr>
          <w:p>
            <w:pPr>
              <w:spacing w:after="0"/>
              <w:rPr>
                <w:sz w:val="17"/>
                <w:szCs w:val="17"/>
                <w:color w:val="auto"/>
              </w:rPr>
            </w:pPr>
          </w:p>
        </w:tc>
      </w:tr>
      <w:tr>
        <w:trPr>
          <w:trHeight w:val="20"/>
        </w:trPr>
        <w:tc>
          <w:tcPr>
            <w:tcW w:w="660" w:type="dxa"/>
            <w:vAlign w:val="bottom"/>
          </w:tcPr>
          <w:p>
            <w:pPr>
              <w:spacing w:after="0" w:line="20" w:lineRule="exact"/>
              <w:rPr>
                <w:sz w:val="1"/>
                <w:szCs w:val="1"/>
                <w:color w:val="auto"/>
              </w:rPr>
            </w:pPr>
          </w:p>
        </w:tc>
        <w:tc>
          <w:tcPr>
            <w:tcW w:w="940" w:type="dxa"/>
            <w:vAlign w:val="bottom"/>
            <w:gridSpan w:val="3"/>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360" w:type="dxa"/>
            <w:vAlign w:val="bottom"/>
            <w:shd w:val="clear" w:color="auto" w:fill="0000EE"/>
          </w:tcPr>
          <w:p>
            <w:pPr>
              <w:spacing w:after="0" w:line="20" w:lineRule="exact"/>
              <w:rPr>
                <w:sz w:val="1"/>
                <w:szCs w:val="1"/>
                <w:color w:val="auto"/>
              </w:rPr>
            </w:pPr>
          </w:p>
        </w:tc>
        <w:tc>
          <w:tcPr>
            <w:tcW w:w="1640" w:type="dxa"/>
            <w:vAlign w:val="bottom"/>
            <w:gridSpan w:val="5"/>
            <w:shd w:val="clear" w:color="auto" w:fill="0000EE"/>
          </w:tcPr>
          <w:p>
            <w:pPr>
              <w:spacing w:after="0" w:line="20" w:lineRule="exact"/>
              <w:rPr>
                <w:sz w:val="1"/>
                <w:szCs w:val="1"/>
                <w:color w:val="auto"/>
              </w:rPr>
            </w:pPr>
          </w:p>
        </w:tc>
        <w:tc>
          <w:tcPr>
            <w:tcW w:w="3100" w:type="dxa"/>
            <w:vAlign w:val="bottom"/>
            <w:gridSpan w:val="3"/>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gridSpan w:val="3"/>
          </w:tcPr>
          <w:p>
            <w:pPr>
              <w:spacing w:after="0" w:line="20" w:lineRule="exact"/>
              <w:rPr>
                <w:sz w:val="1"/>
                <w:szCs w:val="1"/>
                <w:color w:val="auto"/>
              </w:rPr>
            </w:pPr>
          </w:p>
        </w:tc>
      </w:tr>
      <w:tr>
        <w:trPr>
          <w:trHeight w:val="412"/>
        </w:trPr>
        <w:tc>
          <w:tcPr>
            <w:tcW w:w="660" w:type="dxa"/>
            <w:vAlign w:val="bottom"/>
          </w:tcPr>
          <w:p>
            <w:pPr>
              <w:spacing w:after="0"/>
              <w:rPr>
                <w:sz w:val="24"/>
                <w:szCs w:val="24"/>
                <w:color w:val="auto"/>
              </w:rPr>
            </w:pPr>
          </w:p>
        </w:tc>
        <w:tc>
          <w:tcPr>
            <w:tcW w:w="940" w:type="dxa"/>
            <w:vAlign w:val="bottom"/>
            <w:tcBorders>
              <w:bottom w:val="single" w:sz="8" w:color="0000EE"/>
            </w:tcBorders>
            <w:gridSpan w:val="3"/>
          </w:tcPr>
          <w:p>
            <w:pPr>
              <w:spacing w:after="0"/>
              <w:rPr>
                <w:rFonts w:ascii="Arial" w:cs="Arial" w:eastAsia="Arial" w:hAnsi="Arial"/>
                <w:sz w:val="18"/>
                <w:szCs w:val="18"/>
                <w:color w:val="0000EE"/>
                <w:w w:val="92"/>
              </w:rPr>
            </w:pPr>
            <w:hyperlink w:anchor="page296">
              <w:r>
                <w:rPr>
                  <w:rFonts w:ascii="Arial" w:cs="Arial" w:eastAsia="Arial" w:hAnsi="Arial"/>
                  <w:sz w:val="18"/>
                  <w:szCs w:val="18"/>
                  <w:color w:val="0000EE"/>
                  <w:w w:val="92"/>
                </w:rPr>
                <w:t>Exhibit 13.1.</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320" w:type="dxa"/>
            <w:vAlign w:val="bottom"/>
            <w:tcBorders>
              <w:bottom w:val="single" w:sz="8" w:color="0000EE"/>
            </w:tcBorders>
            <w:gridSpan w:val="11"/>
          </w:tcPr>
          <w:p>
            <w:pPr>
              <w:spacing w:after="0"/>
              <w:rPr>
                <w:rFonts w:ascii="Arial" w:cs="Arial" w:eastAsia="Arial" w:hAnsi="Arial"/>
                <w:sz w:val="18"/>
                <w:szCs w:val="18"/>
                <w:color w:val="0000EE"/>
                <w:w w:val="92"/>
              </w:rPr>
            </w:pPr>
            <w:hyperlink w:anchor="page296">
              <w:r>
                <w:rPr>
                  <w:rFonts w:ascii="Arial" w:cs="Arial" w:eastAsia="Arial" w:hAnsi="Arial"/>
                  <w:sz w:val="18"/>
                  <w:szCs w:val="18"/>
                  <w:color w:val="0000EE"/>
                  <w:w w:val="92"/>
                </w:rPr>
                <w:t>Certification of Principal Executive Officer pursuant to 18 U.S.C. Section</w:t>
              </w:r>
            </w:hyperlink>
          </w:p>
        </w:tc>
        <w:tc>
          <w:tcPr>
            <w:tcW w:w="180" w:type="dxa"/>
            <w:vAlign w:val="bottom"/>
            <w:gridSpan w:val="3"/>
          </w:tcPr>
          <w:p>
            <w:pPr>
              <w:spacing w:after="0"/>
              <w:rPr>
                <w:sz w:val="24"/>
                <w:szCs w:val="24"/>
                <w:color w:val="auto"/>
              </w:rPr>
            </w:pPr>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33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5500" w:type="dxa"/>
            <w:vAlign w:val="bottom"/>
            <w:gridSpan w:val="14"/>
          </w:tcPr>
          <w:p>
            <w:pPr>
              <w:spacing w:after="0" w:line="196" w:lineRule="exact"/>
              <w:rPr>
                <w:rFonts w:ascii="Arial" w:cs="Arial" w:eastAsia="Arial" w:hAnsi="Arial"/>
                <w:sz w:val="18"/>
                <w:szCs w:val="18"/>
                <w:color w:val="0000EE"/>
                <w:w w:val="96"/>
              </w:rPr>
            </w:pPr>
            <w:hyperlink w:anchor="page296">
              <w:r>
                <w:rPr>
                  <w:rFonts w:ascii="Arial" w:cs="Arial" w:eastAsia="Arial" w:hAnsi="Arial"/>
                  <w:sz w:val="18"/>
                  <w:szCs w:val="18"/>
                  <w:color w:val="0000EE"/>
                  <w:w w:val="96"/>
                </w:rPr>
                <w:t>1350, as adopted pursuant to Section 906 of the Sarbanes Oxley Act of</w:t>
              </w:r>
            </w:hyperlink>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140" w:type="dxa"/>
            <w:vAlign w:val="bottom"/>
            <w:gridSpan w:val="2"/>
          </w:tcPr>
          <w:p>
            <w:pPr>
              <w:spacing w:after="0"/>
              <w:rPr>
                <w:sz w:val="17"/>
                <w:szCs w:val="17"/>
                <w:color w:val="auto"/>
              </w:rPr>
            </w:pPr>
          </w:p>
        </w:tc>
        <w:tc>
          <w:tcPr>
            <w:tcW w:w="360" w:type="dxa"/>
            <w:vAlign w:val="bottom"/>
            <w:tcBorders>
              <w:top w:val="single" w:sz="8" w:color="0000EE"/>
              <w:bottom w:val="single" w:sz="8" w:color="0000EE"/>
            </w:tcBorders>
          </w:tcPr>
          <w:p>
            <w:pPr>
              <w:spacing w:after="0" w:line="196" w:lineRule="exact"/>
              <w:rPr>
                <w:rFonts w:ascii="Arial" w:cs="Arial" w:eastAsia="Arial" w:hAnsi="Arial"/>
                <w:sz w:val="18"/>
                <w:szCs w:val="18"/>
                <w:color w:val="0000EE"/>
                <w:w w:val="84"/>
              </w:rPr>
            </w:pPr>
            <w:hyperlink w:anchor="page296">
              <w:r>
                <w:rPr>
                  <w:rFonts w:ascii="Arial" w:cs="Arial" w:eastAsia="Arial" w:hAnsi="Arial"/>
                  <w:sz w:val="18"/>
                  <w:szCs w:val="18"/>
                  <w:color w:val="0000EE"/>
                  <w:w w:val="84"/>
                </w:rPr>
                <w:t>2002</w:t>
              </w:r>
            </w:hyperlink>
          </w:p>
        </w:tc>
        <w:tc>
          <w:tcPr>
            <w:tcW w:w="220" w:type="dxa"/>
            <w:vAlign w:val="bottom"/>
            <w:tcBorders>
              <w:top w:val="single" w:sz="8" w:color="0000EE"/>
            </w:tcBorders>
          </w:tcPr>
          <w:p>
            <w:pPr>
              <w:spacing w:after="0"/>
              <w:rPr>
                <w:sz w:val="17"/>
                <w:szCs w:val="17"/>
                <w:color w:val="auto"/>
              </w:rPr>
            </w:pPr>
          </w:p>
        </w:tc>
        <w:tc>
          <w:tcPr>
            <w:tcW w:w="80" w:type="dxa"/>
            <w:vAlign w:val="bottom"/>
            <w:tcBorders>
              <w:top w:val="single" w:sz="8" w:color="0000EE"/>
            </w:tcBorders>
          </w:tcPr>
          <w:p>
            <w:pPr>
              <w:spacing w:after="0"/>
              <w:rPr>
                <w:sz w:val="17"/>
                <w:szCs w:val="17"/>
                <w:color w:val="auto"/>
              </w:rPr>
            </w:pPr>
          </w:p>
        </w:tc>
        <w:tc>
          <w:tcPr>
            <w:tcW w:w="420" w:type="dxa"/>
            <w:vAlign w:val="bottom"/>
            <w:tcBorders>
              <w:top w:val="single" w:sz="8" w:color="0000EE"/>
            </w:tcBorders>
          </w:tcPr>
          <w:p>
            <w:pPr>
              <w:spacing w:after="0"/>
              <w:rPr>
                <w:sz w:val="17"/>
                <w:szCs w:val="17"/>
                <w:color w:val="auto"/>
              </w:rPr>
            </w:pPr>
          </w:p>
        </w:tc>
        <w:tc>
          <w:tcPr>
            <w:tcW w:w="320" w:type="dxa"/>
            <w:vAlign w:val="bottom"/>
            <w:tcBorders>
              <w:top w:val="single" w:sz="8" w:color="0000EE"/>
            </w:tcBorders>
          </w:tcPr>
          <w:p>
            <w:pPr>
              <w:spacing w:after="0"/>
              <w:rPr>
                <w:sz w:val="17"/>
                <w:szCs w:val="17"/>
                <w:color w:val="auto"/>
              </w:rPr>
            </w:pPr>
          </w:p>
        </w:tc>
        <w:tc>
          <w:tcPr>
            <w:tcW w:w="600" w:type="dxa"/>
            <w:vAlign w:val="bottom"/>
            <w:tcBorders>
              <w:top w:val="single" w:sz="8" w:color="0000EE"/>
            </w:tcBorders>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660" w:type="dxa"/>
            <w:vAlign w:val="bottom"/>
            <w:tcBorders>
              <w:top w:val="single" w:sz="8" w:color="0000EE"/>
            </w:tcBorders>
          </w:tcPr>
          <w:p>
            <w:pPr>
              <w:spacing w:after="0"/>
              <w:rPr>
                <w:sz w:val="17"/>
                <w:szCs w:val="17"/>
                <w:color w:val="auto"/>
              </w:rPr>
            </w:pPr>
          </w:p>
        </w:tc>
        <w:tc>
          <w:tcPr>
            <w:tcW w:w="1600" w:type="dxa"/>
            <w:vAlign w:val="bottom"/>
            <w:tcBorders>
              <w:top w:val="single" w:sz="8" w:color="0000EE"/>
            </w:tcBorders>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412"/>
        </w:trPr>
        <w:tc>
          <w:tcPr>
            <w:tcW w:w="660" w:type="dxa"/>
            <w:vAlign w:val="bottom"/>
          </w:tcPr>
          <w:p>
            <w:pPr>
              <w:spacing w:after="0"/>
              <w:rPr>
                <w:sz w:val="24"/>
                <w:szCs w:val="24"/>
                <w:color w:val="auto"/>
              </w:rPr>
            </w:pPr>
          </w:p>
        </w:tc>
        <w:tc>
          <w:tcPr>
            <w:tcW w:w="940" w:type="dxa"/>
            <w:vAlign w:val="bottom"/>
            <w:gridSpan w:val="3"/>
          </w:tcPr>
          <w:p>
            <w:pPr>
              <w:spacing w:after="0"/>
              <w:rPr>
                <w:rFonts w:ascii="Arial" w:cs="Arial" w:eastAsia="Arial" w:hAnsi="Arial"/>
                <w:sz w:val="18"/>
                <w:szCs w:val="18"/>
                <w:color w:val="0000EE"/>
                <w:w w:val="92"/>
              </w:rPr>
            </w:pPr>
            <w:hyperlink w:anchor="page297">
              <w:r>
                <w:rPr>
                  <w:rFonts w:ascii="Arial" w:cs="Arial" w:eastAsia="Arial" w:hAnsi="Arial"/>
                  <w:sz w:val="18"/>
                  <w:szCs w:val="18"/>
                  <w:color w:val="0000EE"/>
                  <w:w w:val="92"/>
                </w:rPr>
                <w:t>Exhibit 13.2.</w:t>
              </w:r>
            </w:hyperlink>
          </w:p>
        </w:tc>
        <w:tc>
          <w:tcPr>
            <w:tcW w:w="332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5500" w:type="dxa"/>
            <w:vAlign w:val="bottom"/>
            <w:gridSpan w:val="14"/>
          </w:tcPr>
          <w:p>
            <w:pPr>
              <w:spacing w:after="0"/>
              <w:rPr>
                <w:rFonts w:ascii="Arial" w:cs="Arial" w:eastAsia="Arial" w:hAnsi="Arial"/>
                <w:sz w:val="18"/>
                <w:szCs w:val="18"/>
                <w:color w:val="0000EE"/>
                <w:w w:val="96"/>
              </w:rPr>
            </w:pPr>
            <w:hyperlink w:anchor="page297">
              <w:r>
                <w:rPr>
                  <w:rFonts w:ascii="Arial" w:cs="Arial" w:eastAsia="Arial" w:hAnsi="Arial"/>
                  <w:sz w:val="18"/>
                  <w:szCs w:val="18"/>
                  <w:color w:val="0000EE"/>
                  <w:w w:val="96"/>
                </w:rPr>
                <w:t>Certification of Principal Financial Officer pursuant to 18 U.S.C. Section</w:t>
              </w:r>
            </w:hyperlink>
          </w:p>
        </w:tc>
      </w:tr>
      <w:tr>
        <w:trPr>
          <w:trHeight w:val="196"/>
        </w:trPr>
        <w:tc>
          <w:tcPr>
            <w:tcW w:w="660" w:type="dxa"/>
            <w:vAlign w:val="bottom"/>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40" w:type="dxa"/>
            <w:vAlign w:val="bottom"/>
            <w:tcBorders>
              <w:top w:val="single" w:sz="8" w:color="0000EE"/>
            </w:tcBorders>
          </w:tcPr>
          <w:p>
            <w:pPr>
              <w:spacing w:after="0"/>
              <w:rPr>
                <w:sz w:val="17"/>
                <w:szCs w:val="17"/>
                <w:color w:val="auto"/>
              </w:rPr>
            </w:pPr>
          </w:p>
        </w:tc>
        <w:tc>
          <w:tcPr>
            <w:tcW w:w="60" w:type="dxa"/>
            <w:vAlign w:val="bottom"/>
            <w:tcBorders>
              <w:top w:val="single" w:sz="8" w:color="0000EE"/>
            </w:tcBorders>
          </w:tcPr>
          <w:p>
            <w:pPr>
              <w:spacing w:after="0"/>
              <w:rPr>
                <w:sz w:val="17"/>
                <w:szCs w:val="17"/>
                <w:color w:val="auto"/>
              </w:rPr>
            </w:pPr>
          </w:p>
        </w:tc>
        <w:tc>
          <w:tcPr>
            <w:tcW w:w="332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5260" w:type="dxa"/>
            <w:vAlign w:val="bottom"/>
            <w:tcBorders>
              <w:top w:val="single" w:sz="8" w:color="0000EE"/>
            </w:tcBorders>
            <w:gridSpan w:val="10"/>
          </w:tcPr>
          <w:p>
            <w:pPr>
              <w:spacing w:after="0" w:line="196" w:lineRule="exact"/>
              <w:rPr>
                <w:rFonts w:ascii="Arial" w:cs="Arial" w:eastAsia="Arial" w:hAnsi="Arial"/>
                <w:sz w:val="18"/>
                <w:szCs w:val="18"/>
                <w:color w:val="0000EE"/>
                <w:w w:val="92"/>
              </w:rPr>
            </w:pPr>
            <w:hyperlink w:anchor="page297">
              <w:r>
                <w:rPr>
                  <w:rFonts w:ascii="Arial" w:cs="Arial" w:eastAsia="Arial" w:hAnsi="Arial"/>
                  <w:sz w:val="18"/>
                  <w:szCs w:val="18"/>
                  <w:color w:val="0000EE"/>
                  <w:w w:val="92"/>
                </w:rPr>
                <w:t>1350, as adopted pursuant to Section 906 of the Sarbanes Oxley Act of</w:t>
              </w:r>
            </w:hyperlink>
          </w:p>
        </w:tc>
        <w:tc>
          <w:tcPr>
            <w:tcW w:w="240" w:type="dxa"/>
            <w:vAlign w:val="bottom"/>
            <w:gridSpan w:val="4"/>
          </w:tcPr>
          <w:p>
            <w:pPr>
              <w:spacing w:after="0"/>
              <w:rPr>
                <w:sz w:val="17"/>
                <w:szCs w:val="17"/>
                <w:color w:val="auto"/>
              </w:rPr>
            </w:pPr>
          </w:p>
        </w:tc>
      </w:tr>
      <w:tr>
        <w:trPr>
          <w:trHeight w:val="196"/>
        </w:trPr>
        <w:tc>
          <w:tcPr>
            <w:tcW w:w="6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140" w:type="dxa"/>
            <w:vAlign w:val="bottom"/>
            <w:gridSpan w:val="2"/>
          </w:tcPr>
          <w:p>
            <w:pPr>
              <w:spacing w:after="0"/>
              <w:rPr>
                <w:sz w:val="17"/>
                <w:szCs w:val="17"/>
                <w:color w:val="auto"/>
              </w:rPr>
            </w:pPr>
          </w:p>
        </w:tc>
        <w:tc>
          <w:tcPr>
            <w:tcW w:w="360" w:type="dxa"/>
            <w:vAlign w:val="bottom"/>
            <w:tcBorders>
              <w:top w:val="single" w:sz="8" w:color="0000EE"/>
              <w:bottom w:val="single" w:sz="8" w:color="0000EE"/>
            </w:tcBorders>
          </w:tcPr>
          <w:p>
            <w:pPr>
              <w:spacing w:after="0" w:line="196" w:lineRule="exact"/>
              <w:rPr>
                <w:rFonts w:ascii="Arial" w:cs="Arial" w:eastAsia="Arial" w:hAnsi="Arial"/>
                <w:sz w:val="18"/>
                <w:szCs w:val="18"/>
                <w:color w:val="0000EE"/>
                <w:w w:val="84"/>
              </w:rPr>
            </w:pPr>
            <w:hyperlink w:anchor="page297">
              <w:r>
                <w:rPr>
                  <w:rFonts w:ascii="Arial" w:cs="Arial" w:eastAsia="Arial" w:hAnsi="Arial"/>
                  <w:sz w:val="18"/>
                  <w:szCs w:val="18"/>
                  <w:color w:val="0000EE"/>
                  <w:w w:val="84"/>
                </w:rPr>
                <w:t>2002</w:t>
              </w:r>
            </w:hyperlink>
          </w:p>
        </w:tc>
        <w:tc>
          <w:tcPr>
            <w:tcW w:w="220" w:type="dxa"/>
            <w:vAlign w:val="bottom"/>
            <w:tcBorders>
              <w:top w:val="single" w:sz="8" w:color="0000EE"/>
            </w:tcBorders>
          </w:tcPr>
          <w:p>
            <w:pPr>
              <w:spacing w:after="0"/>
              <w:rPr>
                <w:sz w:val="17"/>
                <w:szCs w:val="17"/>
                <w:color w:val="auto"/>
              </w:rPr>
            </w:pPr>
          </w:p>
        </w:tc>
        <w:tc>
          <w:tcPr>
            <w:tcW w:w="80" w:type="dxa"/>
            <w:vAlign w:val="bottom"/>
            <w:tcBorders>
              <w:top w:val="single" w:sz="8" w:color="0000EE"/>
            </w:tcBorders>
          </w:tcPr>
          <w:p>
            <w:pPr>
              <w:spacing w:after="0"/>
              <w:rPr>
                <w:sz w:val="17"/>
                <w:szCs w:val="17"/>
                <w:color w:val="auto"/>
              </w:rPr>
            </w:pPr>
          </w:p>
        </w:tc>
        <w:tc>
          <w:tcPr>
            <w:tcW w:w="420" w:type="dxa"/>
            <w:vAlign w:val="bottom"/>
            <w:tcBorders>
              <w:top w:val="single" w:sz="8" w:color="0000EE"/>
            </w:tcBorders>
          </w:tcPr>
          <w:p>
            <w:pPr>
              <w:spacing w:after="0"/>
              <w:rPr>
                <w:sz w:val="17"/>
                <w:szCs w:val="17"/>
                <w:color w:val="auto"/>
              </w:rPr>
            </w:pPr>
          </w:p>
        </w:tc>
        <w:tc>
          <w:tcPr>
            <w:tcW w:w="320" w:type="dxa"/>
            <w:vAlign w:val="bottom"/>
            <w:tcBorders>
              <w:top w:val="single" w:sz="8" w:color="0000EE"/>
            </w:tcBorders>
          </w:tcPr>
          <w:p>
            <w:pPr>
              <w:spacing w:after="0"/>
              <w:rPr>
                <w:sz w:val="17"/>
                <w:szCs w:val="17"/>
                <w:color w:val="auto"/>
              </w:rPr>
            </w:pPr>
          </w:p>
        </w:tc>
        <w:tc>
          <w:tcPr>
            <w:tcW w:w="600" w:type="dxa"/>
            <w:vAlign w:val="bottom"/>
            <w:tcBorders>
              <w:top w:val="single" w:sz="8" w:color="0000EE"/>
            </w:tcBorders>
          </w:tcPr>
          <w:p>
            <w:pPr>
              <w:spacing w:after="0"/>
              <w:rPr>
                <w:sz w:val="17"/>
                <w:szCs w:val="17"/>
                <w:color w:val="auto"/>
              </w:rPr>
            </w:pPr>
          </w:p>
        </w:tc>
        <w:tc>
          <w:tcPr>
            <w:tcW w:w="840" w:type="dxa"/>
            <w:vAlign w:val="bottom"/>
            <w:tcBorders>
              <w:top w:val="single" w:sz="8" w:color="0000EE"/>
            </w:tcBorders>
          </w:tcPr>
          <w:p>
            <w:pPr>
              <w:spacing w:after="0"/>
              <w:rPr>
                <w:sz w:val="17"/>
                <w:szCs w:val="17"/>
                <w:color w:val="auto"/>
              </w:rPr>
            </w:pPr>
          </w:p>
        </w:tc>
        <w:tc>
          <w:tcPr>
            <w:tcW w:w="660" w:type="dxa"/>
            <w:vAlign w:val="bottom"/>
            <w:tcBorders>
              <w:top w:val="single" w:sz="8" w:color="0000EE"/>
            </w:tcBorders>
          </w:tcPr>
          <w:p>
            <w:pPr>
              <w:spacing w:after="0"/>
              <w:rPr>
                <w:sz w:val="17"/>
                <w:szCs w:val="17"/>
                <w:color w:val="auto"/>
              </w:rPr>
            </w:pPr>
          </w:p>
        </w:tc>
        <w:tc>
          <w:tcPr>
            <w:tcW w:w="1600" w:type="dxa"/>
            <w:vAlign w:val="bottom"/>
            <w:tcBorders>
              <w:top w:val="single" w:sz="8" w:color="0000EE"/>
            </w:tcBorders>
          </w:tcPr>
          <w:p>
            <w:pPr>
              <w:spacing w:after="0"/>
              <w:rPr>
                <w:sz w:val="17"/>
                <w:szCs w:val="17"/>
                <w:color w:val="auto"/>
              </w:rPr>
            </w:pPr>
          </w:p>
        </w:tc>
        <w:tc>
          <w:tcPr>
            <w:tcW w:w="1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668"/>
        </w:trPr>
        <w:tc>
          <w:tcPr>
            <w:tcW w:w="6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500" w:type="dxa"/>
            <w:vAlign w:val="bottom"/>
            <w:tcBorders>
              <w:bottom w:val="single" w:sz="8" w:color="auto"/>
            </w:tcBorders>
            <w:gridSpan w:val="3"/>
          </w:tcPr>
          <w:p>
            <w:pPr>
              <w:jc w:val="right"/>
              <w:ind w:right="250"/>
              <w:spacing w:after="0"/>
              <w:rPr>
                <w:sz w:val="20"/>
                <w:szCs w:val="20"/>
                <w:color w:val="auto"/>
              </w:rPr>
            </w:pPr>
            <w:r>
              <w:rPr>
                <w:rFonts w:ascii="Arial" w:cs="Arial" w:eastAsia="Arial" w:hAnsi="Arial"/>
                <w:sz w:val="18"/>
                <w:szCs w:val="18"/>
                <w:color w:val="auto"/>
              </w:rPr>
              <w:t>131</w:t>
            </w: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91" w:right="339" w:bottom="1440" w:gutter="0" w:footer="0" w:header="0"/>
        </w:sectPr>
      </w:pPr>
    </w:p>
    <w:bookmarkStart w:id="135" w:name="page136"/>
    <w:bookmarkEnd w:id="135"/>
    <w:p>
      <w:pPr>
        <w:spacing w:after="0"/>
        <w:rPr>
          <w:sz w:val="20"/>
          <w:szCs w:val="20"/>
          <w:color w:val="auto"/>
        </w:rPr>
      </w:pPr>
      <w:r>
        <w:rPr>
          <w:rFonts w:ascii="Arial" w:cs="Arial" w:eastAsia="Arial" w:hAnsi="Arial"/>
          <w:sz w:val="18"/>
          <w:szCs w:val="18"/>
          <w:b w:val="1"/>
          <w:bCs w:val="1"/>
          <w:color w:val="auto"/>
        </w:rPr>
        <w:t>Banco Latinoamericano</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 Comercio Exterior, S.A.</w:t>
      </w:r>
    </w:p>
    <w:p>
      <w:pPr>
        <w:spacing w:after="0" w:line="9"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and Subsidiaries</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Consolidated Financial Statements</w:t>
      </w:r>
    </w:p>
    <w:p>
      <w:pPr>
        <w:spacing w:after="0" w:line="23" w:lineRule="exact"/>
        <w:rPr>
          <w:sz w:val="20"/>
          <w:szCs w:val="20"/>
          <w:color w:val="auto"/>
        </w:rPr>
      </w:pPr>
    </w:p>
    <w:p>
      <w:pPr>
        <w:ind w:left="180"/>
        <w:spacing w:after="0"/>
        <w:rPr>
          <w:sz w:val="20"/>
          <w:szCs w:val="20"/>
          <w:color w:val="auto"/>
        </w:rPr>
      </w:pPr>
      <w:r>
        <w:rPr>
          <w:rFonts w:ascii="Arial" w:cs="Arial" w:eastAsia="Arial" w:hAnsi="Arial"/>
          <w:sz w:val="18"/>
          <w:szCs w:val="18"/>
          <w:color w:val="auto"/>
        </w:rPr>
        <w:t>as of December 31, 2020</w:t>
      </w:r>
    </w:p>
    <w:p>
      <w:pPr>
        <w:spacing w:after="0" w:line="211" w:lineRule="exact"/>
        <w:rPr>
          <w:sz w:val="20"/>
          <w:szCs w:val="20"/>
          <w:color w:val="auto"/>
        </w:rPr>
      </w:pPr>
    </w:p>
    <w:p>
      <w:pPr>
        <w:spacing w:after="0"/>
        <w:rPr>
          <w:sz w:val="20"/>
          <w:szCs w:val="20"/>
          <w:color w:val="auto"/>
        </w:rPr>
      </w:pPr>
      <w:r>
        <w:rPr>
          <w:rFonts w:ascii="Arial" w:cs="Arial" w:eastAsia="Arial" w:hAnsi="Arial"/>
          <w:sz w:val="16"/>
          <w:szCs w:val="16"/>
          <w:color w:val="auto"/>
        </w:rPr>
        <w:t>(With the Independent Auditors’ Report thereon)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234950</wp:posOffset>
            </wp:positionV>
            <wp:extent cx="7132320" cy="825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688" w:right="1440" w:bottom="1440" w:gutter="0" w:footer="0" w:header="0"/>
        </w:sectPr>
      </w:pPr>
    </w:p>
    <w:bookmarkStart w:id="136" w:name="page137"/>
    <w:bookmarkEnd w:id="136"/>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gridSpan w:val="8"/>
          </w:tcPr>
          <w:p>
            <w:pPr>
              <w:ind w:left="180"/>
              <w:spacing w:after="0"/>
              <w:rPr>
                <w:sz w:val="20"/>
                <w:szCs w:val="20"/>
                <w:color w:val="auto"/>
              </w:rPr>
            </w:pPr>
            <w:r>
              <w:rPr>
                <w:rFonts w:ascii="Arial" w:cs="Arial" w:eastAsia="Arial" w:hAnsi="Arial"/>
                <w:sz w:val="18"/>
                <w:szCs w:val="18"/>
                <w:b w:val="1"/>
                <w:bCs w:val="1"/>
                <w:color w:val="auto"/>
              </w:rPr>
              <w:t>and Subsidiaries</w:t>
            </w:r>
          </w:p>
        </w:tc>
        <w:tc>
          <w:tcPr>
            <w:tcW w:w="63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4860" w:type="dxa"/>
            <w:vAlign w:val="bottom"/>
            <w:gridSpan w:val="8"/>
          </w:tcPr>
          <w:p>
            <w:pPr>
              <w:spacing w:after="0"/>
              <w:rPr>
                <w:sz w:val="20"/>
                <w:szCs w:val="20"/>
                <w:color w:val="auto"/>
              </w:rPr>
            </w:pPr>
            <w:r>
              <w:rPr>
                <w:rFonts w:ascii="Arial" w:cs="Arial" w:eastAsia="Arial" w:hAnsi="Arial"/>
                <w:sz w:val="18"/>
                <w:szCs w:val="18"/>
                <w:color w:val="auto"/>
              </w:rPr>
              <w:t>Consolidated Financial Statements</w:t>
            </w:r>
          </w:p>
        </w:tc>
        <w:tc>
          <w:tcPr>
            <w:tcW w:w="63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4860" w:type="dxa"/>
            <w:vAlign w:val="bottom"/>
            <w:gridSpan w:val="8"/>
          </w:tcPr>
          <w:p>
            <w:pPr>
              <w:spacing w:after="0"/>
              <w:rPr>
                <w:sz w:val="20"/>
                <w:szCs w:val="20"/>
                <w:color w:val="auto"/>
              </w:rPr>
            </w:pPr>
            <w:r>
              <w:rPr>
                <w:rFonts w:ascii="Arial" w:cs="Arial" w:eastAsia="Arial" w:hAnsi="Arial"/>
                <w:sz w:val="18"/>
                <w:szCs w:val="18"/>
                <w:b w:val="1"/>
                <w:bCs w:val="1"/>
                <w:color w:val="auto"/>
              </w:rPr>
              <w:t>Contents</w:t>
            </w:r>
          </w:p>
        </w:tc>
        <w:tc>
          <w:tcPr>
            <w:tcW w:w="63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8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38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4860" w:type="dxa"/>
            <w:vAlign w:val="bottom"/>
            <w:gridSpan w:val="8"/>
            <w:shd w:val="clear" w:color="auto" w:fill="CCEEFF"/>
          </w:tcPr>
          <w:p>
            <w:pPr>
              <w:spacing w:after="0" w:line="176" w:lineRule="exact"/>
              <w:rPr>
                <w:rFonts w:ascii="Arial" w:cs="Arial" w:eastAsia="Arial" w:hAnsi="Arial"/>
                <w:sz w:val="18"/>
                <w:szCs w:val="18"/>
                <w:color w:val="0000EE"/>
              </w:rPr>
            </w:pPr>
            <w:hyperlink w:anchor="page138">
              <w:r>
                <w:rPr>
                  <w:rFonts w:ascii="Arial" w:cs="Arial" w:eastAsia="Arial" w:hAnsi="Arial"/>
                  <w:sz w:val="18"/>
                  <w:szCs w:val="18"/>
                  <w:color w:val="0000EE"/>
                </w:rPr>
                <w:t>Report of Independent Registered Public Accounting Firm</w:t>
              </w:r>
            </w:hyperlink>
          </w:p>
        </w:tc>
        <w:tc>
          <w:tcPr>
            <w:tcW w:w="638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F-3</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4220" w:type="dxa"/>
            <w:vAlign w:val="bottom"/>
            <w:tcBorders>
              <w:top w:val="single" w:sz="8" w:color="0000EE"/>
            </w:tcBorders>
            <w:gridSpan w:val="7"/>
          </w:tcPr>
          <w:p>
            <w:pPr>
              <w:spacing w:after="0" w:line="176" w:lineRule="exact"/>
              <w:rPr>
                <w:rFonts w:ascii="Arial" w:cs="Arial" w:eastAsia="Arial" w:hAnsi="Arial"/>
                <w:sz w:val="18"/>
                <w:szCs w:val="18"/>
                <w:color w:val="0000EE"/>
              </w:rPr>
            </w:pPr>
            <w:hyperlink w:anchor="page140">
              <w:r>
                <w:rPr>
                  <w:rFonts w:ascii="Arial" w:cs="Arial" w:eastAsia="Arial" w:hAnsi="Arial"/>
                  <w:sz w:val="18"/>
                  <w:szCs w:val="18"/>
                  <w:color w:val="0000EE"/>
                </w:rPr>
                <w:t>Consolidated Statement of Financial Position</w:t>
              </w:r>
            </w:hyperlink>
          </w:p>
        </w:tc>
        <w:tc>
          <w:tcPr>
            <w:tcW w:w="640" w:type="dxa"/>
            <w:vAlign w:val="bottom"/>
            <w:tcBorders>
              <w:top w:val="single" w:sz="8" w:color="CCEEFF"/>
            </w:tcBorders>
          </w:tcPr>
          <w:p>
            <w:pPr>
              <w:spacing w:after="0"/>
              <w:rPr>
                <w:sz w:val="15"/>
                <w:szCs w:val="15"/>
                <w:color w:val="auto"/>
              </w:rPr>
            </w:pPr>
          </w:p>
        </w:tc>
        <w:tc>
          <w:tcPr>
            <w:tcW w:w="6380" w:type="dxa"/>
            <w:vAlign w:val="bottom"/>
            <w:tcBorders>
              <w:top w:val="single" w:sz="8" w:color="CCEEFF"/>
            </w:tcBorders>
          </w:tcPr>
          <w:p>
            <w:pPr>
              <w:jc w:val="right"/>
              <w:spacing w:after="0" w:line="176" w:lineRule="exact"/>
              <w:rPr>
                <w:sz w:val="20"/>
                <w:szCs w:val="20"/>
                <w:color w:val="auto"/>
              </w:rPr>
            </w:pPr>
            <w:r>
              <w:rPr>
                <w:rFonts w:ascii="Arial" w:cs="Arial" w:eastAsia="Arial" w:hAnsi="Arial"/>
                <w:sz w:val="18"/>
                <w:szCs w:val="18"/>
                <w:color w:val="auto"/>
              </w:rPr>
              <w:t>F-5</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80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960" w:type="dxa"/>
            <w:vAlign w:val="bottom"/>
            <w:tcBorders>
              <w:bottom w:val="single" w:sz="8" w:color="0000EE"/>
            </w:tcBorders>
            <w:gridSpan w:val="2"/>
            <w:shd w:val="clear" w:color="auto" w:fill="CCEEFF"/>
          </w:tcPr>
          <w:p>
            <w:pPr>
              <w:spacing w:after="0" w:line="176" w:lineRule="exact"/>
              <w:rPr>
                <w:rFonts w:ascii="Arial" w:cs="Arial" w:eastAsia="Arial" w:hAnsi="Arial"/>
                <w:sz w:val="18"/>
                <w:szCs w:val="18"/>
                <w:color w:val="0000EE"/>
                <w:w w:val="90"/>
              </w:rPr>
            </w:pPr>
            <w:hyperlink w:anchor="page141">
              <w:r>
                <w:rPr>
                  <w:rFonts w:ascii="Arial" w:cs="Arial" w:eastAsia="Arial" w:hAnsi="Arial"/>
                  <w:sz w:val="18"/>
                  <w:szCs w:val="18"/>
                  <w:color w:val="0000EE"/>
                  <w:w w:val="90"/>
                </w:rPr>
                <w:t>Consolidated Statement of Profit or Loss</w:t>
              </w:r>
            </w:hyperlink>
          </w:p>
        </w:tc>
        <w:tc>
          <w:tcPr>
            <w:tcW w:w="1900" w:type="dxa"/>
            <w:vAlign w:val="bottom"/>
            <w:tcBorders>
              <w:bottom w:val="single" w:sz="8" w:color="CCEEFF"/>
            </w:tcBorders>
            <w:gridSpan w:val="6"/>
            <w:shd w:val="clear" w:color="auto" w:fill="CCEEFF"/>
          </w:tcPr>
          <w:p>
            <w:pPr>
              <w:spacing w:after="0"/>
              <w:rPr>
                <w:sz w:val="17"/>
                <w:szCs w:val="17"/>
                <w:color w:val="auto"/>
              </w:rPr>
            </w:pPr>
          </w:p>
        </w:tc>
        <w:tc>
          <w:tcPr>
            <w:tcW w:w="638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F-6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4860" w:type="dxa"/>
            <w:vAlign w:val="bottom"/>
            <w:gridSpan w:val="8"/>
          </w:tcPr>
          <w:p>
            <w:pPr>
              <w:spacing w:after="0" w:line="176" w:lineRule="exact"/>
              <w:rPr>
                <w:rFonts w:ascii="Arial" w:cs="Arial" w:eastAsia="Arial" w:hAnsi="Arial"/>
                <w:sz w:val="18"/>
                <w:szCs w:val="18"/>
                <w:color w:val="0000EE"/>
              </w:rPr>
            </w:pPr>
            <w:hyperlink w:anchor="page142">
              <w:r>
                <w:rPr>
                  <w:rFonts w:ascii="Arial" w:cs="Arial" w:eastAsia="Arial" w:hAnsi="Arial"/>
                  <w:sz w:val="18"/>
                  <w:szCs w:val="18"/>
                  <w:color w:val="0000EE"/>
                </w:rPr>
                <w:t>Consolidated Statement of Comprehensive Income</w:t>
              </w:r>
            </w:hyperlink>
          </w:p>
        </w:tc>
        <w:tc>
          <w:tcPr>
            <w:tcW w:w="6380" w:type="dxa"/>
            <w:vAlign w:val="bottom"/>
          </w:tcPr>
          <w:p>
            <w:pPr>
              <w:jc w:val="right"/>
              <w:spacing w:after="0" w:line="176" w:lineRule="exact"/>
              <w:rPr>
                <w:sz w:val="20"/>
                <w:szCs w:val="20"/>
                <w:color w:val="auto"/>
              </w:rPr>
            </w:pPr>
            <w:r>
              <w:rPr>
                <w:rFonts w:ascii="Arial" w:cs="Arial" w:eastAsia="Arial" w:hAnsi="Arial"/>
                <w:sz w:val="18"/>
                <w:szCs w:val="18"/>
                <w:color w:val="auto"/>
              </w:rPr>
              <w:t>F-7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80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260" w:type="dxa"/>
            <w:vAlign w:val="bottom"/>
            <w:tcBorders>
              <w:top w:val="single" w:sz="8" w:color="0000EE"/>
            </w:tcBorders>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30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90"/>
              </w:rPr>
            </w:pPr>
            <w:hyperlink w:anchor="page143">
              <w:r>
                <w:rPr>
                  <w:rFonts w:ascii="Arial" w:cs="Arial" w:eastAsia="Arial" w:hAnsi="Arial"/>
                  <w:sz w:val="18"/>
                  <w:szCs w:val="18"/>
                  <w:color w:val="0000EE"/>
                  <w:w w:val="90"/>
                </w:rPr>
                <w:t>Consolidated Statement of Changes in Equity</w:t>
              </w:r>
            </w:hyperlink>
          </w:p>
        </w:tc>
        <w:tc>
          <w:tcPr>
            <w:tcW w:w="1560" w:type="dxa"/>
            <w:vAlign w:val="bottom"/>
            <w:tcBorders>
              <w:bottom w:val="single" w:sz="8" w:color="CCEEFF"/>
            </w:tcBorders>
            <w:gridSpan w:val="4"/>
            <w:shd w:val="clear" w:color="auto" w:fill="CCEEFF"/>
          </w:tcPr>
          <w:p>
            <w:pPr>
              <w:spacing w:after="0"/>
              <w:rPr>
                <w:sz w:val="17"/>
                <w:szCs w:val="17"/>
                <w:color w:val="auto"/>
              </w:rPr>
            </w:pPr>
          </w:p>
        </w:tc>
        <w:tc>
          <w:tcPr>
            <w:tcW w:w="6380" w:type="dxa"/>
            <w:vAlign w:val="bottom"/>
            <w:tcBorders>
              <w:bottom w:val="single" w:sz="8" w:color="CCEEFF"/>
            </w:tcBorders>
            <w:shd w:val="clear" w:color="auto" w:fill="CCEEFF"/>
          </w:tcPr>
          <w:p>
            <w:pPr>
              <w:jc w:val="right"/>
              <w:spacing w:after="0" w:line="176" w:lineRule="exact"/>
              <w:rPr>
                <w:sz w:val="20"/>
                <w:szCs w:val="20"/>
                <w:color w:val="auto"/>
              </w:rPr>
            </w:pPr>
            <w:r>
              <w:rPr>
                <w:rFonts w:ascii="Arial" w:cs="Arial" w:eastAsia="Arial" w:hAnsi="Arial"/>
                <w:sz w:val="18"/>
                <w:szCs w:val="18"/>
                <w:color w:val="auto"/>
              </w:rPr>
              <w:t>F-8</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4860" w:type="dxa"/>
            <w:vAlign w:val="bottom"/>
            <w:gridSpan w:val="8"/>
          </w:tcPr>
          <w:p>
            <w:pPr>
              <w:spacing w:after="0" w:line="176" w:lineRule="exact"/>
              <w:rPr>
                <w:rFonts w:ascii="Arial" w:cs="Arial" w:eastAsia="Arial" w:hAnsi="Arial"/>
                <w:sz w:val="18"/>
                <w:szCs w:val="18"/>
                <w:color w:val="0000EE"/>
              </w:rPr>
            </w:pPr>
            <w:hyperlink w:anchor="page145">
              <w:r>
                <w:rPr>
                  <w:rFonts w:ascii="Arial" w:cs="Arial" w:eastAsia="Arial" w:hAnsi="Arial"/>
                  <w:sz w:val="18"/>
                  <w:szCs w:val="18"/>
                  <w:color w:val="0000EE"/>
                </w:rPr>
                <w:t>Consolidated Statement of Cash Flows</w:t>
              </w:r>
            </w:hyperlink>
          </w:p>
        </w:tc>
        <w:tc>
          <w:tcPr>
            <w:tcW w:w="6380" w:type="dxa"/>
            <w:vAlign w:val="bottom"/>
          </w:tcPr>
          <w:p>
            <w:pPr>
              <w:jc w:val="right"/>
              <w:spacing w:after="0" w:line="176" w:lineRule="exact"/>
              <w:rPr>
                <w:sz w:val="20"/>
                <w:szCs w:val="20"/>
                <w:color w:val="auto"/>
              </w:rPr>
            </w:pPr>
            <w:r>
              <w:rPr>
                <w:rFonts w:ascii="Arial" w:cs="Arial" w:eastAsia="Arial" w:hAnsi="Arial"/>
                <w:sz w:val="18"/>
                <w:szCs w:val="18"/>
                <w:color w:val="auto"/>
              </w:rPr>
              <w:t>F-9</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800" w:type="dxa"/>
            <w:vAlign w:val="bottom"/>
            <w:tcBorders>
              <w:top w:val="single" w:sz="8" w:color="0000EE"/>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6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860" w:type="dxa"/>
            <w:vAlign w:val="bottom"/>
            <w:gridSpan w:val="8"/>
            <w:shd w:val="clear" w:color="auto" w:fill="CCEEFF"/>
          </w:tcPr>
          <w:p>
            <w:pPr>
              <w:spacing w:after="0" w:line="176" w:lineRule="exact"/>
              <w:rPr>
                <w:rFonts w:ascii="Arial" w:cs="Arial" w:eastAsia="Arial" w:hAnsi="Arial"/>
                <w:sz w:val="18"/>
                <w:szCs w:val="18"/>
                <w:color w:val="0000EE"/>
              </w:rPr>
            </w:pPr>
            <w:hyperlink w:anchor="page146">
              <w:r>
                <w:rPr>
                  <w:rFonts w:ascii="Arial" w:cs="Arial" w:eastAsia="Arial" w:hAnsi="Arial"/>
                  <w:sz w:val="18"/>
                  <w:szCs w:val="18"/>
                  <w:color w:val="0000EE"/>
                </w:rPr>
                <w:t>Notes to the Consolidated Financial Statements</w:t>
              </w:r>
            </w:hyperlink>
          </w:p>
        </w:tc>
        <w:tc>
          <w:tcPr>
            <w:tcW w:w="6380" w:type="dxa"/>
            <w:vAlign w:val="bottom"/>
            <w:shd w:val="clear" w:color="auto" w:fill="CCEEFF"/>
          </w:tcPr>
          <w:p>
            <w:pPr>
              <w:jc w:val="right"/>
              <w:spacing w:after="0" w:line="176" w:lineRule="exact"/>
              <w:rPr>
                <w:sz w:val="20"/>
                <w:szCs w:val="20"/>
                <w:color w:val="auto"/>
              </w:rPr>
            </w:pPr>
            <w:r>
              <w:rPr>
                <w:rFonts w:ascii="Arial" w:cs="Arial" w:eastAsia="Arial" w:hAnsi="Arial"/>
                <w:sz w:val="18"/>
                <w:szCs w:val="18"/>
                <w:color w:val="auto"/>
              </w:rPr>
              <w:t>F-10</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432"/>
        </w:trPr>
        <w:tc>
          <w:tcPr>
            <w:tcW w:w="2800" w:type="dxa"/>
            <w:vAlign w:val="bottom"/>
            <w:tcBorders>
              <w:top w:val="single" w:sz="8" w:color="0000EE"/>
              <w:bottom w:val="single" w:sz="8" w:color="auto"/>
            </w:tcBorders>
          </w:tcPr>
          <w:p>
            <w:pPr>
              <w:spacing w:after="0"/>
              <w:rPr>
                <w:sz w:val="24"/>
                <w:szCs w:val="24"/>
                <w:color w:val="auto"/>
              </w:rPr>
            </w:pPr>
          </w:p>
        </w:tc>
        <w:tc>
          <w:tcPr>
            <w:tcW w:w="160" w:type="dxa"/>
            <w:vAlign w:val="bottom"/>
            <w:tcBorders>
              <w:top w:val="single" w:sz="8" w:color="0000EE"/>
              <w:bottom w:val="single" w:sz="8" w:color="auto"/>
            </w:tcBorders>
          </w:tcPr>
          <w:p>
            <w:pPr>
              <w:spacing w:after="0"/>
              <w:rPr>
                <w:sz w:val="24"/>
                <w:szCs w:val="24"/>
                <w:color w:val="auto"/>
              </w:rPr>
            </w:pPr>
          </w:p>
        </w:tc>
        <w:tc>
          <w:tcPr>
            <w:tcW w:w="300" w:type="dxa"/>
            <w:vAlign w:val="bottom"/>
            <w:tcBorders>
              <w:top w:val="single" w:sz="8" w:color="0000EE"/>
              <w:bottom w:val="single" w:sz="8" w:color="auto"/>
            </w:tcBorders>
          </w:tcPr>
          <w:p>
            <w:pPr>
              <w:spacing w:after="0"/>
              <w:rPr>
                <w:sz w:val="24"/>
                <w:szCs w:val="24"/>
                <w:color w:val="auto"/>
              </w:rPr>
            </w:pPr>
          </w:p>
        </w:tc>
        <w:tc>
          <w:tcPr>
            <w:tcW w:w="40" w:type="dxa"/>
            <w:vAlign w:val="bottom"/>
            <w:tcBorders>
              <w:top w:val="single" w:sz="8" w:color="0000EE"/>
              <w:bottom w:val="single" w:sz="8" w:color="auto"/>
            </w:tcBorders>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60" w:type="dxa"/>
            <w:vAlign w:val="bottom"/>
            <w:tcBorders>
              <w:top w:val="single" w:sz="8" w:color="CCEEFF"/>
              <w:bottom w:val="single" w:sz="8" w:color="auto"/>
            </w:tcBorders>
          </w:tcPr>
          <w:p>
            <w:pPr>
              <w:spacing w:after="0"/>
              <w:rPr>
                <w:sz w:val="24"/>
                <w:szCs w:val="24"/>
                <w:color w:val="auto"/>
              </w:rPr>
            </w:pPr>
          </w:p>
        </w:tc>
        <w:tc>
          <w:tcPr>
            <w:tcW w:w="540" w:type="dxa"/>
            <w:vAlign w:val="bottom"/>
            <w:tcBorders>
              <w:top w:val="single" w:sz="8" w:color="CCEEFF"/>
              <w:bottom w:val="single" w:sz="8" w:color="auto"/>
            </w:tcBorders>
          </w:tcPr>
          <w:p>
            <w:pPr>
              <w:spacing w:after="0"/>
              <w:rPr>
                <w:sz w:val="24"/>
                <w:szCs w:val="24"/>
                <w:color w:val="auto"/>
              </w:rPr>
            </w:pPr>
          </w:p>
        </w:tc>
        <w:tc>
          <w:tcPr>
            <w:tcW w:w="640" w:type="dxa"/>
            <w:vAlign w:val="bottom"/>
            <w:tcBorders>
              <w:top w:val="single" w:sz="8" w:color="CCEEFF"/>
              <w:bottom w:val="single" w:sz="8" w:color="auto"/>
            </w:tcBorders>
          </w:tcPr>
          <w:p>
            <w:pPr>
              <w:spacing w:after="0"/>
              <w:rPr>
                <w:sz w:val="24"/>
                <w:szCs w:val="24"/>
                <w:color w:val="auto"/>
              </w:rPr>
            </w:pPr>
          </w:p>
        </w:tc>
        <w:tc>
          <w:tcPr>
            <w:tcW w:w="6380" w:type="dxa"/>
            <w:vAlign w:val="bottom"/>
            <w:tcBorders>
              <w:top w:val="single" w:sz="8" w:color="CCEEFF"/>
              <w:bottom w:val="single" w:sz="8" w:color="auto"/>
            </w:tcBorders>
          </w:tcPr>
          <w:p>
            <w:pPr>
              <w:jc w:val="right"/>
              <w:ind w:right="5410"/>
              <w:spacing w:after="0"/>
              <w:rPr>
                <w:sz w:val="20"/>
                <w:szCs w:val="20"/>
                <w:color w:val="auto"/>
              </w:rPr>
            </w:pPr>
            <w:r>
              <w:rPr>
                <w:rFonts w:ascii="Arial" w:cs="Arial" w:eastAsia="Arial" w:hAnsi="Arial"/>
                <w:sz w:val="18"/>
                <w:szCs w:val="18"/>
                <w:color w:val="auto"/>
              </w:rPr>
              <w:t>F-2</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580" w:right="339" w:bottom="1440" w:gutter="0" w:footer="0" w:header="0"/>
        </w:sectPr>
      </w:pPr>
    </w:p>
    <w:bookmarkStart w:id="137" w:name="page138"/>
    <w:bookmarkEnd w:id="137"/>
    <w:p>
      <w:pPr>
        <w:ind w:left="3720"/>
        <w:spacing w:after="0"/>
        <w:rPr>
          <w:sz w:val="20"/>
          <w:szCs w:val="20"/>
          <w:color w:val="auto"/>
        </w:rPr>
      </w:pPr>
      <w:r>
        <w:rPr>
          <w:rFonts w:ascii="Arial" w:cs="Arial" w:eastAsia="Arial" w:hAnsi="Arial"/>
          <w:sz w:val="18"/>
          <w:szCs w:val="18"/>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814070" cy="33464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5">
                      <a:extLst>
                        <a:ext uri="{28A0092B-C50C-407E-A947-70E740481C1C}"/>
                      </a:extLst>
                    </a:blip>
                    <a:srcRect/>
                    <a:stretch>
                      <a:fillRect/>
                    </a:stretch>
                  </pic:blipFill>
                  <pic:spPr bwMode="auto">
                    <a:xfrm>
                      <a:off x="0" y="0"/>
                      <a:ext cx="814070" cy="334645"/>
                    </a:xfrm>
                    <a:prstGeom prst="rect">
                      <a:avLst/>
                    </a:prstGeom>
                    <a:noFill/>
                  </pic:spPr>
                </pic:pic>
              </a:graphicData>
            </a:graphic>
          </wp:anchor>
        </w:drawing>
      </w:r>
    </w:p>
    <w:p>
      <w:pPr>
        <w:spacing w:after="0" w:line="7" w:lineRule="exact"/>
        <w:rPr>
          <w:sz w:val="20"/>
          <w:szCs w:val="20"/>
          <w:color w:val="auto"/>
        </w:rPr>
      </w:pPr>
    </w:p>
    <w:p>
      <w:pPr>
        <w:ind w:left="3720"/>
        <w:spacing w:after="0"/>
        <w:rPr>
          <w:sz w:val="20"/>
          <w:szCs w:val="20"/>
          <w:color w:val="auto"/>
        </w:rPr>
      </w:pPr>
      <w:r>
        <w:rPr>
          <w:rFonts w:ascii="Arial" w:cs="Arial" w:eastAsia="Arial" w:hAnsi="Arial"/>
          <w:sz w:val="16"/>
          <w:szCs w:val="16"/>
          <w:color w:val="auto"/>
        </w:rPr>
        <w:t>Torre PDC, Ave. Samuel Lewis y</w:t>
      </w:r>
    </w:p>
    <w:p>
      <w:pPr>
        <w:spacing w:after="0" w:line="32" w:lineRule="exact"/>
        <w:rPr>
          <w:sz w:val="20"/>
          <w:szCs w:val="20"/>
          <w:color w:val="auto"/>
        </w:rPr>
      </w:pPr>
    </w:p>
    <w:p>
      <w:pPr>
        <w:ind w:left="3720"/>
        <w:spacing w:after="0"/>
        <w:rPr>
          <w:sz w:val="20"/>
          <w:szCs w:val="20"/>
          <w:color w:val="auto"/>
        </w:rPr>
      </w:pPr>
      <w:r>
        <w:rPr>
          <w:rFonts w:ascii="Arial" w:cs="Arial" w:eastAsia="Arial" w:hAnsi="Arial"/>
          <w:sz w:val="18"/>
          <w:szCs w:val="18"/>
          <w:color w:val="auto"/>
        </w:rPr>
        <w:t>Calle 56 Este, Obarrio</w:t>
      </w:r>
    </w:p>
    <w:p>
      <w:pPr>
        <w:spacing w:after="0" w:line="9" w:lineRule="exact"/>
        <w:rPr>
          <w:sz w:val="20"/>
          <w:szCs w:val="20"/>
          <w:color w:val="auto"/>
        </w:rPr>
      </w:pPr>
    </w:p>
    <w:p>
      <w:pPr>
        <w:ind w:left="3720"/>
        <w:spacing w:after="0"/>
        <w:rPr>
          <w:sz w:val="20"/>
          <w:szCs w:val="20"/>
          <w:color w:val="auto"/>
        </w:rPr>
      </w:pPr>
      <w:r>
        <w:rPr>
          <w:rFonts w:ascii="Arial" w:cs="Arial" w:eastAsia="Arial" w:hAnsi="Arial"/>
          <w:sz w:val="16"/>
          <w:szCs w:val="16"/>
          <w:color w:val="auto"/>
        </w:rPr>
        <w:t>Panamá, República de Panamá</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6"/>
          <w:szCs w:val="16"/>
          <w:color w:val="auto"/>
        </w:rPr>
        <w:t>Teléfono: (507) 208-0700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Website: kpmg.com.pa</w:t>
      </w:r>
    </w:p>
    <w:p>
      <w:pPr>
        <w:spacing w:after="0" w:line="609" w:lineRule="exact"/>
        <w:rPr>
          <w:sz w:val="20"/>
          <w:szCs w:val="20"/>
          <w:color w:val="auto"/>
        </w:rPr>
      </w:pPr>
    </w:p>
    <w:p>
      <w:pPr>
        <w:sectPr>
          <w:pgSz w:w="11900" w:h="16838" w:orient="portrait"/>
          <w:cols w:equalWidth="0" w:num="2">
            <w:col w:w="6720" w:space="720"/>
            <w:col w:w="3780"/>
          </w:cols>
          <w:pgMar w:left="320" w:top="688" w:right="359" w:bottom="1440" w:gutter="0" w:footer="0" w:header="0"/>
        </w:sectPr>
      </w:pPr>
    </w:p>
    <w:p>
      <w:pPr>
        <w:spacing w:after="0" w:line="30"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Report of Independent Registered Public Accounting Firm</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To the Stockholders and Board of Directors</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Banco Latinoamericano de Comercio Exterior, S. A.:</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Opinion on the Consolidated Financial Statements</w:t>
      </w:r>
    </w:p>
    <w:p>
      <w:pPr>
        <w:spacing w:after="0" w:line="225" w:lineRule="exact"/>
        <w:rPr>
          <w:sz w:val="20"/>
          <w:szCs w:val="20"/>
          <w:color w:val="auto"/>
        </w:rPr>
      </w:pPr>
    </w:p>
    <w:p>
      <w:pPr>
        <w:ind w:right="80"/>
        <w:spacing w:after="0" w:line="293" w:lineRule="auto"/>
        <w:rPr>
          <w:sz w:val="20"/>
          <w:szCs w:val="20"/>
          <w:color w:val="auto"/>
        </w:rPr>
      </w:pPr>
      <w:r>
        <w:rPr>
          <w:rFonts w:ascii="Arial" w:cs="Arial" w:eastAsia="Arial" w:hAnsi="Arial"/>
          <w:sz w:val="16"/>
          <w:szCs w:val="16"/>
          <w:color w:val="auto"/>
        </w:rPr>
        <w:t>We have audited the accompanying consolidated statements of financial position of Banco Latinoamericano de Comercio Exterior, S.A. and subsidiaries (the Bank) as of December 31, 2020 and 2019, the related consolidated statements of profit or loss, comprehensive income, changes in equity, and cash flows for each of the years in the three-year period ended December 31, 2020, and the related notes (collectively, the consolidated financial statements). In our opinion, the consolidated financial statements present fairly, in all material respects, the financial position of the Bank as of December 31, 2020 and 2019, and the results of its operations and its cash flows for each of the years in the three-year period ended December 31, 2020, in conformity with International Financial Reporting Standards as issued by the International Accounting Standards Board.</w:t>
      </w:r>
    </w:p>
    <w:p>
      <w:pPr>
        <w:spacing w:after="0" w:line="164" w:lineRule="exact"/>
        <w:rPr>
          <w:sz w:val="20"/>
          <w:szCs w:val="20"/>
          <w:color w:val="auto"/>
        </w:rPr>
      </w:pPr>
    </w:p>
    <w:p>
      <w:pPr>
        <w:ind w:right="60"/>
        <w:spacing w:after="0" w:line="259" w:lineRule="auto"/>
        <w:rPr>
          <w:sz w:val="20"/>
          <w:szCs w:val="20"/>
          <w:color w:val="auto"/>
        </w:rPr>
      </w:pPr>
      <w:r>
        <w:rPr>
          <w:rFonts w:ascii="Arial" w:cs="Arial" w:eastAsia="Arial" w:hAnsi="Arial"/>
          <w:sz w:val="18"/>
          <w:szCs w:val="18"/>
          <w:color w:val="auto"/>
        </w:rPr>
        <w:t xml:space="preserve">We also have audited, in accordance with the standards of the Public Company Accounting Oversight Board (United States) (PCAOB), the Bank’s internal control over financial reporting as of December 31, 2020, based on criteria established in </w:t>
      </w:r>
      <w:r>
        <w:rPr>
          <w:rFonts w:ascii="Arial" w:cs="Arial" w:eastAsia="Arial" w:hAnsi="Arial"/>
          <w:sz w:val="18"/>
          <w:szCs w:val="18"/>
          <w:i w:val="1"/>
          <w:iCs w:val="1"/>
          <w:color w:val="auto"/>
        </w:rPr>
        <w:t>Internal Control – Integrated Framework (2013)</w:t>
      </w:r>
      <w:r>
        <w:rPr>
          <w:rFonts w:ascii="Arial" w:cs="Arial" w:eastAsia="Arial" w:hAnsi="Arial"/>
          <w:sz w:val="18"/>
          <w:szCs w:val="18"/>
          <w:color w:val="auto"/>
        </w:rPr>
        <w:t xml:space="preserve"> issued by the Committee of Sponsoring Organizations of the Treadway Commission, and our report dated April 29, 2021 expressed an unqualified opinion on the effectiveness of the Bank’s internal control over financial reporting.</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Basis for Opinion</w:t>
      </w:r>
    </w:p>
    <w:p>
      <w:pPr>
        <w:spacing w:after="0" w:line="225" w:lineRule="exact"/>
        <w:rPr>
          <w:sz w:val="20"/>
          <w:szCs w:val="20"/>
          <w:color w:val="auto"/>
        </w:rPr>
      </w:pPr>
    </w:p>
    <w:p>
      <w:pPr>
        <w:spacing w:after="0" w:line="259" w:lineRule="auto"/>
        <w:rPr>
          <w:sz w:val="20"/>
          <w:szCs w:val="20"/>
          <w:color w:val="auto"/>
        </w:rPr>
      </w:pPr>
      <w:r>
        <w:rPr>
          <w:rFonts w:ascii="Arial" w:cs="Arial" w:eastAsia="Arial" w:hAnsi="Arial"/>
          <w:sz w:val="18"/>
          <w:szCs w:val="18"/>
          <w:color w:val="auto"/>
        </w:rPr>
        <w:t>These consolidated financial statements are the responsibility of the Bank’s management. Our responsibility is to express an opinion on these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87" w:lineRule="exact"/>
        <w:rPr>
          <w:sz w:val="20"/>
          <w:szCs w:val="20"/>
          <w:color w:val="auto"/>
        </w:rPr>
      </w:pPr>
    </w:p>
    <w:p>
      <w:pPr>
        <w:ind w:right="120"/>
        <w:spacing w:after="0" w:line="293" w:lineRule="auto"/>
        <w:rPr>
          <w:sz w:val="20"/>
          <w:szCs w:val="20"/>
          <w:color w:val="auto"/>
        </w:rPr>
      </w:pPr>
      <w:r>
        <w:rPr>
          <w:rFonts w:ascii="Arial" w:cs="Arial" w:eastAsia="Arial" w:hAnsi="Arial"/>
          <w:sz w:val="16"/>
          <w:szCs w:val="16"/>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64"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Critical Audit Matter</w:t>
      </w:r>
    </w:p>
    <w:p>
      <w:pPr>
        <w:spacing w:after="0" w:line="225" w:lineRule="exact"/>
        <w:rPr>
          <w:sz w:val="20"/>
          <w:szCs w:val="20"/>
          <w:color w:val="auto"/>
        </w:rPr>
      </w:pPr>
    </w:p>
    <w:p>
      <w:pPr>
        <w:ind w:right="140"/>
        <w:spacing w:after="0" w:line="275" w:lineRule="auto"/>
        <w:rPr>
          <w:sz w:val="20"/>
          <w:szCs w:val="20"/>
          <w:color w:val="auto"/>
        </w:rPr>
      </w:pPr>
      <w:r>
        <w:rPr>
          <w:rFonts w:ascii="Arial" w:cs="Arial" w:eastAsia="Arial" w:hAnsi="Arial"/>
          <w:sz w:val="17"/>
          <w:szCs w:val="17"/>
          <w:color w:val="auto"/>
        </w:rPr>
        <w:t>The critical audit matter communicated below is a matter arising from the current period audit of the consolidated financial statements that was communicated or required to be communicated to the audit committee and that: (1) relates to accounts or disclosures that are material to the consolidated financial statements and (2) involved our especially challenging, subjective, or complex judgments. The communication of a critical audit matter does not alter in any way our opinion on the consolidated financial statements, taken as a whole, and we are not, by communicating the critical audit matter below, providing a separate opinion on the critical audit matter or on the accounts or disclosures to which it relates.</w:t>
      </w:r>
    </w:p>
    <w:p>
      <w:pPr>
        <w:spacing w:after="0" w:line="176"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type w:val="continuous"/>
        </w:sectPr>
      </w:pPr>
    </w:p>
    <w:bookmarkStart w:id="138" w:name="page139"/>
    <w:bookmarkEnd w:id="138"/>
    <w:p>
      <w:pPr>
        <w:spacing w:after="0"/>
        <w:rPr>
          <w:sz w:val="20"/>
          <w:szCs w:val="20"/>
          <w:color w:val="auto"/>
        </w:rPr>
      </w:pPr>
      <w:r>
        <w:rPr>
          <w:rFonts w:ascii="Arial" w:cs="Arial" w:eastAsia="Arial" w:hAnsi="Arial"/>
          <w:sz w:val="18"/>
          <w:szCs w:val="18"/>
          <w:i w:val="1"/>
          <w:iCs w:val="1"/>
          <w:color w:val="auto"/>
        </w:rPr>
        <w:t>Assessment of the allowance for loan losses</w:t>
      </w:r>
    </w:p>
    <w:p>
      <w:pPr>
        <w:spacing w:after="0" w:line="225" w:lineRule="exact"/>
        <w:rPr>
          <w:sz w:val="20"/>
          <w:szCs w:val="20"/>
          <w:color w:val="auto"/>
        </w:rPr>
      </w:pPr>
    </w:p>
    <w:p>
      <w:pPr>
        <w:spacing w:after="0" w:line="286" w:lineRule="auto"/>
        <w:rPr>
          <w:sz w:val="20"/>
          <w:szCs w:val="20"/>
          <w:color w:val="auto"/>
        </w:rPr>
      </w:pPr>
      <w:r>
        <w:rPr>
          <w:rFonts w:ascii="Arial" w:cs="Arial" w:eastAsia="Arial" w:hAnsi="Arial"/>
          <w:sz w:val="16"/>
          <w:szCs w:val="16"/>
          <w:color w:val="auto"/>
        </w:rPr>
        <w:t>As discussed in Notes 3.4 and 5 to the consolidated financial statements, the Bank’s allowance for loan losses (ALL) was $41.2 million as of December 31, 2020, of which $36.6 million related to the allowance for loan losses evaluated on a collective basis (collective ALL) and $4.6 million related to the allowance for loan losses evaluated on an individual basis (individual ALL). Fundamental to the Bank’s ALL estimate are the customer credit risk rating and the country risk rating which the Bank assigns to each loan. These ratings are determined using models that incorporate judgmental inputs and assumptions including, for the customer credit rating model, forecasts of customer´s financial performance and conditions and, for the country risk rating model, future macroeconomic scenarios and related assumptions. The Bank applies a three-stage approach to measure ALL. Generally, loans are initially classified in stage 1. Subsequently, the customer credit and country risk ratings are used to assess whether there has been a significant increase in credit risk (SICR), stage 2, or when the financial asset is credit impaired, stage 3. The Bank calculates a collective ALL for loans in stages 1 and 2 and assesses ECL on an individual basis for loans in stage 3. Lifetime ECL is recorded when the Bank determines that there has been a SICR (stage 2) or when the financial asset is in default (stage 3); otherwise, a 12-month ECL is recorded (stage 1). The collective ALL is the product of multiplying the Bank´s estimates of probability of default (PD), loss given default (LGD) and the exposure at default (EAD) of each loan. The Bank uses models to develop the PD and LGD, which are derived from internal historical default and loss experience adjusted for current conditions. The Bank calculates ECL on an individual basis based on the expected cash flows which consider the possible recovery scenarios including the related collateral valuation when applicable. As a response to the COVID-19 pandemic, the Bank performed more frequent assessments of customer credit and country risk ratings to identify emerging risks.</w:t>
      </w:r>
    </w:p>
    <w:p>
      <w:pPr>
        <w:spacing w:after="0" w:line="171" w:lineRule="exact"/>
        <w:rPr>
          <w:sz w:val="20"/>
          <w:szCs w:val="20"/>
          <w:color w:val="auto"/>
        </w:rPr>
      </w:pPr>
    </w:p>
    <w:p>
      <w:pPr>
        <w:ind w:right="40"/>
        <w:spacing w:after="0" w:line="255" w:lineRule="auto"/>
        <w:rPr>
          <w:sz w:val="20"/>
          <w:szCs w:val="20"/>
          <w:color w:val="auto"/>
        </w:rPr>
      </w:pPr>
      <w:r>
        <w:rPr>
          <w:rFonts w:ascii="Arial" w:cs="Arial" w:eastAsia="Arial" w:hAnsi="Arial"/>
          <w:sz w:val="18"/>
          <w:szCs w:val="18"/>
          <w:color w:val="auto"/>
        </w:rPr>
        <w:t>We identified the assessment of the collective and individual ALL as a critical audit matter. It requires a high degree of audit effort involving subjective auditor judgment, including specialized skills and knowledge, due to the number and complexity of significant assumptions and the resulting significant measurement uncertainty. The collective and individual ALL methodologies required significant assumptions in the methods and models used to determine the PDs, LGDs and customer credit and country risk ratings. These significant assumptions included: historical observation periods; forecasts of macroeconomic scenarios and customer´s financial performance and conditions, including the current and potential impacts of the COVID-19 pandemic; and cash flow recovery scenarios.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color w:val="auto"/>
        </w:rPr>
        <w:t>The following are the primary procedures we performed to address this critical audit matter:</w:t>
      </w:r>
    </w:p>
    <w:p>
      <w:pPr>
        <w:spacing w:after="0" w:line="225" w:lineRule="exact"/>
        <w:rPr>
          <w:sz w:val="20"/>
          <w:szCs w:val="20"/>
          <w:color w:val="auto"/>
        </w:rPr>
      </w:pPr>
    </w:p>
    <w:p>
      <w:pPr>
        <w:ind w:left="300" w:right="40" w:hanging="297"/>
        <w:spacing w:after="0" w:line="275" w:lineRule="auto"/>
        <w:rPr>
          <w:sz w:val="20"/>
          <w:szCs w:val="20"/>
          <w:color w:val="auto"/>
        </w:rPr>
      </w:pPr>
      <w:r>
        <w:rPr>
          <w:rFonts w:ascii="Arial" w:cs="Arial" w:eastAsia="Arial" w:hAnsi="Arial"/>
          <w:sz w:val="17"/>
          <w:szCs w:val="17"/>
          <w:color w:val="auto"/>
        </w:rPr>
        <w:t>— We evaluated the design and tested the operating effectiveness of certain internal controls related to the Bank’s collective and individual ALL estimate. These included controls relating to: (i) model validation related to PD, LGD and collective ALL models, including the historical observation periods; (ii) review and approval of significant assumptions and judgments used by the Bank to determine customer credit and country risk ratings; (iii) data inputs for the collective and individual ALL models, including those used to determine PDs, LGDs and customer credit and country risk ratings, including technology controls over the sources of data and its extraction and processing.</w:t>
      </w:r>
    </w:p>
    <w:p>
      <w:pPr>
        <w:spacing w:after="0" w:line="176" w:lineRule="exact"/>
        <w:rPr>
          <w:sz w:val="20"/>
          <w:szCs w:val="20"/>
          <w:color w:val="auto"/>
        </w:rPr>
      </w:pPr>
    </w:p>
    <w:p>
      <w:pPr>
        <w:ind w:left="300" w:right="20" w:hanging="297"/>
        <w:spacing w:after="0" w:line="273" w:lineRule="auto"/>
        <w:rPr>
          <w:sz w:val="20"/>
          <w:szCs w:val="20"/>
          <w:color w:val="auto"/>
        </w:rPr>
      </w:pPr>
      <w:r>
        <w:rPr>
          <w:rFonts w:ascii="Arial" w:cs="Arial" w:eastAsia="Arial" w:hAnsi="Arial"/>
          <w:sz w:val="17"/>
          <w:szCs w:val="17"/>
          <w:color w:val="auto"/>
        </w:rPr>
        <w:t>— We involved financial risk management professionals with specialized skills and knowledge, who assisted in: (i) evaluating the Bank´s collective and individual ALL methodologies for compliance with the International Financial Reporting Standards as issued by the International Accounting Standards Board; (ii) assessing the conceptual soundness and performance testing of the PD and LGD models by inspecting model documentation to determine whether the models are suitable for their intended use; (iii) evaluating the customer credit and country risk rating models by comparing them to relevant industry practices, considering the Bank´s business environment; and (iv) assessing the macroeconomic variables used by the Bank by comparing them to publicly available information, considering current and potential COVID-19 pandemic impacts.</w:t>
      </w:r>
    </w:p>
    <w:p>
      <w:pPr>
        <w:spacing w:after="0" w:line="177" w:lineRule="exact"/>
        <w:rPr>
          <w:sz w:val="20"/>
          <w:szCs w:val="20"/>
          <w:color w:val="auto"/>
        </w:rPr>
      </w:pPr>
    </w:p>
    <w:p>
      <w:pPr>
        <w:ind w:left="300" w:right="140" w:hanging="297"/>
        <w:spacing w:after="0" w:line="259" w:lineRule="auto"/>
        <w:rPr>
          <w:sz w:val="20"/>
          <w:szCs w:val="20"/>
          <w:color w:val="auto"/>
        </w:rPr>
      </w:pPr>
      <w:r>
        <w:rPr>
          <w:rFonts w:ascii="Arial" w:cs="Arial" w:eastAsia="Arial" w:hAnsi="Arial"/>
          <w:sz w:val="18"/>
          <w:szCs w:val="18"/>
          <w:color w:val="auto"/>
        </w:rPr>
        <w:t>— We involved credit risk professionals with specialized skills and knowledge, who assisted in: (i) testing a selection of the Bank’s customer credit risk ratings by developing an independent rating using information related to the borrower’s financial performance and conditions obtained from the Bank and from independent sources and comparing to the Bank’s rating; and (ii) evaluating the sources of repayment and any relevant guarantees or underlying collateral used in the individual ALL estimate.</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color w:val="auto"/>
        </w:rPr>
        <w:t>We have served as the Bank’s auditor since 2018.</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/s/ KPMG</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Panama City, Republic of Panama</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April 29, 2021</w:t>
      </w:r>
    </w:p>
    <w:p>
      <w:pPr>
        <w:spacing w:after="0" w:line="211"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125" w:right="359" w:bottom="1440" w:gutter="0" w:footer="0" w:header="0"/>
        </w:sectPr>
      </w:pPr>
    </w:p>
    <w:bookmarkStart w:id="139" w:name="page140"/>
    <w:bookmarkEnd w:id="1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December 31,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760" w:type="dxa"/>
            <w:vAlign w:val="bottom"/>
          </w:tcPr>
          <w:p>
            <w:pPr>
              <w:spacing w:after="0"/>
              <w:rPr>
                <w:sz w:val="20"/>
                <w:szCs w:val="20"/>
                <w:color w:val="auto"/>
              </w:rPr>
            </w:pPr>
          </w:p>
        </w:tc>
        <w:tc>
          <w:tcPr>
            <w:tcW w:w="1260" w:type="dxa"/>
            <w:vAlign w:val="bottom"/>
            <w:gridSpan w:val="2"/>
          </w:tcPr>
          <w:p>
            <w:pPr>
              <w:ind w:left="300"/>
              <w:spacing w:after="0"/>
              <w:rPr>
                <w:sz w:val="20"/>
                <w:szCs w:val="20"/>
                <w:color w:val="auto"/>
              </w:rPr>
            </w:pPr>
            <w:r>
              <w:rPr>
                <w:rFonts w:ascii="Arial" w:cs="Arial" w:eastAsia="Arial" w:hAnsi="Arial"/>
                <w:sz w:val="18"/>
                <w:szCs w:val="18"/>
                <w:b w:val="1"/>
                <w:bCs w:val="1"/>
                <w:color w:val="auto"/>
              </w:rPr>
              <w:t>Notes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6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7"/>
              </w:rPr>
              <w:t>7,8</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863,812</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1,178,170</w:t>
            </w:r>
          </w:p>
        </w:tc>
        <w:tc>
          <w:tcPr>
            <w:tcW w:w="8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1020" w:type="dxa"/>
            <w:vAlign w:val="bottom"/>
            <w:shd w:val="clear" w:color="auto" w:fill="CCEEFF"/>
          </w:tcPr>
          <w:p>
            <w:pPr>
              <w:jc w:val="center"/>
              <w:ind w:left="50"/>
              <w:spacing w:after="0"/>
              <w:rPr>
                <w:sz w:val="20"/>
                <w:szCs w:val="20"/>
                <w:color w:val="auto"/>
              </w:rPr>
            </w:pPr>
            <w:r>
              <w:rPr>
                <w:rFonts w:ascii="Arial" w:cs="Arial" w:eastAsia="Arial" w:hAnsi="Arial"/>
                <w:sz w:val="18"/>
                <w:szCs w:val="18"/>
                <w:color w:val="auto"/>
                <w:w w:val="89"/>
              </w:rPr>
              <w:t>5,7,9</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398,068</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88,794</w:t>
            </w:r>
          </w:p>
        </w:tc>
      </w:tr>
      <w:tr>
        <w:trPr>
          <w:trHeight w:val="216"/>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Loans, net</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1"/>
              </w:rPr>
              <w:t>5,7,10</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4,896,647</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5,823,333</w:t>
            </w:r>
          </w:p>
        </w:tc>
        <w:tc>
          <w:tcPr>
            <w:tcW w:w="8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7"/>
              </w:rPr>
              <w:t>5,7</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74,366</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115,682</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91"/>
              </w:rPr>
              <w:t>5,7,13</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27,778</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11,157</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15</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16,213</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18,752</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Intangibles, net</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16</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1,984</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1,427</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Investment properties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17</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3,214</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3,494</w:t>
            </w:r>
          </w:p>
        </w:tc>
        <w:tc>
          <w:tcPr>
            <w:tcW w:w="80" w:type="dxa"/>
            <w:vAlign w:val="bottom"/>
            <w:shd w:val="clear" w:color="auto" w:fill="CCEEFF"/>
          </w:tcPr>
          <w:p>
            <w:pPr>
              <w:spacing w:after="0"/>
              <w:rPr>
                <w:sz w:val="18"/>
                <w:szCs w:val="18"/>
                <w:color w:val="auto"/>
              </w:rPr>
            </w:pPr>
          </w:p>
        </w:tc>
      </w:tr>
      <w:tr>
        <w:trPr>
          <w:trHeight w:val="230"/>
        </w:trPr>
        <w:tc>
          <w:tcPr>
            <w:tcW w:w="6760" w:type="dxa"/>
            <w:vAlign w:val="bottom"/>
          </w:tcPr>
          <w:p>
            <w:pPr>
              <w:spacing w:after="0"/>
              <w:rPr>
                <w:sz w:val="20"/>
                <w:szCs w:val="20"/>
                <w:color w:val="auto"/>
              </w:rPr>
            </w:pPr>
            <w:r>
              <w:rPr>
                <w:rFonts w:ascii="Arial" w:cs="Arial" w:eastAsia="Arial" w:hAnsi="Arial"/>
                <w:sz w:val="18"/>
                <w:szCs w:val="18"/>
                <w:color w:val="auto"/>
              </w:rPr>
              <w:t>Other assets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18</w:t>
            </w:r>
          </w:p>
        </w:tc>
        <w:tc>
          <w:tcPr>
            <w:tcW w:w="24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6,816</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8,857</w:t>
            </w:r>
          </w:p>
        </w:tc>
        <w:tc>
          <w:tcPr>
            <w:tcW w:w="80" w:type="dxa"/>
            <w:vAlign w:val="bottom"/>
          </w:tcPr>
          <w:p>
            <w:pPr>
              <w:spacing w:after="0"/>
              <w:rPr>
                <w:sz w:val="19"/>
                <w:szCs w:val="19"/>
                <w:color w:val="auto"/>
              </w:rPr>
            </w:pPr>
          </w:p>
        </w:tc>
      </w:tr>
      <w:tr>
        <w:trPr>
          <w:trHeight w:val="223"/>
        </w:trPr>
        <w:tc>
          <w:tcPr>
            <w:tcW w:w="67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02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6,288,898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7,249,666</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76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67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10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Liabilities:</w:t>
            </w: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10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170,660</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85,786</w:t>
            </w:r>
          </w:p>
        </w:tc>
      </w:tr>
      <w:tr>
        <w:trPr>
          <w:trHeight w:val="230"/>
        </w:trPr>
        <w:tc>
          <w:tcPr>
            <w:tcW w:w="6760" w:type="dxa"/>
            <w:vAlign w:val="bottom"/>
          </w:tcPr>
          <w:p>
            <w:pPr>
              <w:spacing w:after="0"/>
              <w:rPr>
                <w:sz w:val="20"/>
                <w:szCs w:val="20"/>
                <w:color w:val="auto"/>
              </w:rPr>
            </w:pPr>
            <w:r>
              <w:rPr>
                <w:rFonts w:ascii="Arial" w:cs="Arial" w:eastAsia="Arial" w:hAnsi="Arial"/>
                <w:sz w:val="18"/>
                <w:szCs w:val="18"/>
                <w:color w:val="auto"/>
              </w:rPr>
              <w:t>Time deposits</w:t>
            </w:r>
          </w:p>
        </w:tc>
        <w:tc>
          <w:tcPr>
            <w:tcW w:w="10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2,968,240</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2,802,550</w:t>
            </w:r>
          </w:p>
        </w:tc>
        <w:tc>
          <w:tcPr>
            <w:tcW w:w="80" w:type="dxa"/>
            <w:vAlign w:val="bottom"/>
          </w:tcPr>
          <w:p>
            <w:pPr>
              <w:spacing w:after="0"/>
              <w:rPr>
                <w:sz w:val="19"/>
                <w:szCs w:val="19"/>
                <w:color w:val="auto"/>
              </w:rPr>
            </w:pPr>
          </w:p>
        </w:tc>
      </w:tr>
      <w:tr>
        <w:trPr>
          <w:trHeight w:val="209"/>
        </w:trPr>
        <w:tc>
          <w:tcPr>
            <w:tcW w:w="676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Arial" w:cs="Arial" w:eastAsia="Arial" w:hAnsi="Arial"/>
                <w:sz w:val="18"/>
                <w:szCs w:val="18"/>
                <w:color w:val="auto"/>
                <w:w w:val="91"/>
              </w:rPr>
              <w:t>5,7,19</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3,138,900</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2,888,336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6760" w:type="dxa"/>
            <w:vAlign w:val="bottom"/>
          </w:tcPr>
          <w:p>
            <w:pPr>
              <w:ind w:left="200"/>
              <w:spacing w:after="0"/>
              <w:rPr>
                <w:sz w:val="20"/>
                <w:szCs w:val="20"/>
                <w:color w:val="auto"/>
              </w:rPr>
            </w:pPr>
            <w:r>
              <w:rPr>
                <w:rFonts w:ascii="Arial" w:cs="Arial" w:eastAsia="Arial" w:hAnsi="Arial"/>
                <w:sz w:val="18"/>
                <w:szCs w:val="18"/>
                <w:color w:val="auto"/>
              </w:rPr>
              <w:t>Interest payable</w:t>
            </w:r>
          </w:p>
        </w:tc>
        <w:tc>
          <w:tcPr>
            <w:tcW w:w="10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1,975</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5,219</w:t>
            </w:r>
          </w:p>
        </w:tc>
        <w:tc>
          <w:tcPr>
            <w:tcW w:w="80" w:type="dxa"/>
            <w:vAlign w:val="bottom"/>
          </w:tcPr>
          <w:p>
            <w:pPr>
              <w:spacing w:after="0"/>
              <w:rPr>
                <w:sz w:val="19"/>
                <w:szCs w:val="19"/>
                <w:color w:val="auto"/>
              </w:rPr>
            </w:pPr>
          </w:p>
        </w:tc>
      </w:tr>
      <w:tr>
        <w:trPr>
          <w:trHeight w:val="210"/>
        </w:trPr>
        <w:tc>
          <w:tcPr>
            <w:tcW w:w="6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0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2,893,555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1"/>
              </w:rPr>
              <w:t>5,7,20</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10,663</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40,530</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5"/>
              </w:rPr>
              <w:t>7,21</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1,985,070</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3,138,310</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10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9,175</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10,554</w:t>
            </w:r>
          </w:p>
        </w:tc>
      </w:tr>
      <w:tr>
        <w:trPr>
          <w:trHeight w:val="216"/>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Acceptance outstanding</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7"/>
              </w:rPr>
              <w:t>5,7</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74,366</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115,682</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91"/>
              </w:rPr>
              <w:t>5,7,13</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9,211</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14,675</w:t>
            </w: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7"/>
              </w:rPr>
              <w:t>5,7</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2,904</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3,044</w:t>
            </w:r>
          </w:p>
        </w:tc>
        <w:tc>
          <w:tcPr>
            <w:tcW w:w="80" w:type="dxa"/>
            <w:vAlign w:val="bottom"/>
            <w:shd w:val="clear" w:color="auto" w:fill="CCEEFF"/>
          </w:tcPr>
          <w:p>
            <w:pPr>
              <w:spacing w:after="0"/>
              <w:rPr>
                <w:sz w:val="18"/>
                <w:szCs w:val="18"/>
                <w:color w:val="auto"/>
              </w:rPr>
            </w:pPr>
          </w:p>
        </w:tc>
      </w:tr>
      <w:tr>
        <w:trPr>
          <w:trHeight w:val="230"/>
        </w:trPr>
        <w:tc>
          <w:tcPr>
            <w:tcW w:w="6760" w:type="dxa"/>
            <w:vAlign w:val="bottom"/>
          </w:tcPr>
          <w:p>
            <w:pPr>
              <w:spacing w:after="0"/>
              <w:rPr>
                <w:sz w:val="20"/>
                <w:szCs w:val="20"/>
                <w:color w:val="auto"/>
              </w:rPr>
            </w:pPr>
            <w:r>
              <w:rPr>
                <w:rFonts w:ascii="Arial" w:cs="Arial" w:eastAsia="Arial" w:hAnsi="Arial"/>
                <w:sz w:val="18"/>
                <w:szCs w:val="18"/>
                <w:color w:val="auto"/>
              </w:rPr>
              <w:t>Other liabilities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22</w:t>
            </w:r>
          </w:p>
        </w:tc>
        <w:tc>
          <w:tcPr>
            <w:tcW w:w="24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18,714</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17,149</w:t>
            </w:r>
          </w:p>
        </w:tc>
      </w:tr>
      <w:tr>
        <w:trPr>
          <w:trHeight w:val="210"/>
        </w:trPr>
        <w:tc>
          <w:tcPr>
            <w:tcW w:w="6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6,233,499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09"/>
        </w:trPr>
        <w:tc>
          <w:tcPr>
            <w:tcW w:w="676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0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Common stock</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24</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24</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(57,999)</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(59,669)</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24</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120,414</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120,362</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32</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760" w:type="dxa"/>
            <w:vAlign w:val="bottom"/>
          </w:tcPr>
          <w:p>
            <w:pPr>
              <w:spacing w:after="0"/>
              <w:rPr>
                <w:sz w:val="20"/>
                <w:szCs w:val="20"/>
                <w:color w:val="auto"/>
              </w:rPr>
            </w:pPr>
            <w:r>
              <w:rPr>
                <w:rFonts w:ascii="Arial" w:cs="Arial" w:eastAsia="Arial" w:hAnsi="Arial"/>
                <w:sz w:val="18"/>
                <w:szCs w:val="18"/>
                <w:color w:val="auto"/>
              </w:rPr>
              <w:t>Regulatory reserves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32</w:t>
            </w:r>
          </w:p>
        </w:tc>
        <w:tc>
          <w:tcPr>
            <w:tcW w:w="24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r>
      <w:tr>
        <w:trPr>
          <w:trHeight w:val="216"/>
        </w:trPr>
        <w:tc>
          <w:tcPr>
            <w:tcW w:w="676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0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464,088</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446,083</w:t>
            </w:r>
          </w:p>
        </w:tc>
        <w:tc>
          <w:tcPr>
            <w:tcW w:w="80" w:type="dxa"/>
            <w:vAlign w:val="bottom"/>
            <w:shd w:val="clear" w:color="auto" w:fill="CCEEFF"/>
          </w:tcPr>
          <w:p>
            <w:pPr>
              <w:spacing w:after="0"/>
              <w:rPr>
                <w:sz w:val="18"/>
                <w:szCs w:val="18"/>
                <w:color w:val="auto"/>
              </w:rPr>
            </w:pPr>
          </w:p>
        </w:tc>
      </w:tr>
      <w:tr>
        <w:trPr>
          <w:trHeight w:val="230"/>
        </w:trPr>
        <w:tc>
          <w:tcPr>
            <w:tcW w:w="676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25</w:t>
            </w:r>
          </w:p>
        </w:tc>
        <w:tc>
          <w:tcPr>
            <w:tcW w:w="24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208</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(1,818)</w:t>
            </w:r>
          </w:p>
        </w:tc>
      </w:tr>
      <w:tr>
        <w:trPr>
          <w:trHeight w:val="209"/>
        </w:trPr>
        <w:tc>
          <w:tcPr>
            <w:tcW w:w="6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102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1,037,920</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1,016,167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676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10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c>
          <w:tcPr>
            <w:tcW w:w="20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676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337" w:right="339" w:bottom="1440" w:gutter="0" w:footer="0" w:header="0"/>
        </w:sectPr>
      </w:pPr>
    </w:p>
    <w:bookmarkStart w:id="140" w:name="page141"/>
    <w:bookmarkEnd w:id="1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80" w:type="dxa"/>
            <w:vAlign w:val="bottom"/>
          </w:tcPr>
          <w:p>
            <w:pPr>
              <w:spacing w:after="0"/>
              <w:rPr>
                <w:sz w:val="20"/>
                <w:szCs w:val="20"/>
                <w:color w:val="auto"/>
              </w:rPr>
            </w:pPr>
          </w:p>
        </w:tc>
        <w:tc>
          <w:tcPr>
            <w:tcW w:w="1280" w:type="dxa"/>
            <w:vAlign w:val="bottom"/>
            <w:gridSpan w:val="2"/>
          </w:tcPr>
          <w:p>
            <w:pPr>
              <w:ind w:left="300"/>
              <w:spacing w:after="0"/>
              <w:rPr>
                <w:sz w:val="20"/>
                <w:szCs w:val="20"/>
                <w:color w:val="auto"/>
              </w:rPr>
            </w:pPr>
            <w:r>
              <w:rPr>
                <w:rFonts w:ascii="Arial" w:cs="Arial" w:eastAsia="Arial" w:hAnsi="Arial"/>
                <w:sz w:val="18"/>
                <w:szCs w:val="18"/>
                <w:b w:val="1"/>
                <w:bCs w:val="1"/>
                <w:color w:val="auto"/>
              </w:rPr>
              <w:t>Notes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02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Deposits</w:t>
            </w: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4,895</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17,011</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15,615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3,531</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3,209</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2,899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080" w:type="dxa"/>
            <w:vAlign w:val="bottom"/>
          </w:tcPr>
          <w:p>
            <w:pPr>
              <w:spacing w:after="0"/>
              <w:rPr>
                <w:sz w:val="20"/>
                <w:szCs w:val="20"/>
                <w:color w:val="auto"/>
              </w:rPr>
            </w:pPr>
            <w:r>
              <w:rPr>
                <w:rFonts w:ascii="Arial" w:cs="Arial" w:eastAsia="Arial" w:hAnsi="Arial"/>
                <w:sz w:val="18"/>
                <w:szCs w:val="18"/>
                <w:color w:val="auto"/>
              </w:rPr>
              <w:t>Loans</w:t>
            </w:r>
          </w:p>
        </w:tc>
        <w:tc>
          <w:tcPr>
            <w:tcW w:w="10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172,548</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253,462</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239,976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27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180,973</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273,682</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258,490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8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(25,800)</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(67,435)</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(63,146)</w:t>
            </w:r>
          </w:p>
        </w:tc>
        <w:tc>
          <w:tcPr>
            <w:tcW w:w="0" w:type="dxa"/>
            <w:vAlign w:val="bottom"/>
          </w:tcPr>
          <w:p>
            <w:pPr>
              <w:spacing w:after="0"/>
              <w:rPr>
                <w:sz w:val="1"/>
                <w:szCs w:val="1"/>
                <w:color w:val="auto"/>
              </w:rPr>
            </w:pPr>
          </w:p>
        </w:tc>
      </w:tr>
      <w:tr>
        <w:trPr>
          <w:trHeight w:val="229"/>
        </w:trPr>
        <w:tc>
          <w:tcPr>
            <w:tcW w:w="5080" w:type="dxa"/>
            <w:vAlign w:val="bottom"/>
          </w:tcPr>
          <w:p>
            <w:pPr>
              <w:spacing w:after="0"/>
              <w:rPr>
                <w:sz w:val="20"/>
                <w:szCs w:val="20"/>
                <w:color w:val="auto"/>
              </w:rPr>
            </w:pPr>
            <w:r>
              <w:rPr>
                <w:rFonts w:ascii="Arial" w:cs="Arial" w:eastAsia="Arial" w:hAnsi="Arial"/>
                <w:sz w:val="18"/>
                <w:szCs w:val="18"/>
                <w:color w:val="auto"/>
              </w:rPr>
              <w:t>Borrowings and debt</w:t>
            </w:r>
          </w:p>
        </w:tc>
        <w:tc>
          <w:tcPr>
            <w:tcW w:w="10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(62,723)</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(96,732)</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(85,601)</w:t>
            </w:r>
          </w:p>
        </w:tc>
        <w:tc>
          <w:tcPr>
            <w:tcW w:w="0" w:type="dxa"/>
            <w:vAlign w:val="bottom"/>
          </w:tcPr>
          <w:p>
            <w:pPr>
              <w:spacing w:after="0"/>
              <w:rPr>
                <w:sz w:val="1"/>
                <w:szCs w:val="1"/>
                <w:color w:val="auto"/>
              </w:rPr>
            </w:pPr>
          </w:p>
        </w:tc>
      </w:tr>
      <w:tr>
        <w:trPr>
          <w:trHeight w:val="210"/>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27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(88,523</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(164,167</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(148,747</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9"/>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0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92,450</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109,515</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109,743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26</w:t>
            </w:r>
          </w:p>
        </w:tc>
        <w:tc>
          <w:tcPr>
            <w:tcW w:w="26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10,418</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15,647</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17,185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Loss on financial instruments, net</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12</w:t>
            </w: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(4,794)</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(1,379)</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(1,009)</w:t>
            </w:r>
          </w:p>
        </w:tc>
        <w:tc>
          <w:tcPr>
            <w:tcW w:w="0" w:type="dxa"/>
            <w:vAlign w:val="bottom"/>
          </w:tcPr>
          <w:p>
            <w:pPr>
              <w:spacing w:after="0"/>
              <w:rPr>
                <w:sz w:val="1"/>
                <w:szCs w:val="1"/>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Other income, net</w:t>
            </w:r>
          </w:p>
        </w:tc>
        <w:tc>
          <w:tcPr>
            <w:tcW w:w="10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1,083</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2,874</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1,670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27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6,707</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17,142</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17,846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99,157</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126,657</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127,589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Reversal (provisión) for credit losses</w:t>
            </w:r>
          </w:p>
        </w:tc>
        <w:tc>
          <w:tcPr>
            <w:tcW w:w="1020" w:type="dxa"/>
            <w:vAlign w:val="bottom"/>
            <w:shd w:val="clear" w:color="auto" w:fill="CCEEFF"/>
          </w:tcPr>
          <w:p>
            <w:pPr>
              <w:jc w:val="center"/>
              <w:ind w:left="50"/>
              <w:spacing w:after="0"/>
              <w:rPr>
                <w:sz w:val="20"/>
                <w:szCs w:val="20"/>
                <w:color w:val="auto"/>
              </w:rPr>
            </w:pPr>
            <w:r>
              <w:rPr>
                <w:rFonts w:ascii="Arial" w:cs="Arial" w:eastAsia="Arial" w:hAnsi="Arial"/>
                <w:sz w:val="18"/>
                <w:szCs w:val="18"/>
                <w:color w:val="auto"/>
                <w:w w:val="91"/>
              </w:rPr>
              <w:t>5,27</w:t>
            </w: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1,464</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(430)</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(57,515)</w:t>
            </w: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auto"/>
              </w:rPr>
              <w:t>Gain (loss) on non-financial assets, net</w:t>
            </w:r>
          </w:p>
        </w:tc>
        <w:tc>
          <w:tcPr>
            <w:tcW w:w="1020" w:type="dxa"/>
            <w:vAlign w:val="bottom"/>
          </w:tcPr>
          <w:p>
            <w:pPr>
              <w:jc w:val="center"/>
              <w:ind w:left="50"/>
              <w:spacing w:after="0"/>
              <w:rPr>
                <w:sz w:val="20"/>
                <w:szCs w:val="20"/>
                <w:color w:val="auto"/>
              </w:rPr>
            </w:pPr>
            <w:r>
              <w:rPr>
                <w:rFonts w:ascii="Arial" w:cs="Arial" w:eastAsia="Arial" w:hAnsi="Arial"/>
                <w:sz w:val="18"/>
                <w:szCs w:val="18"/>
                <w:color w:val="auto"/>
                <w:w w:val="88"/>
              </w:rPr>
              <w:t>14,27</w:t>
            </w:r>
          </w:p>
        </w:tc>
        <w:tc>
          <w:tcPr>
            <w:tcW w:w="26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296</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500</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(10,018)</w:t>
            </w: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ind w:left="200"/>
              <w:spacing w:after="0"/>
              <w:rPr>
                <w:sz w:val="20"/>
                <w:szCs w:val="20"/>
                <w:color w:val="auto"/>
              </w:rPr>
            </w:pPr>
            <w:r>
              <w:rPr>
                <w:rFonts w:ascii="Arial" w:cs="Arial" w:eastAsia="Arial" w:hAnsi="Arial"/>
                <w:sz w:val="18"/>
                <w:szCs w:val="18"/>
                <w:color w:val="auto"/>
              </w:rPr>
              <w:t>Salaries and other employee expenses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29</w:t>
            </w: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(21,462)</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(24,179)</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(27,989)</w:t>
            </w:r>
          </w:p>
        </w:tc>
        <w:tc>
          <w:tcPr>
            <w:tcW w:w="0" w:type="dxa"/>
            <w:vAlign w:val="bottom"/>
          </w:tcPr>
          <w:p>
            <w:pPr>
              <w:spacing w:after="0"/>
              <w:rPr>
                <w:sz w:val="1"/>
                <w:szCs w:val="1"/>
                <w:color w:val="auto"/>
              </w:rPr>
            </w:pPr>
          </w:p>
        </w:tc>
      </w:tr>
      <w:tr>
        <w:trPr>
          <w:trHeight w:val="202"/>
        </w:trPr>
        <w:tc>
          <w:tcPr>
            <w:tcW w:w="5080" w:type="dxa"/>
            <w:vAlign w:val="bottom"/>
          </w:tcPr>
          <w:p>
            <w:pPr>
              <w:ind w:left="200"/>
              <w:spacing w:after="0" w:line="201" w:lineRule="exact"/>
              <w:rPr>
                <w:sz w:val="20"/>
                <w:szCs w:val="20"/>
                <w:color w:val="auto"/>
              </w:rPr>
            </w:pPr>
            <w:r>
              <w:rPr>
                <w:rFonts w:ascii="Arial" w:cs="Arial" w:eastAsia="Arial" w:hAnsi="Arial"/>
                <w:sz w:val="18"/>
                <w:szCs w:val="18"/>
                <w:color w:val="auto"/>
              </w:rPr>
              <w:t>Depreciation of investment properties, equipment and</w:t>
            </w: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80" w:type="dxa"/>
            <w:vAlign w:val="bottom"/>
          </w:tcPr>
          <w:p>
            <w:pPr>
              <w:spacing w:after="0"/>
              <w:rPr>
                <w:sz w:val="20"/>
                <w:szCs w:val="20"/>
                <w:color w:val="auto"/>
              </w:rPr>
            </w:pPr>
            <w:r>
              <w:rPr>
                <w:rFonts w:ascii="Arial" w:cs="Arial" w:eastAsia="Arial" w:hAnsi="Arial"/>
                <w:sz w:val="18"/>
                <w:szCs w:val="18"/>
                <w:color w:val="auto"/>
              </w:rPr>
              <w:t>improvements</w:t>
            </w:r>
          </w:p>
        </w:tc>
        <w:tc>
          <w:tcPr>
            <w:tcW w:w="1020" w:type="dxa"/>
            <w:vAlign w:val="bottom"/>
          </w:tcPr>
          <w:p>
            <w:pPr>
              <w:jc w:val="center"/>
              <w:ind w:left="50"/>
              <w:spacing w:after="0"/>
              <w:rPr>
                <w:sz w:val="20"/>
                <w:szCs w:val="20"/>
                <w:color w:val="auto"/>
              </w:rPr>
            </w:pPr>
            <w:r>
              <w:rPr>
                <w:rFonts w:ascii="Arial" w:cs="Arial" w:eastAsia="Arial" w:hAnsi="Arial"/>
                <w:sz w:val="18"/>
                <w:szCs w:val="18"/>
                <w:color w:val="auto"/>
                <w:w w:val="88"/>
              </w:rPr>
              <w:t>15,17</w:t>
            </w:r>
          </w:p>
        </w:tc>
        <w:tc>
          <w:tcPr>
            <w:tcW w:w="260" w:type="dxa"/>
            <w:vAlign w:val="bottom"/>
          </w:tcPr>
          <w:p>
            <w:pPr>
              <w:spacing w:after="0"/>
              <w:rPr>
                <w:sz w:val="20"/>
                <w:szCs w:val="20"/>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(3,587)</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(2,854)</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(1,282)</w:t>
            </w: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ind w:left="200"/>
              <w:spacing w:after="0"/>
              <w:rPr>
                <w:sz w:val="20"/>
                <w:szCs w:val="20"/>
                <w:color w:val="auto"/>
              </w:rPr>
            </w:pPr>
            <w:r>
              <w:rPr>
                <w:rFonts w:ascii="Arial" w:cs="Arial" w:eastAsia="Arial" w:hAnsi="Arial"/>
                <w:sz w:val="18"/>
                <w:szCs w:val="18"/>
                <w:color w:val="auto"/>
              </w:rPr>
              <w:t>Amortization of intangible assets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16</w:t>
            </w:r>
          </w:p>
        </w:tc>
        <w:tc>
          <w:tcPr>
            <w:tcW w:w="26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(753)</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(702)</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(1,176)</w:t>
            </w:r>
          </w:p>
        </w:tc>
        <w:tc>
          <w:tcPr>
            <w:tcW w:w="0" w:type="dxa"/>
            <w:vAlign w:val="bottom"/>
          </w:tcPr>
          <w:p>
            <w:pPr>
              <w:spacing w:after="0"/>
              <w:rPr>
                <w:sz w:val="1"/>
                <w:szCs w:val="1"/>
                <w:color w:val="auto"/>
              </w:rPr>
            </w:pPr>
          </w:p>
        </w:tc>
      </w:tr>
      <w:tr>
        <w:trPr>
          <w:trHeight w:val="230"/>
        </w:trPr>
        <w:tc>
          <w:tcPr>
            <w:tcW w:w="5080" w:type="dxa"/>
            <w:vAlign w:val="bottom"/>
          </w:tcPr>
          <w:p>
            <w:pPr>
              <w:ind w:left="200"/>
              <w:spacing w:after="0"/>
              <w:rPr>
                <w:sz w:val="20"/>
                <w:szCs w:val="20"/>
                <w:color w:val="auto"/>
              </w:rPr>
            </w:pPr>
            <w:r>
              <w:rPr>
                <w:rFonts w:ascii="Arial" w:cs="Arial" w:eastAsia="Arial" w:hAnsi="Arial"/>
                <w:sz w:val="18"/>
                <w:szCs w:val="18"/>
                <w:color w:val="auto"/>
              </w:rPr>
              <w:t>Other expenses</w:t>
            </w:r>
          </w:p>
        </w:tc>
        <w:tc>
          <w:tcPr>
            <w:tcW w:w="1020" w:type="dxa"/>
            <w:vAlign w:val="bottom"/>
          </w:tcPr>
          <w:p>
            <w:pPr>
              <w:jc w:val="center"/>
              <w:ind w:left="30"/>
              <w:spacing w:after="0"/>
              <w:rPr>
                <w:sz w:val="20"/>
                <w:szCs w:val="20"/>
                <w:color w:val="auto"/>
              </w:rPr>
            </w:pPr>
            <w:r>
              <w:rPr>
                <w:rFonts w:ascii="Arial" w:cs="Arial" w:eastAsia="Arial" w:hAnsi="Arial"/>
                <w:sz w:val="18"/>
                <w:szCs w:val="18"/>
                <w:color w:val="auto"/>
                <w:w w:val="89"/>
              </w:rPr>
              <w:t>30</w:t>
            </w:r>
          </w:p>
        </w:tc>
        <w:tc>
          <w:tcPr>
            <w:tcW w:w="260" w:type="dxa"/>
            <w:vAlign w:val="bottom"/>
          </w:tcPr>
          <w:p>
            <w:pPr>
              <w:spacing w:after="0"/>
              <w:rPr>
                <w:sz w:val="19"/>
                <w:szCs w:val="19"/>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(11,522)</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(12,939)</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(18,471)</w:t>
            </w:r>
          </w:p>
        </w:tc>
        <w:tc>
          <w:tcPr>
            <w:tcW w:w="0" w:type="dxa"/>
            <w:vAlign w:val="bottom"/>
          </w:tcPr>
          <w:p>
            <w:pPr>
              <w:spacing w:after="0"/>
              <w:rPr>
                <w:sz w:val="1"/>
                <w:szCs w:val="1"/>
                <w:color w:val="auto"/>
              </w:rPr>
            </w:pPr>
          </w:p>
        </w:tc>
      </w:tr>
      <w:tr>
        <w:trPr>
          <w:trHeight w:val="210"/>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020" w:type="dxa"/>
            <w:vAlign w:val="bottom"/>
            <w:tcBorders>
              <w:top w:val="single" w:sz="8" w:color="CCEEFF"/>
            </w:tcBorders>
            <w:shd w:val="clear" w:color="auto" w:fill="CCEEFF"/>
          </w:tcPr>
          <w:p>
            <w:pPr>
              <w:jc w:val="center"/>
              <w:ind w:left="30"/>
              <w:spacing w:after="0"/>
              <w:rPr>
                <w:sz w:val="20"/>
                <w:szCs w:val="20"/>
                <w:color w:val="auto"/>
              </w:rPr>
            </w:pPr>
            <w:r>
              <w:rPr>
                <w:rFonts w:ascii="Arial" w:cs="Arial" w:eastAsia="Arial" w:hAnsi="Arial"/>
                <w:sz w:val="18"/>
                <w:szCs w:val="18"/>
                <w:color w:val="auto"/>
                <w:w w:val="89"/>
              </w:rPr>
              <w:t>27</w:t>
            </w: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(37,324</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(40,674</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(48,918</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3"/>
        </w:trPr>
        <w:tc>
          <w:tcPr>
            <w:tcW w:w="5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year</w:t>
            </w:r>
          </w:p>
        </w:tc>
        <w:tc>
          <w:tcPr>
            <w:tcW w:w="1020" w:type="dxa"/>
            <w:vAlign w:val="bottom"/>
            <w:tcBorders>
              <w:bottom w:val="single" w:sz="8" w:color="CCEEFF"/>
            </w:tcBorders>
          </w:tcPr>
          <w:p>
            <w:pPr>
              <w:spacing w:after="0"/>
              <w:rPr>
                <w:sz w:val="22"/>
                <w:szCs w:val="22"/>
                <w:color w:val="auto"/>
              </w:rPr>
            </w:pPr>
          </w:p>
        </w:tc>
        <w:tc>
          <w:tcPr>
            <w:tcW w:w="260" w:type="dxa"/>
            <w:vAlign w:val="bottom"/>
            <w:tcBorders>
              <w:bottom w:val="single" w:sz="8" w:color="CCEEFF"/>
            </w:tcBorders>
          </w:tcPr>
          <w:p>
            <w:pPr>
              <w:spacing w:after="0"/>
              <w:rPr>
                <w:sz w:val="22"/>
                <w:szCs w:val="22"/>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63,593</w:t>
            </w:r>
          </w:p>
        </w:tc>
        <w:tc>
          <w:tcPr>
            <w:tcW w:w="200" w:type="dxa"/>
            <w:vAlign w:val="bottom"/>
            <w:tcBorders>
              <w:bottom w:val="single" w:sz="8" w:color="CCEEFF"/>
            </w:tcBorders>
          </w:tcPr>
          <w:p>
            <w:pPr>
              <w:spacing w:after="0"/>
              <w:rPr>
                <w:sz w:val="22"/>
                <w:szCs w:val="22"/>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86,053</w:t>
            </w:r>
          </w:p>
        </w:tc>
        <w:tc>
          <w:tcPr>
            <w:tcW w:w="200" w:type="dxa"/>
            <w:vAlign w:val="bottom"/>
            <w:tcBorders>
              <w:bottom w:val="single" w:sz="8" w:color="CCEEFF"/>
            </w:tcBorders>
          </w:tcPr>
          <w:p>
            <w:pPr>
              <w:spacing w:after="0"/>
              <w:rPr>
                <w:sz w:val="22"/>
                <w:szCs w:val="22"/>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11,138</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8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b w:val="1"/>
                <w:bCs w:val="1"/>
                <w:color w:val="auto"/>
              </w:rPr>
              <w:t>Per share data:</w:t>
            </w: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 (in US dollars)</w:t>
            </w:r>
          </w:p>
        </w:tc>
        <w:tc>
          <w:tcPr>
            <w:tcW w:w="102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89"/>
              </w:rPr>
              <w:t>23</w:t>
            </w:r>
          </w:p>
        </w:tc>
        <w:tc>
          <w:tcPr>
            <w:tcW w:w="260" w:type="dxa"/>
            <w:vAlign w:val="bottom"/>
            <w:shd w:val="clear" w:color="auto" w:fill="CCEEFF"/>
          </w:tcPr>
          <w:p>
            <w:pPr>
              <w:spacing w:after="0"/>
              <w:rPr>
                <w:sz w:val="21"/>
                <w:szCs w:val="21"/>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1.60</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2.17</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0.28</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0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 earnings per share (in US dollars)</w:t>
            </w:r>
          </w:p>
        </w:tc>
        <w:tc>
          <w:tcPr>
            <w:tcW w:w="1020" w:type="dxa"/>
            <w:vAlign w:val="bottom"/>
            <w:tcBorders>
              <w:top w:val="single" w:sz="8" w:color="CCEEFF"/>
              <w:bottom w:val="single" w:sz="8" w:color="CCEEFF"/>
            </w:tcBorders>
            <w:vMerge w:val="restart"/>
          </w:tcPr>
          <w:p>
            <w:pPr>
              <w:jc w:val="center"/>
              <w:ind w:left="30"/>
              <w:spacing w:after="0"/>
              <w:rPr>
                <w:sz w:val="20"/>
                <w:szCs w:val="20"/>
                <w:color w:val="auto"/>
              </w:rPr>
            </w:pPr>
            <w:r>
              <w:rPr>
                <w:rFonts w:ascii="Arial" w:cs="Arial" w:eastAsia="Arial" w:hAnsi="Arial"/>
                <w:sz w:val="18"/>
                <w:szCs w:val="18"/>
                <w:color w:val="auto"/>
                <w:w w:val="89"/>
              </w:rPr>
              <w:t>23</w:t>
            </w:r>
          </w:p>
        </w:tc>
        <w:tc>
          <w:tcPr>
            <w:tcW w:w="26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80" w:type="dxa"/>
            <w:vAlign w:val="bottom"/>
            <w:tcBorders>
              <w:bottom w:val="single" w:sz="8" w:color="CCEEFF"/>
            </w:tcBorders>
            <w:vMerge w:val="continue"/>
          </w:tcPr>
          <w:p>
            <w:pPr>
              <w:spacing w:after="0"/>
              <w:rPr>
                <w:sz w:val="20"/>
                <w:szCs w:val="20"/>
                <w:color w:val="auto"/>
              </w:rPr>
            </w:pPr>
          </w:p>
        </w:tc>
        <w:tc>
          <w:tcPr>
            <w:tcW w:w="1020" w:type="dxa"/>
            <w:vAlign w:val="bottom"/>
            <w:tcBorders>
              <w:bottom w:val="single" w:sz="8" w:color="CCEEFF"/>
            </w:tcBorders>
            <w:vMerge w:val="continue"/>
          </w:tcPr>
          <w:p>
            <w:pPr>
              <w:spacing w:after="0"/>
              <w:rPr>
                <w:sz w:val="20"/>
                <w:szCs w:val="20"/>
                <w:color w:val="auto"/>
              </w:rPr>
            </w:pPr>
          </w:p>
        </w:tc>
        <w:tc>
          <w:tcPr>
            <w:tcW w:w="26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1.60</w:t>
            </w:r>
          </w:p>
        </w:tc>
        <w:tc>
          <w:tcPr>
            <w:tcW w:w="200" w:type="dxa"/>
            <w:vAlign w:val="bottom"/>
            <w:tcBorders>
              <w:bottom w:val="single" w:sz="8" w:color="CCEEFF"/>
            </w:tcBorders>
            <w:vMerge w:val="continue"/>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2.17</w:t>
            </w:r>
          </w:p>
        </w:tc>
        <w:tc>
          <w:tcPr>
            <w:tcW w:w="200" w:type="dxa"/>
            <w:vAlign w:val="bottom"/>
            <w:tcBorders>
              <w:bottom w:val="single" w:sz="8" w:color="CCEEFF"/>
            </w:tcBorders>
            <w:vMerge w:val="continue"/>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0.28</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50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 (in thousands of shares)</w:t>
            </w:r>
          </w:p>
        </w:tc>
        <w:tc>
          <w:tcPr>
            <w:tcW w:w="1020" w:type="dxa"/>
            <w:vAlign w:val="bottom"/>
            <w:tcBorders>
              <w:bottom w:val="single" w:sz="8" w:color="CCEEFF"/>
            </w:tcBorders>
            <w:shd w:val="clear" w:color="auto" w:fill="CCEEFF"/>
          </w:tcPr>
          <w:p>
            <w:pPr>
              <w:jc w:val="center"/>
              <w:ind w:left="30"/>
              <w:spacing w:after="0" w:line="196" w:lineRule="exact"/>
              <w:rPr>
                <w:sz w:val="20"/>
                <w:szCs w:val="20"/>
                <w:color w:val="auto"/>
              </w:rPr>
            </w:pPr>
            <w:r>
              <w:rPr>
                <w:rFonts w:ascii="Arial" w:cs="Arial" w:eastAsia="Arial" w:hAnsi="Arial"/>
                <w:sz w:val="18"/>
                <w:szCs w:val="18"/>
                <w:color w:val="auto"/>
                <w:w w:val="89"/>
              </w:rPr>
              <w:t>23</w:t>
            </w:r>
          </w:p>
        </w:tc>
        <w:tc>
          <w:tcPr>
            <w:tcW w:w="260" w:type="dxa"/>
            <w:vAlign w:val="bottom"/>
            <w:tcBorders>
              <w:bottom w:val="single" w:sz="8" w:color="CCEEFF"/>
            </w:tcBorders>
            <w:shd w:val="clear" w:color="auto" w:fill="CCEEFF"/>
          </w:tcPr>
          <w:p>
            <w:pPr>
              <w:spacing w:after="0"/>
              <w:rPr>
                <w:sz w:val="17"/>
                <w:szCs w:val="17"/>
                <w:color w:val="auto"/>
              </w:rPr>
            </w:pP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39,656</w:t>
            </w:r>
          </w:p>
        </w:tc>
        <w:tc>
          <w:tcPr>
            <w:tcW w:w="200" w:type="dxa"/>
            <w:vAlign w:val="bottom"/>
            <w:tcBorders>
              <w:bottom w:val="single" w:sz="8" w:color="CCEEFF"/>
            </w:tcBorders>
            <w:shd w:val="clear" w:color="auto" w:fill="CCEEFF"/>
          </w:tcPr>
          <w:p>
            <w:pPr>
              <w:spacing w:after="0"/>
              <w:rPr>
                <w:sz w:val="17"/>
                <w:szCs w:val="17"/>
                <w:color w:val="auto"/>
              </w:rPr>
            </w:pP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39,575</w:t>
            </w:r>
          </w:p>
        </w:tc>
        <w:tc>
          <w:tcPr>
            <w:tcW w:w="200" w:type="dxa"/>
            <w:vAlign w:val="bottom"/>
            <w:tcBorders>
              <w:bottom w:val="single" w:sz="8" w:color="CCEEFF"/>
            </w:tcBorders>
            <w:shd w:val="clear" w:color="auto" w:fill="CCEEFF"/>
          </w:tcPr>
          <w:p>
            <w:pPr>
              <w:spacing w:after="0"/>
              <w:rPr>
                <w:sz w:val="17"/>
                <w:szCs w:val="17"/>
                <w:color w:val="auto"/>
              </w:rPr>
            </w:pP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39,543</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80" w:type="dxa"/>
            <w:vAlign w:val="bottom"/>
            <w:vMerge w:val="restart"/>
          </w:tcPr>
          <w:p>
            <w:pPr>
              <w:spacing w:after="0"/>
              <w:rPr>
                <w:sz w:val="20"/>
                <w:szCs w:val="20"/>
                <w:color w:val="auto"/>
              </w:rPr>
            </w:pPr>
            <w:r>
              <w:rPr>
                <w:rFonts w:ascii="Arial" w:cs="Arial" w:eastAsia="Arial" w:hAnsi="Arial"/>
                <w:sz w:val="18"/>
                <w:szCs w:val="18"/>
                <w:color w:val="auto"/>
              </w:rPr>
              <w:t>Weighted average diluted shares (in thousands of shares)</w:t>
            </w:r>
          </w:p>
        </w:tc>
        <w:tc>
          <w:tcPr>
            <w:tcW w:w="1020" w:type="dxa"/>
            <w:vAlign w:val="bottom"/>
            <w:vMerge w:val="restart"/>
          </w:tcPr>
          <w:p>
            <w:pPr>
              <w:jc w:val="center"/>
              <w:ind w:left="30"/>
              <w:spacing w:after="0"/>
              <w:rPr>
                <w:sz w:val="20"/>
                <w:szCs w:val="20"/>
                <w:color w:val="auto"/>
              </w:rPr>
            </w:pPr>
            <w:r>
              <w:rPr>
                <w:rFonts w:ascii="Arial" w:cs="Arial" w:eastAsia="Arial" w:hAnsi="Arial"/>
                <w:sz w:val="18"/>
                <w:szCs w:val="18"/>
                <w:color w:val="auto"/>
                <w:w w:val="89"/>
              </w:rPr>
              <w:t>23</w:t>
            </w:r>
          </w:p>
        </w:tc>
        <w:tc>
          <w:tcPr>
            <w:tcW w:w="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080" w:type="dxa"/>
            <w:vAlign w:val="bottom"/>
            <w:vMerge w:val="continue"/>
          </w:tcPr>
          <w:p>
            <w:pPr>
              <w:spacing w:after="0"/>
              <w:rPr>
                <w:sz w:val="17"/>
                <w:szCs w:val="17"/>
                <w:color w:val="auto"/>
              </w:rPr>
            </w:pPr>
          </w:p>
        </w:tc>
        <w:tc>
          <w:tcPr>
            <w:tcW w:w="1020" w:type="dxa"/>
            <w:vAlign w:val="bottom"/>
            <w:vMerge w:val="continue"/>
          </w:tcPr>
          <w:p>
            <w:pPr>
              <w:spacing w:after="0"/>
              <w:rPr>
                <w:sz w:val="17"/>
                <w:szCs w:val="17"/>
                <w:color w:val="auto"/>
              </w:rPr>
            </w:pPr>
          </w:p>
        </w:tc>
        <w:tc>
          <w:tcPr>
            <w:tcW w:w="260" w:type="dxa"/>
            <w:vAlign w:val="bottom"/>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39,656</w:t>
            </w:r>
          </w:p>
        </w:tc>
        <w:tc>
          <w:tcPr>
            <w:tcW w:w="20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39,575</w:t>
            </w:r>
          </w:p>
        </w:tc>
        <w:tc>
          <w:tcPr>
            <w:tcW w:w="20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39,543</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41" w:name="page142"/>
    <w:bookmarkEnd w:id="1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comprehensive income</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80" w:type="dxa"/>
            <w:vAlign w:val="bottom"/>
          </w:tcPr>
          <w:p>
            <w:pPr>
              <w:spacing w:after="0"/>
              <w:rPr>
                <w:sz w:val="20"/>
                <w:szCs w:val="20"/>
                <w:color w:val="auto"/>
              </w:rPr>
            </w:pPr>
          </w:p>
        </w:tc>
        <w:tc>
          <w:tcPr>
            <w:tcW w:w="1280" w:type="dxa"/>
            <w:vAlign w:val="bottom"/>
            <w:gridSpan w:val="2"/>
          </w:tcPr>
          <w:p>
            <w:pPr>
              <w:ind w:left="300"/>
              <w:spacing w:after="0"/>
              <w:rPr>
                <w:sz w:val="20"/>
                <w:szCs w:val="20"/>
                <w:color w:val="auto"/>
              </w:rPr>
            </w:pPr>
            <w:r>
              <w:rPr>
                <w:rFonts w:ascii="Arial" w:cs="Arial" w:eastAsia="Arial" w:hAnsi="Arial"/>
                <w:sz w:val="18"/>
                <w:szCs w:val="18"/>
                <w:b w:val="1"/>
                <w:bCs w:val="1"/>
                <w:color w:val="auto"/>
              </w:rPr>
              <w:t>Notes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year</w:t>
            </w:r>
          </w:p>
        </w:tc>
        <w:tc>
          <w:tcPr>
            <w:tcW w:w="102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86,053</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11,138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comprehensive income (loss):</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spacing w:after="0"/>
              <w:rPr>
                <w:sz w:val="20"/>
                <w:szCs w:val="20"/>
                <w:color w:val="auto"/>
              </w:rPr>
            </w:pPr>
            <w:r>
              <w:rPr>
                <w:rFonts w:ascii="Arial" w:cs="Arial" w:eastAsia="Arial" w:hAnsi="Arial"/>
                <w:sz w:val="18"/>
                <w:szCs w:val="18"/>
                <w:color w:val="222222"/>
              </w:rPr>
              <w:t>Items that will not be reclassified subsequently to profit or loss:</w:t>
            </w: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80" w:type="dxa"/>
            <w:vAlign w:val="bottom"/>
            <w:shd w:val="clear" w:color="auto" w:fill="CCEEFF"/>
          </w:tcPr>
          <w:p>
            <w:pPr>
              <w:ind w:left="140"/>
              <w:spacing w:after="0" w:line="201" w:lineRule="exact"/>
              <w:rPr>
                <w:sz w:val="20"/>
                <w:szCs w:val="20"/>
                <w:color w:val="auto"/>
              </w:rPr>
            </w:pPr>
            <w:r>
              <w:rPr>
                <w:rFonts w:ascii="Arial" w:cs="Arial" w:eastAsia="Arial" w:hAnsi="Arial"/>
                <w:sz w:val="18"/>
                <w:szCs w:val="18"/>
                <w:color w:val="222222"/>
              </w:rPr>
              <w:t>Change in fair value on equity instrument at FVOCI, net of</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222222"/>
              </w:rPr>
              <w:t>hedging</w:t>
            </w:r>
          </w:p>
        </w:tc>
        <w:tc>
          <w:tcPr>
            <w:tcW w:w="1020" w:type="dxa"/>
            <w:vAlign w:val="bottom"/>
            <w:shd w:val="clear" w:color="auto" w:fill="CCEEFF"/>
          </w:tcPr>
          <w:p>
            <w:pPr>
              <w:jc w:val="right"/>
              <w:ind w:right="270"/>
              <w:spacing w:after="0"/>
              <w:rPr>
                <w:sz w:val="20"/>
                <w:szCs w:val="20"/>
                <w:color w:val="auto"/>
              </w:rPr>
            </w:pPr>
            <w:r>
              <w:rPr>
                <w:rFonts w:ascii="Arial" w:cs="Arial" w:eastAsia="Arial" w:hAnsi="Arial"/>
                <w:sz w:val="18"/>
                <w:szCs w:val="18"/>
                <w:color w:val="auto"/>
              </w:rPr>
              <w:t>25</w:t>
            </w:r>
          </w:p>
        </w:tc>
        <w:tc>
          <w:tcPr>
            <w:tcW w:w="260" w:type="dxa"/>
            <w:vAlign w:val="bottom"/>
            <w:shd w:val="clear" w:color="auto" w:fill="CCEEFF"/>
          </w:tcPr>
          <w:p>
            <w:pPr>
              <w:spacing w:after="0"/>
              <w:rPr>
                <w:sz w:val="20"/>
                <w:szCs w:val="20"/>
                <w:color w:val="auto"/>
              </w:rPr>
            </w:pP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546</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491</w:t>
            </w:r>
          </w:p>
        </w:tc>
        <w:tc>
          <w:tcPr>
            <w:tcW w:w="1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(1,224)</w:t>
            </w:r>
          </w:p>
        </w:tc>
        <w:tc>
          <w:tcPr>
            <w:tcW w:w="0" w:type="dxa"/>
            <w:vAlign w:val="bottom"/>
          </w:tcPr>
          <w:p>
            <w:pPr>
              <w:spacing w:after="0"/>
              <w:rPr>
                <w:sz w:val="1"/>
                <w:szCs w:val="1"/>
                <w:color w:val="auto"/>
              </w:rPr>
            </w:pPr>
          </w:p>
        </w:tc>
      </w:tr>
      <w:tr>
        <w:trPr>
          <w:trHeight w:val="216"/>
        </w:trPr>
        <w:tc>
          <w:tcPr>
            <w:tcW w:w="5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shd w:val="clear" w:color="auto" w:fill="CCEEFF"/>
          </w:tcPr>
          <w:p>
            <w:pPr>
              <w:spacing w:after="0"/>
              <w:rPr>
                <w:sz w:val="20"/>
                <w:szCs w:val="20"/>
                <w:color w:val="auto"/>
              </w:rPr>
            </w:pPr>
            <w:r>
              <w:rPr>
                <w:rFonts w:ascii="Arial" w:cs="Arial" w:eastAsia="Arial" w:hAnsi="Arial"/>
                <w:sz w:val="18"/>
                <w:szCs w:val="18"/>
                <w:color w:val="auto"/>
                <w:w w:val="95"/>
              </w:rPr>
              <w:t>Items that are or may be reclassified subsequently to profit or loss:</w:t>
            </w: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80" w:type="dxa"/>
            <w:vAlign w:val="bottom"/>
          </w:tcPr>
          <w:p>
            <w:pPr>
              <w:ind w:left="180"/>
              <w:spacing w:after="0"/>
              <w:rPr>
                <w:sz w:val="20"/>
                <w:szCs w:val="20"/>
                <w:color w:val="auto"/>
              </w:rPr>
            </w:pPr>
            <w:r>
              <w:rPr>
                <w:rFonts w:ascii="Arial" w:cs="Arial" w:eastAsia="Arial" w:hAnsi="Arial"/>
                <w:sz w:val="18"/>
                <w:szCs w:val="18"/>
                <w:color w:val="auto"/>
              </w:rPr>
              <w:t>Change in fair value on financial instruments, net of hedging</w:t>
            </w:r>
          </w:p>
        </w:tc>
        <w:tc>
          <w:tcPr>
            <w:tcW w:w="1020" w:type="dxa"/>
            <w:vAlign w:val="bottom"/>
          </w:tcPr>
          <w:p>
            <w:pPr>
              <w:jc w:val="right"/>
              <w:ind w:right="270"/>
              <w:spacing w:after="0"/>
              <w:rPr>
                <w:sz w:val="20"/>
                <w:szCs w:val="20"/>
                <w:color w:val="auto"/>
              </w:rPr>
            </w:pPr>
            <w:r>
              <w:rPr>
                <w:rFonts w:ascii="Arial" w:cs="Arial" w:eastAsia="Arial" w:hAnsi="Arial"/>
                <w:sz w:val="18"/>
                <w:szCs w:val="18"/>
                <w:color w:val="auto"/>
              </w:rPr>
              <w:t>25</w:t>
            </w:r>
          </w:p>
        </w:tc>
        <w:tc>
          <w:tcPr>
            <w:tcW w:w="260" w:type="dxa"/>
            <w:vAlign w:val="bottom"/>
          </w:tcPr>
          <w:p>
            <w:pPr>
              <w:spacing w:after="0"/>
              <w:rPr>
                <w:sz w:val="18"/>
                <w:szCs w:val="18"/>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2,265</w:t>
            </w:r>
          </w:p>
        </w:tc>
        <w:tc>
          <w:tcPr>
            <w:tcW w:w="1660" w:type="dxa"/>
            <w:vAlign w:val="bottom"/>
            <w:gridSpan w:val="2"/>
          </w:tcPr>
          <w:p>
            <w:pPr>
              <w:jc w:val="right"/>
              <w:ind w:right="140"/>
              <w:spacing w:after="0"/>
              <w:rPr>
                <w:sz w:val="20"/>
                <w:szCs w:val="20"/>
                <w:color w:val="auto"/>
              </w:rPr>
            </w:pPr>
            <w:r>
              <w:rPr>
                <w:rFonts w:ascii="Arial" w:cs="Arial" w:eastAsia="Arial" w:hAnsi="Arial"/>
                <w:sz w:val="18"/>
                <w:szCs w:val="18"/>
                <w:color w:val="auto"/>
              </w:rPr>
              <w:t>(2,694)</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2,667</w:t>
            </w:r>
          </w:p>
        </w:tc>
        <w:tc>
          <w:tcPr>
            <w:tcW w:w="0" w:type="dxa"/>
            <w:vAlign w:val="bottom"/>
          </w:tcPr>
          <w:p>
            <w:pPr>
              <w:spacing w:after="0"/>
              <w:rPr>
                <w:sz w:val="1"/>
                <w:szCs w:val="1"/>
                <w:color w:val="auto"/>
              </w:rPr>
            </w:pPr>
          </w:p>
        </w:tc>
      </w:tr>
      <w:tr>
        <w:trPr>
          <w:trHeight w:val="202"/>
        </w:trPr>
        <w:tc>
          <w:tcPr>
            <w:tcW w:w="508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6"/>
              </w:rPr>
              <w:t>Reclassification of gains (losses) on financial instruments to the</w:t>
            </w: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profit or loss</w:t>
            </w:r>
          </w:p>
        </w:tc>
        <w:tc>
          <w:tcPr>
            <w:tcW w:w="1020" w:type="dxa"/>
            <w:vAlign w:val="bottom"/>
            <w:shd w:val="clear" w:color="auto" w:fill="CCEEFF"/>
          </w:tcPr>
          <w:p>
            <w:pPr>
              <w:jc w:val="right"/>
              <w:ind w:right="270"/>
              <w:spacing w:after="0"/>
              <w:rPr>
                <w:sz w:val="20"/>
                <w:szCs w:val="20"/>
                <w:color w:val="auto"/>
              </w:rPr>
            </w:pPr>
            <w:r>
              <w:rPr>
                <w:rFonts w:ascii="Arial" w:cs="Arial" w:eastAsia="Arial" w:hAnsi="Arial"/>
                <w:sz w:val="18"/>
                <w:szCs w:val="18"/>
                <w:color w:val="auto"/>
              </w:rPr>
              <w:t>25</w:t>
            </w:r>
          </w:p>
        </w:tc>
        <w:tc>
          <w:tcPr>
            <w:tcW w:w="260" w:type="dxa"/>
            <w:vAlign w:val="bottom"/>
            <w:shd w:val="clear" w:color="auto" w:fill="CCEEFF"/>
          </w:tcPr>
          <w:p>
            <w:pPr>
              <w:spacing w:after="0"/>
              <w:rPr>
                <w:sz w:val="20"/>
                <w:szCs w:val="20"/>
                <w:color w:val="auto"/>
              </w:rPr>
            </w:pPr>
          </w:p>
        </w:tc>
        <w:tc>
          <w:tcPr>
            <w:tcW w:w="16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(425)</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261</w:t>
            </w:r>
          </w:p>
        </w:tc>
        <w:tc>
          <w:tcPr>
            <w:tcW w:w="1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(1,704)</w:t>
            </w:r>
          </w:p>
        </w:tc>
        <w:tc>
          <w:tcPr>
            <w:tcW w:w="0" w:type="dxa"/>
            <w:vAlign w:val="bottom"/>
          </w:tcPr>
          <w:p>
            <w:pPr>
              <w:spacing w:after="0"/>
              <w:rPr>
                <w:sz w:val="1"/>
                <w:szCs w:val="1"/>
                <w:color w:val="auto"/>
              </w:rPr>
            </w:pPr>
          </w:p>
        </w:tc>
      </w:tr>
      <w:tr>
        <w:trPr>
          <w:trHeight w:val="229"/>
        </w:trPr>
        <w:tc>
          <w:tcPr>
            <w:tcW w:w="5080" w:type="dxa"/>
            <w:vAlign w:val="bottom"/>
          </w:tcPr>
          <w:p>
            <w:pPr>
              <w:ind w:left="180"/>
              <w:spacing w:after="0"/>
              <w:rPr>
                <w:sz w:val="20"/>
                <w:szCs w:val="20"/>
                <w:color w:val="auto"/>
              </w:rPr>
            </w:pPr>
            <w:r>
              <w:rPr>
                <w:rFonts w:ascii="Arial" w:cs="Arial" w:eastAsia="Arial" w:hAnsi="Arial"/>
                <w:sz w:val="18"/>
                <w:szCs w:val="18"/>
                <w:color w:val="auto"/>
                <w:w w:val="95"/>
              </w:rPr>
              <w:t>Exchange difference in conversion of foreign currency operation</w:t>
            </w:r>
          </w:p>
        </w:tc>
        <w:tc>
          <w:tcPr>
            <w:tcW w:w="1020" w:type="dxa"/>
            <w:vAlign w:val="bottom"/>
          </w:tcPr>
          <w:p>
            <w:pPr>
              <w:jc w:val="right"/>
              <w:ind w:right="270"/>
              <w:spacing w:after="0"/>
              <w:rPr>
                <w:sz w:val="20"/>
                <w:szCs w:val="20"/>
                <w:color w:val="auto"/>
              </w:rPr>
            </w:pPr>
            <w:r>
              <w:rPr>
                <w:rFonts w:ascii="Arial" w:cs="Arial" w:eastAsia="Arial" w:hAnsi="Arial"/>
                <w:sz w:val="18"/>
                <w:szCs w:val="18"/>
                <w:color w:val="auto"/>
              </w:rPr>
              <w:t>25</w:t>
            </w:r>
          </w:p>
        </w:tc>
        <w:tc>
          <w:tcPr>
            <w:tcW w:w="260" w:type="dxa"/>
            <w:vAlign w:val="bottom"/>
          </w:tcPr>
          <w:p>
            <w:pPr>
              <w:spacing w:after="0"/>
              <w:rPr>
                <w:sz w:val="19"/>
                <w:szCs w:val="19"/>
                <w:color w:val="auto"/>
              </w:rPr>
            </w:pPr>
          </w:p>
        </w:tc>
        <w:tc>
          <w:tcPr>
            <w:tcW w:w="1660" w:type="dxa"/>
            <w:vAlign w:val="bottom"/>
            <w:gridSpan w:val="2"/>
          </w:tcPr>
          <w:p>
            <w:pPr>
              <w:jc w:val="right"/>
              <w:ind w:right="140"/>
              <w:spacing w:after="0"/>
              <w:rPr>
                <w:sz w:val="20"/>
                <w:szCs w:val="20"/>
                <w:color w:val="auto"/>
              </w:rPr>
            </w:pPr>
            <w:r>
              <w:rPr>
                <w:rFonts w:ascii="Arial" w:cs="Arial" w:eastAsia="Arial" w:hAnsi="Arial"/>
                <w:sz w:val="18"/>
                <w:szCs w:val="18"/>
                <w:color w:val="auto"/>
              </w:rPr>
              <w:t>(360)</w:t>
            </w:r>
          </w:p>
        </w:tc>
        <w:tc>
          <w:tcPr>
            <w:tcW w:w="1660" w:type="dxa"/>
            <w:vAlign w:val="bottom"/>
            <w:gridSpan w:val="2"/>
          </w:tcPr>
          <w:p>
            <w:pPr>
              <w:jc w:val="right"/>
              <w:ind w:right="140"/>
              <w:spacing w:after="0"/>
              <w:rPr>
                <w:sz w:val="20"/>
                <w:szCs w:val="20"/>
                <w:color w:val="auto"/>
              </w:rPr>
            </w:pPr>
            <w:r>
              <w:rPr>
                <w:rFonts w:ascii="Arial" w:cs="Arial" w:eastAsia="Arial" w:hAnsi="Arial"/>
                <w:sz w:val="18"/>
                <w:szCs w:val="18"/>
                <w:color w:val="auto"/>
              </w:rPr>
              <w:t>(296)</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(1,282)</w:t>
            </w:r>
          </w:p>
        </w:tc>
        <w:tc>
          <w:tcPr>
            <w:tcW w:w="0" w:type="dxa"/>
            <w:vAlign w:val="bottom"/>
          </w:tcPr>
          <w:p>
            <w:pPr>
              <w:spacing w:after="0"/>
              <w:rPr>
                <w:sz w:val="1"/>
                <w:szCs w:val="1"/>
                <w:color w:val="auto"/>
              </w:rPr>
            </w:pPr>
          </w:p>
        </w:tc>
      </w:tr>
      <w:tr>
        <w:trPr>
          <w:trHeight w:val="210"/>
        </w:trPr>
        <w:tc>
          <w:tcPr>
            <w:tcW w:w="50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08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020" w:type="dxa"/>
            <w:vAlign w:val="bottom"/>
          </w:tcPr>
          <w:p>
            <w:pPr>
              <w:jc w:val="right"/>
              <w:ind w:right="270"/>
              <w:spacing w:after="0"/>
              <w:rPr>
                <w:sz w:val="20"/>
                <w:szCs w:val="20"/>
                <w:color w:val="auto"/>
              </w:rPr>
            </w:pPr>
            <w:r>
              <w:rPr>
                <w:rFonts w:ascii="Arial" w:cs="Arial" w:eastAsia="Arial" w:hAnsi="Arial"/>
                <w:sz w:val="18"/>
                <w:szCs w:val="18"/>
                <w:color w:val="auto"/>
              </w:rPr>
              <w:t>25</w:t>
            </w:r>
          </w:p>
        </w:tc>
        <w:tc>
          <w:tcPr>
            <w:tcW w:w="26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2,026</w:t>
            </w:r>
          </w:p>
        </w:tc>
        <w:tc>
          <w:tcPr>
            <w:tcW w:w="1660" w:type="dxa"/>
            <w:vAlign w:val="bottom"/>
            <w:gridSpan w:val="2"/>
          </w:tcPr>
          <w:p>
            <w:pPr>
              <w:jc w:val="right"/>
              <w:ind w:right="140"/>
              <w:spacing w:after="0"/>
              <w:rPr>
                <w:sz w:val="20"/>
                <w:szCs w:val="20"/>
                <w:color w:val="auto"/>
              </w:rPr>
            </w:pPr>
            <w:r>
              <w:rPr>
                <w:rFonts w:ascii="Arial" w:cs="Arial" w:eastAsia="Arial" w:hAnsi="Arial"/>
                <w:sz w:val="18"/>
                <w:szCs w:val="18"/>
                <w:color w:val="auto"/>
              </w:rPr>
              <w:t>(2,238)</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(1,543)</w:t>
            </w:r>
          </w:p>
        </w:tc>
        <w:tc>
          <w:tcPr>
            <w:tcW w:w="0" w:type="dxa"/>
            <w:vAlign w:val="bottom"/>
          </w:tcPr>
          <w:p>
            <w:pPr>
              <w:spacing w:after="0"/>
              <w:rPr>
                <w:sz w:val="1"/>
                <w:szCs w:val="1"/>
                <w:color w:val="auto"/>
              </w:rPr>
            </w:pPr>
          </w:p>
        </w:tc>
      </w:tr>
      <w:tr>
        <w:trPr>
          <w:trHeight w:val="210"/>
        </w:trPr>
        <w:tc>
          <w:tcPr>
            <w:tcW w:w="50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080" w:type="dxa"/>
            <w:vAlign w:val="bottom"/>
          </w:tcPr>
          <w:p>
            <w:pPr>
              <w:spacing w:after="0"/>
              <w:rPr>
                <w:sz w:val="20"/>
                <w:szCs w:val="20"/>
                <w:color w:val="auto"/>
              </w:rPr>
            </w:pPr>
            <w:r>
              <w:rPr>
                <w:rFonts w:ascii="Arial" w:cs="Arial" w:eastAsia="Arial" w:hAnsi="Arial"/>
                <w:sz w:val="18"/>
                <w:szCs w:val="18"/>
                <w:b w:val="1"/>
                <w:bCs w:val="1"/>
                <w:color w:val="auto"/>
              </w:rPr>
              <w:t>Total comprehensive income for the year</w:t>
            </w:r>
          </w:p>
        </w:tc>
        <w:tc>
          <w:tcPr>
            <w:tcW w:w="102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65,619</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83,815</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9,595</w:t>
            </w:r>
          </w:p>
        </w:tc>
        <w:tc>
          <w:tcPr>
            <w:tcW w:w="0" w:type="dxa"/>
            <w:vAlign w:val="bottom"/>
          </w:tcPr>
          <w:p>
            <w:pPr>
              <w:spacing w:after="0"/>
              <w:rPr>
                <w:sz w:val="1"/>
                <w:szCs w:val="1"/>
                <w:color w:val="auto"/>
              </w:rPr>
            </w:pPr>
          </w:p>
        </w:tc>
      </w:tr>
      <w:tr>
        <w:trPr>
          <w:trHeight w:val="20"/>
        </w:trPr>
        <w:tc>
          <w:tcPr>
            <w:tcW w:w="6360" w:type="dxa"/>
            <w:vAlign w:val="bottom"/>
            <w:gridSpan w:val="3"/>
            <w:vMerge w:val="restart"/>
          </w:tcPr>
          <w:p>
            <w:pPr>
              <w:spacing w:after="0"/>
              <w:rPr>
                <w:sz w:val="20"/>
                <w:szCs w:val="20"/>
                <w:color w:val="auto"/>
              </w:rPr>
            </w:pPr>
            <w:r>
              <w:rPr>
                <w:rFonts w:ascii="Arial" w:cs="Arial" w:eastAsia="Arial" w:hAnsi="Arial"/>
                <w:sz w:val="18"/>
                <w:szCs w:val="18"/>
                <w:color w:val="auto"/>
                <w:w w:val="90"/>
              </w:rPr>
              <w:t>The accompanying notes are an integral part of these consolidated financial statements.</w:t>
            </w: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360" w:type="dxa"/>
            <w:vAlign w:val="bottom"/>
            <w:gridSpan w:val="3"/>
            <w:vMerge w:val="continue"/>
          </w:tcPr>
          <w:p>
            <w:pPr>
              <w:spacing w:after="0"/>
              <w:rPr>
                <w:sz w:val="24"/>
                <w:szCs w:val="24"/>
                <w:color w:val="auto"/>
              </w:rPr>
            </w:pPr>
          </w:p>
        </w:tc>
        <w:tc>
          <w:tcPr>
            <w:tcW w:w="14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9"/>
        </w:trPr>
        <w:tc>
          <w:tcPr>
            <w:tcW w:w="50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ind w:right="620"/>
              <w:spacing w:after="0"/>
              <w:rPr>
                <w:sz w:val="20"/>
                <w:szCs w:val="20"/>
                <w:color w:val="auto"/>
              </w:rPr>
            </w:pPr>
            <w:r>
              <w:rPr>
                <w:rFonts w:ascii="Arial" w:cs="Arial" w:eastAsia="Arial" w:hAnsi="Arial"/>
                <w:sz w:val="18"/>
                <w:szCs w:val="18"/>
                <w:color w:val="auto"/>
              </w:rPr>
              <w:t>F-7</w:t>
            </w:r>
          </w:p>
        </w:tc>
        <w:tc>
          <w:tcPr>
            <w:tcW w:w="14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42" w:name="page143"/>
    <w:bookmarkEnd w:id="142"/>
    <w:p>
      <w:pPr>
        <w:spacing w:after="0" w:line="62" w:lineRule="exact"/>
        <w:rPr>
          <w:sz w:val="20"/>
          <w:szCs w:val="20"/>
          <w:color w:val="auto"/>
        </w:rPr>
      </w:pPr>
    </w:p>
    <w:p>
      <w:pPr>
        <w:ind w:left="60"/>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 of changes in equity</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Additional</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paid-in</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capital in</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0"/>
              </w:rPr>
              <w:t>excess of</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value</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assigned to</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Other</w:t>
            </w: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spacing w:after="0"/>
              <w:rPr>
                <w:sz w:val="18"/>
                <w:szCs w:val="18"/>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Common</w:t>
            </w: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Treasury</w:t>
            </w: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common</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Capital</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Regulatory</w:t>
            </w:r>
          </w:p>
        </w:tc>
        <w:tc>
          <w:tcPr>
            <w:tcW w:w="12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Retained</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comprehensive</w:t>
            </w: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1480" w:type="dxa"/>
            <w:vAlign w:val="bottom"/>
          </w:tcPr>
          <w:p>
            <w:pPr>
              <w:spacing w:after="0"/>
              <w:rPr>
                <w:sz w:val="20"/>
                <w:szCs w:val="20"/>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stock</w:t>
            </w: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stock</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stock</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reserves</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reserves</w:t>
            </w:r>
          </w:p>
        </w:tc>
        <w:tc>
          <w:tcPr>
            <w:tcW w:w="12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earnings</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income</w:t>
            </w:r>
          </w:p>
        </w:tc>
        <w:tc>
          <w:tcPr>
            <w:tcW w:w="110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w w:val="93"/>
              </w:rPr>
              <w:t>Total equity</w:t>
            </w:r>
          </w:p>
        </w:tc>
      </w:tr>
      <w:tr>
        <w:trPr>
          <w:trHeight w:val="178"/>
        </w:trPr>
        <w:tc>
          <w:tcPr>
            <w:tcW w:w="14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w:t>
            </w:r>
          </w:p>
        </w:tc>
        <w:tc>
          <w:tcPr>
            <w:tcW w:w="10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January 1,</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2018</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279,980</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(63,248)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119,941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129,254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479,712</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1,963</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1,042,812</w:t>
            </w:r>
          </w:p>
        </w:tc>
      </w:tr>
      <w:tr>
        <w:trPr>
          <w:trHeight w:val="216"/>
        </w:trPr>
        <w:tc>
          <w:tcPr>
            <w:tcW w:w="14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11,138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11,138</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Other</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comprehensive</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income (loss)</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(1,543)</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(1,543)</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Issuance of</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restricted stock</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1,259</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Compensation</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cost - stock</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options and</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stock units</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plans</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1,051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1,051</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Exercised options</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and stock units</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vested</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3,355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3,609</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Repurchase of</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"Class B" and</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"Class E"</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common stock</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(2,442)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(2,442)</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Regulatory credit</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reserve</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6,765</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(6,765)</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Dividends</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1480" w:type="dxa"/>
            <w:vAlign w:val="bottom"/>
          </w:tcPr>
          <w:p>
            <w:pPr>
              <w:ind w:left="180"/>
              <w:spacing w:after="0"/>
              <w:rPr>
                <w:sz w:val="20"/>
                <w:szCs w:val="20"/>
                <w:color w:val="auto"/>
              </w:rPr>
            </w:pPr>
            <w:r>
              <w:rPr>
                <w:rFonts w:ascii="Arial" w:cs="Arial" w:eastAsia="Arial" w:hAnsi="Arial"/>
                <w:sz w:val="18"/>
                <w:szCs w:val="18"/>
                <w:color w:val="auto"/>
              </w:rPr>
              <w:t>declared</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(61,035)</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(61,035)</w:t>
            </w:r>
          </w:p>
        </w:tc>
      </w:tr>
      <w:tr>
        <w:trPr>
          <w:trHeight w:val="178"/>
        </w:trPr>
        <w:tc>
          <w:tcPr>
            <w:tcW w:w="14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w:t>
            </w:r>
          </w:p>
        </w:tc>
        <w:tc>
          <w:tcPr>
            <w:tcW w:w="10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December 31,</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2018,</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previously</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reported</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279,980</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(61,076)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136,019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423,050</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420</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993,590</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Effect for change</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in accounting</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4"/>
        </w:trPr>
        <w:tc>
          <w:tcPr>
            <w:tcW w:w="1480" w:type="dxa"/>
            <w:vAlign w:val="bottom"/>
          </w:tcPr>
          <w:p>
            <w:pPr>
              <w:ind w:left="180"/>
              <w:spacing w:after="0"/>
              <w:rPr>
                <w:sz w:val="20"/>
                <w:szCs w:val="20"/>
                <w:color w:val="auto"/>
              </w:rPr>
            </w:pPr>
            <w:r>
              <w:rPr>
                <w:rFonts w:ascii="Arial" w:cs="Arial" w:eastAsia="Arial" w:hAnsi="Arial"/>
                <w:sz w:val="18"/>
                <w:szCs w:val="18"/>
                <w:color w:val="auto"/>
              </w:rPr>
              <w:t>policy</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(1,926)</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(1,926)</w:t>
            </w:r>
          </w:p>
        </w:tc>
      </w:tr>
      <w:tr>
        <w:trPr>
          <w:trHeight w:val="178"/>
        </w:trPr>
        <w:tc>
          <w:tcPr>
            <w:tcW w:w="14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w:t>
            </w:r>
          </w:p>
        </w:tc>
        <w:tc>
          <w:tcPr>
            <w:tcW w:w="10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January 1,</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4"/>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2019, adjusted</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279,980</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(61,076)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136,019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421,124</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420</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991,664</w:t>
            </w:r>
          </w:p>
        </w:tc>
      </w:tr>
      <w:tr>
        <w:trPr>
          <w:trHeight w:val="216"/>
        </w:trPr>
        <w:tc>
          <w:tcPr>
            <w:tcW w:w="1480" w:type="dxa"/>
            <w:vAlign w:val="bottom"/>
          </w:tcPr>
          <w:p>
            <w:pPr>
              <w:spacing w:after="0"/>
              <w:rPr>
                <w:sz w:val="20"/>
                <w:szCs w:val="20"/>
                <w:color w:val="auto"/>
              </w:rPr>
            </w:pPr>
            <w:r>
              <w:rPr>
                <w:rFonts w:ascii="Arial" w:cs="Arial" w:eastAsia="Arial" w:hAnsi="Arial"/>
                <w:sz w:val="18"/>
                <w:szCs w:val="18"/>
                <w:color w:val="auto"/>
              </w:rPr>
              <w:t>Profit for the year</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86,053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86,053</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Other</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comprehensive</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income (loss)</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(2,389)</w:t>
            </w: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(2,389)</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Transfer of fair</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value on equity</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instrument at</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FVOCI</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(151)</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151</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Issuance of</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restricted stock</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1,259</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(1,259)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Compensation</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cost - stock</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options and</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stock units</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plans</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1,782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1,782</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Exercised options</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and stock units</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vested</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148</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Repurchase of</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"Class B" and</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"Class E"</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common stock</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158"/>
        </w:trPr>
        <w:tc>
          <w:tcPr>
            <w:tcW w:w="148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bl>
    <w:p>
      <w:pPr>
        <w:sectPr>
          <w:pgSz w:w="11900" w:h="16900" w:orient="portrait"/>
          <w:cols w:equalWidth="0" w:num="1">
            <w:col w:w="11240"/>
          </w:cols>
          <w:pgMar w:left="320" w:top="688" w:right="339" w:bottom="0" w:gutter="0" w:footer="0" w:header="0"/>
        </w:sectPr>
      </w:pPr>
    </w:p>
    <w:bookmarkStart w:id="143" w:name="page144"/>
    <w:bookmarkEnd w:id="14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1480" w:type="dxa"/>
            <w:vAlign w:val="bottom"/>
            <w:shd w:val="clear" w:color="auto" w:fill="CCEEFF"/>
          </w:tcPr>
          <w:p>
            <w:pPr>
              <w:spacing w:after="0"/>
              <w:rPr>
                <w:sz w:val="20"/>
                <w:szCs w:val="20"/>
                <w:color w:val="auto"/>
              </w:rPr>
            </w:pPr>
            <w:r>
              <w:rPr>
                <w:rFonts w:ascii="Arial" w:cs="Arial" w:eastAsia="Arial" w:hAnsi="Arial"/>
                <w:sz w:val="18"/>
                <w:szCs w:val="18"/>
                <w:color w:val="auto"/>
              </w:rPr>
              <w:t>Dividends</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(60,943)</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(60,943)</w:t>
            </w:r>
          </w:p>
        </w:tc>
      </w:tr>
      <w:tr>
        <w:trPr>
          <w:trHeight w:val="244"/>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declared</w:t>
            </w:r>
          </w:p>
        </w:tc>
        <w:tc>
          <w:tcPr>
            <w:tcW w:w="1020" w:type="dxa"/>
            <w:vAlign w:val="bottom"/>
            <w:tcBorders>
              <w:bottom w:val="single" w:sz="8" w:color="auto"/>
            </w:tcBorders>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140" w:type="dxa"/>
            <w:vAlign w:val="bottom"/>
            <w:tcBorders>
              <w:bottom w:val="single" w:sz="8" w:color="auto"/>
            </w:tcBorders>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000" w:type="dxa"/>
            <w:vAlign w:val="bottom"/>
            <w:tcBorders>
              <w:bottom w:val="single" w:sz="8" w:color="auto"/>
            </w:tcBorders>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r>
      <w:tr>
        <w:trPr>
          <w:trHeight w:val="178"/>
        </w:trPr>
        <w:tc>
          <w:tcPr>
            <w:tcW w:w="1480" w:type="dxa"/>
            <w:vAlign w:val="bottom"/>
          </w:tcPr>
          <w:p>
            <w:pPr>
              <w:spacing w:after="0" w:line="177" w:lineRule="exact"/>
              <w:rPr>
                <w:sz w:val="20"/>
                <w:szCs w:val="20"/>
                <w:color w:val="auto"/>
              </w:rPr>
            </w:pPr>
            <w:r>
              <w:rPr>
                <w:rFonts w:ascii="Arial" w:cs="Arial" w:eastAsia="Arial" w:hAnsi="Arial"/>
                <w:sz w:val="18"/>
                <w:szCs w:val="18"/>
                <w:b w:val="1"/>
                <w:bCs w:val="1"/>
                <w:color w:val="auto"/>
              </w:rPr>
              <w:t>Balances at</w:t>
            </w:r>
          </w:p>
        </w:tc>
        <w:tc>
          <w:tcPr>
            <w:tcW w:w="10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b w:val="1"/>
                <w:bCs w:val="1"/>
                <w:color w:val="auto"/>
              </w:rPr>
              <w:t>December 31,</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48"/>
        </w:trPr>
        <w:tc>
          <w:tcPr>
            <w:tcW w:w="1480" w:type="dxa"/>
            <w:vAlign w:val="bottom"/>
          </w:tcPr>
          <w:p>
            <w:pPr>
              <w:ind w:left="180"/>
              <w:spacing w:after="0"/>
              <w:rPr>
                <w:sz w:val="20"/>
                <w:szCs w:val="20"/>
                <w:color w:val="auto"/>
              </w:rPr>
            </w:pPr>
            <w:r>
              <w:rPr>
                <w:rFonts w:ascii="Arial" w:cs="Arial" w:eastAsia="Arial" w:hAnsi="Arial"/>
                <w:sz w:val="18"/>
                <w:szCs w:val="18"/>
                <w:b w:val="1"/>
                <w:bCs w:val="1"/>
                <w:color w:val="auto"/>
              </w:rPr>
              <w:t>2019</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279,980</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(59,669)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120,362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136,019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446,083</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(1,818)</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1,016,167</w:t>
            </w:r>
          </w:p>
        </w:tc>
      </w:tr>
      <w:tr>
        <w:trPr>
          <w:trHeight w:val="209"/>
        </w:trPr>
        <w:tc>
          <w:tcPr>
            <w:tcW w:w="14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1480" w:type="dxa"/>
            <w:vAlign w:val="bottom"/>
          </w:tcPr>
          <w:p>
            <w:pPr>
              <w:spacing w:after="0"/>
              <w:rPr>
                <w:sz w:val="20"/>
                <w:szCs w:val="20"/>
                <w:color w:val="auto"/>
              </w:rPr>
            </w:pPr>
            <w:r>
              <w:rPr>
                <w:rFonts w:ascii="Arial" w:cs="Arial" w:eastAsia="Arial" w:hAnsi="Arial"/>
                <w:sz w:val="18"/>
                <w:szCs w:val="18"/>
                <w:color w:val="auto"/>
              </w:rPr>
              <w:t>Profit for the year</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63,593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63,593</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Other</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comprehensive</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income (loss)</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1,424</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1,424</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Transfer of fair</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value on equity</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instrument at</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FVOCI</w:t>
            </w: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(602)</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602</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Issuance of</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restricted stock</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1,391</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(1,391)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Compensation</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cost - stock</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options and</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480" w:type="dxa"/>
            <w:vAlign w:val="bottom"/>
          </w:tcPr>
          <w:p>
            <w:pPr>
              <w:ind w:left="180"/>
              <w:spacing w:after="0"/>
              <w:rPr>
                <w:sz w:val="20"/>
                <w:szCs w:val="20"/>
                <w:color w:val="auto"/>
              </w:rPr>
            </w:pPr>
            <w:r>
              <w:rPr>
                <w:rFonts w:ascii="Arial" w:cs="Arial" w:eastAsia="Arial" w:hAnsi="Arial"/>
                <w:sz w:val="18"/>
                <w:szCs w:val="18"/>
                <w:color w:val="auto"/>
              </w:rPr>
              <w:t>stock units</w:t>
            </w: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1480" w:type="dxa"/>
            <w:vAlign w:val="bottom"/>
          </w:tcPr>
          <w:p>
            <w:pPr>
              <w:ind w:left="180"/>
              <w:spacing w:after="0"/>
              <w:rPr>
                <w:sz w:val="20"/>
                <w:szCs w:val="20"/>
                <w:color w:val="auto"/>
              </w:rPr>
            </w:pPr>
            <w:r>
              <w:rPr>
                <w:rFonts w:ascii="Arial" w:cs="Arial" w:eastAsia="Arial" w:hAnsi="Arial"/>
                <w:sz w:val="18"/>
                <w:szCs w:val="18"/>
                <w:color w:val="auto"/>
              </w:rPr>
              <w:t>plans</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1,722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1,722</w:t>
            </w:r>
          </w:p>
        </w:tc>
      </w:tr>
      <w:tr>
        <w:trPr>
          <w:trHeight w:val="202"/>
        </w:trPr>
        <w:tc>
          <w:tcPr>
            <w:tcW w:w="14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Exercised options</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and stock units</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vested</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02"/>
        </w:trPr>
        <w:tc>
          <w:tcPr>
            <w:tcW w:w="1480" w:type="dxa"/>
            <w:vAlign w:val="bottom"/>
          </w:tcPr>
          <w:p>
            <w:pPr>
              <w:spacing w:after="0" w:line="201" w:lineRule="exact"/>
              <w:rPr>
                <w:sz w:val="20"/>
                <w:szCs w:val="20"/>
                <w:color w:val="auto"/>
              </w:rPr>
            </w:pPr>
            <w:r>
              <w:rPr>
                <w:rFonts w:ascii="Arial" w:cs="Arial" w:eastAsia="Arial" w:hAnsi="Arial"/>
                <w:sz w:val="18"/>
                <w:szCs w:val="18"/>
                <w:color w:val="auto"/>
              </w:rPr>
              <w:t>Dividends</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44"/>
        </w:trPr>
        <w:tc>
          <w:tcPr>
            <w:tcW w:w="1480" w:type="dxa"/>
            <w:vAlign w:val="bottom"/>
          </w:tcPr>
          <w:p>
            <w:pPr>
              <w:ind w:left="180"/>
              <w:spacing w:after="0"/>
              <w:rPr>
                <w:sz w:val="20"/>
                <w:szCs w:val="20"/>
                <w:color w:val="auto"/>
              </w:rPr>
            </w:pPr>
            <w:r>
              <w:rPr>
                <w:rFonts w:ascii="Arial" w:cs="Arial" w:eastAsia="Arial" w:hAnsi="Arial"/>
                <w:sz w:val="18"/>
                <w:szCs w:val="18"/>
                <w:color w:val="auto"/>
              </w:rPr>
              <w:t>declared</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(44,986)</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(44,986)</w:t>
            </w:r>
          </w:p>
        </w:tc>
      </w:tr>
      <w:tr>
        <w:trPr>
          <w:trHeight w:val="178"/>
        </w:trPr>
        <w:tc>
          <w:tcPr>
            <w:tcW w:w="14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w:t>
            </w:r>
          </w:p>
        </w:tc>
        <w:tc>
          <w:tcPr>
            <w:tcW w:w="10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16"/>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December 31,</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61"/>
        </w:trPr>
        <w:tc>
          <w:tcPr>
            <w:tcW w:w="148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2020</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279,980</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(57,999)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120,414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136,019</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464,088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1,037,920</w:t>
            </w:r>
          </w:p>
        </w:tc>
      </w:tr>
      <w:tr>
        <w:trPr>
          <w:trHeight w:val="20"/>
        </w:trPr>
        <w:tc>
          <w:tcPr>
            <w:tcW w:w="14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34" w:right="339" w:bottom="1440" w:gutter="0" w:footer="0" w:header="0"/>
        </w:sectPr>
      </w:pPr>
    </w:p>
    <w:bookmarkStart w:id="144" w:name="page145"/>
    <w:bookmarkEnd w:id="1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year ended December 31,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10"/>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Cash flows from operating activities</w:t>
            </w:r>
          </w:p>
        </w:tc>
        <w:tc>
          <w:tcPr>
            <w:tcW w:w="14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Profit for the year</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63,593</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86,053</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11,138</w:t>
            </w:r>
          </w:p>
        </w:tc>
      </w:tr>
      <w:tr>
        <w:trPr>
          <w:trHeight w:val="198"/>
        </w:trPr>
        <w:tc>
          <w:tcPr>
            <w:tcW w:w="6320" w:type="dxa"/>
            <w:vAlign w:val="bottom"/>
            <w:shd w:val="clear" w:color="auto" w:fill="CCEEFF"/>
          </w:tcPr>
          <w:p>
            <w:pPr>
              <w:ind w:left="100"/>
              <w:spacing w:after="0" w:line="198" w:lineRule="exact"/>
              <w:rPr>
                <w:sz w:val="20"/>
                <w:szCs w:val="20"/>
                <w:color w:val="auto"/>
              </w:rPr>
            </w:pPr>
            <w:r>
              <w:rPr>
                <w:rFonts w:ascii="Arial" w:cs="Arial" w:eastAsia="Arial" w:hAnsi="Arial"/>
                <w:sz w:val="18"/>
                <w:szCs w:val="18"/>
                <w:b w:val="1"/>
                <w:bCs w:val="1"/>
                <w:color w:val="auto"/>
                <w:w w:val="94"/>
              </w:rPr>
              <w:t>Adjustments to reconcile profit for the year to net cash provided by (used in)</w:t>
            </w:r>
          </w:p>
        </w:tc>
        <w:tc>
          <w:tcPr>
            <w:tcW w:w="14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4"/>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b w:val="1"/>
                <w:bCs w:val="1"/>
                <w:color w:val="auto"/>
              </w:rPr>
              <w:t>operating activities:</w:t>
            </w:r>
          </w:p>
        </w:tc>
        <w:tc>
          <w:tcPr>
            <w:tcW w:w="14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Depreciation of investment property, equipment and leasehold improvements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3,587</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2,854</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1,282</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Amortization of intangible assets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753</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702</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1,176</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Gain on sale of investment properties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(500)</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Unrealized gain on investment properties</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(296)</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(Reversal) provision for credit losses</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(1,464)</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430</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57,515</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Unrealized gain on financial instruments at fair value through profit or loss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806</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Net gain on sale of financial assets at fair value through OCI</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(186)</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(194)</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Compensation cost - share-based payment</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1,722</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1,782</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1,051</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Net changes in hedging position and foreign currency</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(194)</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(18,273)</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12,403</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Loss for disposal of equipment and leasehold improvements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30</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22</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24</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Loss for derecognition of intangible assets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1</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2,705</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Impairment on investment properties at fair value through profit or loss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3,849</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Impairment loss on other assets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3,464</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w w:val="93"/>
              </w:rPr>
              <w:t>Realized loss on investment instrument measured at fair value through profit or loss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2,175</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2,258</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Interest income</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(180,973)</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(273,682)</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(258,490)</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Interest expense</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88,523</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164,167</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148,747</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b w:val="1"/>
                <w:bCs w:val="1"/>
                <w:color w:val="auto"/>
              </w:rPr>
              <w:t>Net decrease (increase) in operating assets: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Pledged deposits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648</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21,008</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13,781</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Loans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911,073</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(111,967)</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(305,464)</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assets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2,321</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7,891</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(6,449)</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Due to depositors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250,564</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(78,822)</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41,978</w:t>
            </w:r>
          </w:p>
        </w:tc>
      </w:tr>
      <w:tr>
        <w:trPr>
          <w:trHeight w:val="230"/>
        </w:trPr>
        <w:tc>
          <w:tcPr>
            <w:tcW w:w="6320" w:type="dxa"/>
            <w:vAlign w:val="bottom"/>
          </w:tcPr>
          <w:p>
            <w:pPr>
              <w:ind w:left="100"/>
              <w:spacing w:after="0"/>
              <w:rPr>
                <w:sz w:val="20"/>
                <w:szCs w:val="20"/>
                <w:color w:val="auto"/>
              </w:rPr>
            </w:pPr>
            <w:r>
              <w:rPr>
                <w:rFonts w:ascii="Arial" w:cs="Arial" w:eastAsia="Arial" w:hAnsi="Arial"/>
                <w:sz w:val="18"/>
                <w:szCs w:val="18"/>
                <w:color w:val="auto"/>
              </w:rPr>
              <w:t>Other liabilities</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1,432</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3,074</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(6,432)</w:t>
            </w:r>
          </w:p>
        </w:tc>
      </w:tr>
      <w:tr>
        <w:trPr>
          <w:trHeight w:val="210"/>
        </w:trPr>
        <w:tc>
          <w:tcPr>
            <w:tcW w:w="632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color w:val="auto"/>
              </w:rPr>
              <w:t>Cash flows provided by operating activities</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1,144,301</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(193,189)</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(277,916)</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320" w:type="dxa"/>
            <w:vAlign w:val="bottom"/>
          </w:tcPr>
          <w:p>
            <w:pPr>
              <w:ind w:left="300"/>
              <w:spacing w:after="0"/>
              <w:rPr>
                <w:sz w:val="20"/>
                <w:szCs w:val="20"/>
                <w:color w:val="auto"/>
              </w:rPr>
            </w:pPr>
            <w:r>
              <w:rPr>
                <w:rFonts w:ascii="Arial" w:cs="Arial" w:eastAsia="Arial" w:hAnsi="Arial"/>
                <w:sz w:val="18"/>
                <w:szCs w:val="18"/>
                <w:color w:val="auto"/>
              </w:rPr>
              <w:t>Interest received</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194,129</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275,068</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242,974</w:t>
            </w:r>
          </w:p>
        </w:tc>
      </w:tr>
      <w:tr>
        <w:trPr>
          <w:trHeight w:val="230"/>
        </w:trPr>
        <w:tc>
          <w:tcPr>
            <w:tcW w:w="6320" w:type="dxa"/>
            <w:vAlign w:val="bottom"/>
            <w:shd w:val="clear" w:color="auto" w:fill="CCEEFF"/>
          </w:tcPr>
          <w:p>
            <w:pPr>
              <w:ind w:left="300"/>
              <w:spacing w:after="0"/>
              <w:rPr>
                <w:sz w:val="20"/>
                <w:szCs w:val="20"/>
                <w:color w:val="auto"/>
              </w:rPr>
            </w:pPr>
            <w:r>
              <w:rPr>
                <w:rFonts w:ascii="Arial" w:cs="Arial" w:eastAsia="Arial" w:hAnsi="Arial"/>
                <w:sz w:val="18"/>
                <w:szCs w:val="18"/>
                <w:color w:val="auto"/>
              </w:rPr>
              <w:t>Interest paid</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(91,021)</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(174,311)</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(138,646)</w:t>
            </w:r>
          </w:p>
        </w:tc>
      </w:tr>
      <w:tr>
        <w:trPr>
          <w:trHeight w:val="209"/>
        </w:trPr>
        <w:tc>
          <w:tcPr>
            <w:tcW w:w="632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Net cash provided by (used in) operating activities</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1,247,409</w:t>
            </w:r>
          </w:p>
        </w:tc>
        <w:tc>
          <w:tcPr>
            <w:tcW w:w="24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(92,432</w:t>
            </w:r>
          </w:p>
        </w:tc>
        <w:tc>
          <w:tcPr>
            <w:tcW w:w="200" w:type="dxa"/>
            <w:vAlign w:val="bottom"/>
            <w:tcBorders>
              <w:bottom w:val="single" w:sz="8" w:color="CCEEFF"/>
            </w:tcBorders>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(173,588</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63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b w:val="1"/>
                <w:bCs w:val="1"/>
                <w:color w:val="auto"/>
              </w:rPr>
              <w:t>Cash flows from investing activities:</w:t>
            </w:r>
          </w:p>
        </w:tc>
        <w:tc>
          <w:tcPr>
            <w:tcW w:w="1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Acquisition of equipment and leasehold improvements</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(997)</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(1,028)</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(603)</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Acquisition of intangible assets</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(1,311)</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(496)</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(58)</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Proceeds from the sale in investment properties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500</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1,270</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Proceeds from the sale of securities at fair value through OCI</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1,882</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14,037</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0</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Proceeds from the redemption of securities at fair value through OCI</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8,094</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4,635</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Proceeds from redemption of securities at amortized cost</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52,576</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28,274</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9,807</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Purchases of securities at fair value through OCI</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(227,027)</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(9,875)</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Purchases of investments at fair value with changes in profit or loss</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(1,433)</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0</w:t>
            </w:r>
          </w:p>
        </w:tc>
      </w:tr>
      <w:tr>
        <w:trPr>
          <w:trHeight w:val="230"/>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Purchases of securities at amortized cost</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(143,595)</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(18,316)</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(26,701)</w:t>
            </w:r>
          </w:p>
        </w:tc>
      </w:tr>
      <w:tr>
        <w:trPr>
          <w:trHeight w:val="210"/>
        </w:trPr>
        <w:tc>
          <w:tcPr>
            <w:tcW w:w="6320" w:type="dxa"/>
            <w:vAlign w:val="bottom"/>
            <w:tcBorders>
              <w:bottom w:val="single" w:sz="8" w:color="CCEEFF"/>
            </w:tcBorders>
          </w:tcPr>
          <w:p>
            <w:pPr>
              <w:ind w:left="100"/>
              <w:spacing w:after="0"/>
              <w:rPr>
                <w:sz w:val="20"/>
                <w:szCs w:val="20"/>
                <w:color w:val="auto"/>
              </w:rPr>
            </w:pPr>
            <w:r>
              <w:rPr>
                <w:rFonts w:ascii="Arial" w:cs="Arial" w:eastAsia="Arial" w:hAnsi="Arial"/>
                <w:sz w:val="18"/>
                <w:szCs w:val="18"/>
                <w:b w:val="1"/>
                <w:bCs w:val="1"/>
                <w:color w:val="auto"/>
              </w:rPr>
              <w:t>Net cash (used in) provided by investing activities</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(319,904</w:t>
            </w:r>
          </w:p>
        </w:tc>
        <w:tc>
          <w:tcPr>
            <w:tcW w:w="240" w:type="dxa"/>
            <w:vAlign w:val="bottom"/>
            <w:tcBorders>
              <w:bottom w:val="single" w:sz="8" w:color="CCEEFF"/>
            </w:tcBorders>
          </w:tcPr>
          <w:p>
            <w:pPr>
              <w:jc w:val="right"/>
              <w:ind w:right="10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31,065</w:t>
            </w:r>
          </w:p>
        </w:tc>
        <w:tc>
          <w:tcPr>
            <w:tcW w:w="20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(21,525</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09"/>
        </w:trPr>
        <w:tc>
          <w:tcPr>
            <w:tcW w:w="63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b w:val="1"/>
                <w:bCs w:val="1"/>
                <w:color w:val="auto"/>
              </w:rPr>
              <w:t>Cash flows from financing activities:</w:t>
            </w:r>
          </w:p>
        </w:tc>
        <w:tc>
          <w:tcPr>
            <w:tcW w:w="1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(Decrease) increase in securities sold under repurchase agreements</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(29,867)</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764</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39,767</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Net (decrease) increase in short-term borrowings and debt</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(1,212,023)</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(428,611)</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950,259</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Proceeds from long-term borrowings and debt</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827,732</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371,536</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609,017</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Repayments of long-term borrowings and debt</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(781,274)</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(368,843)</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(256,173)</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Payments of leases liabilities</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(1,114)</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(1,072)</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w:t>
            </w:r>
          </w:p>
        </w:tc>
      </w:tr>
      <w:tr>
        <w:trPr>
          <w:trHeight w:val="216"/>
        </w:trPr>
        <w:tc>
          <w:tcPr>
            <w:tcW w:w="6320" w:type="dxa"/>
            <w:vAlign w:val="bottom"/>
          </w:tcPr>
          <w:p>
            <w:pPr>
              <w:ind w:left="100"/>
              <w:spacing w:after="0"/>
              <w:rPr>
                <w:sz w:val="20"/>
                <w:szCs w:val="20"/>
                <w:color w:val="auto"/>
              </w:rPr>
            </w:pPr>
            <w:r>
              <w:rPr>
                <w:rFonts w:ascii="Arial" w:cs="Arial" w:eastAsia="Arial" w:hAnsi="Arial"/>
                <w:sz w:val="18"/>
                <w:szCs w:val="18"/>
                <w:color w:val="auto"/>
              </w:rPr>
              <w:t>Dividends paid</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(44,669)</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(58,881)</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(61,539)</w:t>
            </w: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Exercised stock options</w:t>
            </w:r>
          </w:p>
        </w:tc>
        <w:tc>
          <w:tcPr>
            <w:tcW w:w="170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3,609</w:t>
            </w:r>
          </w:p>
        </w:tc>
      </w:tr>
      <w:tr>
        <w:trPr>
          <w:trHeight w:val="230"/>
        </w:trPr>
        <w:tc>
          <w:tcPr>
            <w:tcW w:w="6320" w:type="dxa"/>
            <w:vAlign w:val="bottom"/>
          </w:tcPr>
          <w:p>
            <w:pPr>
              <w:ind w:left="100"/>
              <w:spacing w:after="0"/>
              <w:rPr>
                <w:sz w:val="20"/>
                <w:szCs w:val="20"/>
                <w:color w:val="auto"/>
              </w:rPr>
            </w:pPr>
            <w:r>
              <w:rPr>
                <w:rFonts w:ascii="Arial" w:cs="Arial" w:eastAsia="Arial" w:hAnsi="Arial"/>
                <w:sz w:val="18"/>
                <w:szCs w:val="18"/>
                <w:color w:val="auto"/>
              </w:rPr>
              <w:t>Repurchase of common stock</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(2,442)</w:t>
            </w:r>
          </w:p>
        </w:tc>
      </w:tr>
      <w:tr>
        <w:trPr>
          <w:trHeight w:val="209"/>
        </w:trPr>
        <w:tc>
          <w:tcPr>
            <w:tcW w:w="6320" w:type="dxa"/>
            <w:vAlign w:val="bottom"/>
            <w:tcBorders>
              <w:top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Net cash (used in) provided by financing activities</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(1,241,215</w:t>
            </w:r>
          </w:p>
        </w:tc>
        <w:tc>
          <w:tcPr>
            <w:tcW w:w="240" w:type="dxa"/>
            <w:vAlign w:val="bottom"/>
            <w:tcBorders>
              <w:top w:val="single" w:sz="8" w:color="CCEEFF"/>
            </w:tcBorders>
            <w:shd w:val="clear" w:color="auto" w:fill="CCEEFF"/>
          </w:tcPr>
          <w:p>
            <w:pPr>
              <w:jc w:val="right"/>
              <w:ind w:right="10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(485,107</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1,282,498</w:t>
            </w:r>
          </w:p>
        </w:tc>
        <w:tc>
          <w:tcPr>
            <w:tcW w:w="100" w:type="dxa"/>
            <w:vAlign w:val="bottom"/>
            <w:tcBorders>
              <w:top w:val="single" w:sz="8" w:color="CCEEFF"/>
            </w:tcBorders>
            <w:shd w:val="clear" w:color="auto" w:fill="CCEEFF"/>
          </w:tcPr>
          <w:p>
            <w:pPr>
              <w:spacing w:after="0"/>
              <w:rPr>
                <w:sz w:val="18"/>
                <w:szCs w:val="18"/>
                <w:color w:val="auto"/>
              </w:rPr>
            </w:pPr>
          </w:p>
        </w:tc>
      </w:tr>
      <w:tr>
        <w:trPr>
          <w:trHeight w:val="209"/>
        </w:trPr>
        <w:tc>
          <w:tcPr>
            <w:tcW w:w="63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320" w:type="dxa"/>
            <w:vAlign w:val="bottom"/>
            <w:shd w:val="clear" w:color="auto" w:fill="CCEEFF"/>
          </w:tcPr>
          <w:p>
            <w:pPr>
              <w:ind w:left="100"/>
              <w:spacing w:after="0"/>
              <w:rPr>
                <w:sz w:val="20"/>
                <w:szCs w:val="20"/>
                <w:color w:val="auto"/>
              </w:rPr>
            </w:pPr>
            <w:r>
              <w:rPr>
                <w:rFonts w:ascii="Arial" w:cs="Arial" w:eastAsia="Arial" w:hAnsi="Arial"/>
                <w:sz w:val="18"/>
                <w:szCs w:val="18"/>
                <w:color w:val="auto"/>
              </w:rPr>
              <w:t>(Decrease) increase net in cash and cash equivalents</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(313,710)</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(546,474)</w:t>
            </w:r>
          </w:p>
        </w:tc>
        <w:tc>
          <w:tcPr>
            <w:tcW w:w="156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1,087,385</w:t>
            </w:r>
          </w:p>
        </w:tc>
      </w:tr>
      <w:tr>
        <w:trPr>
          <w:trHeight w:val="229"/>
        </w:trPr>
        <w:tc>
          <w:tcPr>
            <w:tcW w:w="6320" w:type="dxa"/>
            <w:vAlign w:val="bottom"/>
          </w:tcPr>
          <w:p>
            <w:pPr>
              <w:ind w:left="100"/>
              <w:spacing w:after="0"/>
              <w:rPr>
                <w:sz w:val="20"/>
                <w:szCs w:val="20"/>
                <w:color w:val="auto"/>
              </w:rPr>
            </w:pPr>
            <w:r>
              <w:rPr>
                <w:rFonts w:ascii="Arial" w:cs="Arial" w:eastAsia="Arial" w:hAnsi="Arial"/>
                <w:sz w:val="18"/>
                <w:szCs w:val="18"/>
                <w:color w:val="auto"/>
              </w:rPr>
              <w:t>Cash and cash equivalents at beginning of the year</w:t>
            </w:r>
          </w:p>
        </w:tc>
        <w:tc>
          <w:tcPr>
            <w:tcW w:w="1700" w:type="dxa"/>
            <w:vAlign w:val="bottom"/>
            <w:gridSpan w:val="2"/>
          </w:tcPr>
          <w:p>
            <w:pPr>
              <w:jc w:val="right"/>
              <w:ind w:right="161"/>
              <w:spacing w:after="0"/>
              <w:rPr>
                <w:sz w:val="20"/>
                <w:szCs w:val="20"/>
                <w:color w:val="auto"/>
              </w:rPr>
            </w:pPr>
            <w:r>
              <w:rPr>
                <w:rFonts w:ascii="Arial" w:cs="Arial" w:eastAsia="Arial" w:hAnsi="Arial"/>
                <w:sz w:val="18"/>
                <w:szCs w:val="18"/>
                <w:color w:val="auto"/>
              </w:rPr>
              <w:t>1,159,718</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1,706,192</w:t>
            </w:r>
          </w:p>
        </w:tc>
        <w:tc>
          <w:tcPr>
            <w:tcW w:w="1560" w:type="dxa"/>
            <w:vAlign w:val="bottom"/>
            <w:gridSpan w:val="2"/>
          </w:tcPr>
          <w:p>
            <w:pPr>
              <w:jc w:val="right"/>
              <w:ind w:right="21"/>
              <w:spacing w:after="0"/>
              <w:rPr>
                <w:sz w:val="20"/>
                <w:szCs w:val="20"/>
                <w:color w:val="auto"/>
              </w:rPr>
            </w:pPr>
            <w:r>
              <w:rPr>
                <w:rFonts w:ascii="Arial" w:cs="Arial" w:eastAsia="Arial" w:hAnsi="Arial"/>
                <w:sz w:val="18"/>
                <w:szCs w:val="18"/>
                <w:color w:val="auto"/>
              </w:rPr>
              <w:t>618,807</w:t>
            </w:r>
          </w:p>
        </w:tc>
      </w:tr>
      <w:tr>
        <w:trPr>
          <w:trHeight w:val="223"/>
        </w:trPr>
        <w:tc>
          <w:tcPr>
            <w:tcW w:w="6320" w:type="dxa"/>
            <w:vAlign w:val="bottom"/>
            <w:tcBorders>
              <w:top w:val="single" w:sz="8" w:color="CCEEFF"/>
              <w:bottom w:val="single" w:sz="8" w:color="CCEEFF"/>
            </w:tcBorders>
            <w:shd w:val="clear" w:color="auto" w:fill="CCEEFF"/>
          </w:tcPr>
          <w:p>
            <w:pPr>
              <w:ind w:left="100"/>
              <w:spacing w:after="0"/>
              <w:rPr>
                <w:sz w:val="20"/>
                <w:szCs w:val="20"/>
                <w:color w:val="auto"/>
              </w:rPr>
            </w:pPr>
            <w:r>
              <w:rPr>
                <w:rFonts w:ascii="Arial" w:cs="Arial" w:eastAsia="Arial" w:hAnsi="Arial"/>
                <w:sz w:val="18"/>
                <w:szCs w:val="18"/>
                <w:b w:val="1"/>
                <w:bCs w:val="1"/>
                <w:color w:val="auto"/>
              </w:rPr>
              <w:t>Cash and cash equivalents at end of the year</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846,008</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1,159,718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1,706,192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3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389" w:gutter="0" w:footer="0" w:header="0"/>
        </w:sectPr>
      </w:pPr>
    </w:p>
    <w:bookmarkStart w:id="145" w:name="page146"/>
    <w:bookmarkEnd w:id="1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03"/>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980" w:hanging="324"/>
        <w:spacing w:after="0" w:line="277" w:lineRule="auto"/>
        <w:tabs>
          <w:tab w:leader="none" w:pos="980" w:val="left"/>
        </w:tabs>
        <w:numPr>
          <w:ilvl w:val="1"/>
          <w:numId w:val="103"/>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980" w:hanging="324"/>
        <w:spacing w:after="0" w:line="308" w:lineRule="auto"/>
        <w:tabs>
          <w:tab w:leader="none" w:pos="980" w:val="left"/>
        </w:tabs>
        <w:numPr>
          <w:ilvl w:val="1"/>
          <w:numId w:val="103"/>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46" w:lineRule="exact"/>
        <w:rPr>
          <w:rFonts w:ascii="Arial" w:cs="Arial" w:eastAsia="Arial" w:hAnsi="Arial"/>
          <w:sz w:val="17"/>
          <w:szCs w:val="17"/>
          <w:color w:val="auto"/>
        </w:rPr>
      </w:pPr>
    </w:p>
    <w:p>
      <w:pPr>
        <w:ind w:left="980" w:hanging="324"/>
        <w:spacing w:after="0" w:line="277" w:lineRule="auto"/>
        <w:tabs>
          <w:tab w:leader="none" w:pos="980" w:val="left"/>
        </w:tabs>
        <w:numPr>
          <w:ilvl w:val="1"/>
          <w:numId w:val="103"/>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103"/>
        </w:numPr>
        <w:rPr>
          <w:rFonts w:ascii="Arial" w:cs="Arial" w:eastAsia="Arial" w:hAnsi="Arial"/>
          <w:sz w:val="18"/>
          <w:szCs w:val="18"/>
          <w:color w:val="auto"/>
        </w:rPr>
      </w:pPr>
      <w:r>
        <w:rPr>
          <w:rFonts w:ascii="Arial" w:cs="Arial" w:eastAsia="Arial" w:hAnsi="Arial"/>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consolidated financial statements were authorized for issue by the Board of Directors on February 9, 2021.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46" w:name="page147"/>
    <w:bookmarkEnd w:id="1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right="6280" w:hanging="332"/>
        <w:spacing w:after="0" w:line="503" w:lineRule="auto"/>
        <w:tabs>
          <w:tab w:leader="none" w:pos="340" w:val="left"/>
        </w:tabs>
        <w:numPr>
          <w:ilvl w:val="0"/>
          <w:numId w:val="104"/>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ind w:left="400"/>
        <w:spacing w:after="0" w:line="308" w:lineRule="auto"/>
        <w:rPr>
          <w:sz w:val="20"/>
          <w:szCs w:val="20"/>
          <w:color w:val="auto"/>
        </w:rPr>
      </w:pPr>
      <w:r>
        <w:rPr>
          <w:rFonts w:ascii="Arial" w:cs="Arial" w:eastAsia="Arial" w:hAnsi="Arial"/>
          <w:sz w:val="17"/>
          <w:szCs w:val="17"/>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w:t>
      </w:r>
    </w:p>
    <w:p>
      <w:pPr>
        <w:spacing w:after="0" w:line="142"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2.2</w:t>
      </w:r>
      <w:r>
        <w:rPr>
          <w:sz w:val="20"/>
          <w:szCs w:val="20"/>
          <w:color w:val="auto"/>
        </w:rPr>
        <w:tab/>
      </w:r>
      <w:r>
        <w:rPr>
          <w:rFonts w:ascii="Arial" w:cs="Arial" w:eastAsia="Arial" w:hAnsi="Arial"/>
          <w:sz w:val="16"/>
          <w:szCs w:val="16"/>
          <w:b w:val="1"/>
          <w:bCs w:val="1"/>
          <w:color w:val="auto"/>
        </w:rPr>
        <w:t>Presentation currency</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All amounts presented in the consolidated financial statements and notes are expressed in United States of America dollars (US dollar), which is the functional currency of the Bank.</w:t>
      </w:r>
    </w:p>
    <w:p>
      <w:pPr>
        <w:spacing w:after="0" w:line="166"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2.3</w:t>
      </w:r>
      <w:r>
        <w:rPr>
          <w:sz w:val="20"/>
          <w:szCs w:val="20"/>
          <w:color w:val="auto"/>
        </w:rPr>
        <w:tab/>
      </w:r>
      <w:r>
        <w:rPr>
          <w:rFonts w:ascii="Arial" w:cs="Arial" w:eastAsia="Arial" w:hAnsi="Arial"/>
          <w:sz w:val="15"/>
          <w:szCs w:val="15"/>
          <w:b w:val="1"/>
          <w:bCs w:val="1"/>
          <w:color w:val="auto"/>
        </w:rPr>
        <w:t>Basis of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consolidated financial statements have been prepared on the historical cost basis, except for the following items:</w:t>
      </w:r>
    </w:p>
    <w:p>
      <w:pPr>
        <w:sectPr>
          <w:pgSz w:w="11900" w:h="16838" w:orient="portrait"/>
          <w:cols w:equalWidth="0" w:num="1">
            <w:col w:w="11240"/>
          </w:cols>
          <w:pgMar w:left="320" w:top="688" w:right="339" w:bottom="1440" w:gutter="0" w:footer="0" w:header="0"/>
        </w:sectPr>
      </w:pPr>
    </w:p>
    <w:p>
      <w:pPr>
        <w:spacing w:after="0" w:line="221"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Items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725170</wp:posOffset>
            </wp:positionH>
            <wp:positionV relativeFrom="paragraph">
              <wp:posOffset>17145</wp:posOffset>
            </wp:positionV>
            <wp:extent cx="2914650" cy="825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0">
                      <a:extLst>
                        <a:ext uri="{28A0092B-C50C-407E-A947-70E740481C1C}"/>
                      </a:extLst>
                    </a:blip>
                    <a:srcRect/>
                    <a:stretch>
                      <a:fillRect/>
                    </a:stretch>
                  </pic:blipFill>
                  <pic:spPr bwMode="auto">
                    <a:xfrm>
                      <a:off x="0" y="0"/>
                      <a:ext cx="2914650" cy="8255"/>
                    </a:xfrm>
                    <a:prstGeom prst="rect">
                      <a:avLst/>
                    </a:prstGeom>
                    <a:noFill/>
                  </pic:spPr>
                </pic:pic>
              </a:graphicData>
            </a:graphic>
          </wp:anchor>
        </w:drawing>
      </w:r>
    </w:p>
    <w:p>
      <w:pPr>
        <w:spacing w:after="0" w:line="7" w:lineRule="exact"/>
        <w:rPr>
          <w:sz w:val="20"/>
          <w:szCs w:val="20"/>
          <w:color w:val="auto"/>
        </w:rPr>
      </w:pPr>
    </w:p>
    <w:p>
      <w:pPr>
        <w:ind w:left="1220" w:right="560"/>
        <w:spacing w:after="0" w:line="258" w:lineRule="auto"/>
        <w:rPr>
          <w:sz w:val="20"/>
          <w:szCs w:val="20"/>
          <w:color w:val="auto"/>
        </w:rPr>
      </w:pPr>
      <w:r>
        <w:rPr>
          <w:rFonts w:ascii="Arial" w:cs="Arial" w:eastAsia="Arial" w:hAnsi="Arial"/>
          <w:sz w:val="18"/>
          <w:szCs w:val="18"/>
          <w:color w:val="auto"/>
        </w:rPr>
        <w:t>Securities and other financial instruments at fair value through other comprehensive income</w:t>
      </w:r>
    </w:p>
    <w:p>
      <w:pPr>
        <w:ind w:left="1220"/>
        <w:spacing w:after="0" w:line="253" w:lineRule="auto"/>
        <w:rPr>
          <w:sz w:val="20"/>
          <w:szCs w:val="20"/>
          <w:color w:val="auto"/>
        </w:rPr>
      </w:pPr>
      <w:r>
        <w:rPr>
          <w:rFonts w:ascii="Arial" w:cs="Arial" w:eastAsia="Arial" w:hAnsi="Arial"/>
          <w:sz w:val="18"/>
          <w:szCs w:val="18"/>
          <w:color w:val="auto"/>
        </w:rPr>
        <w:t>Other financial instruments at fair value through profit or loss Financial assets and financial liabilities designated as hedged items in qualifying fair value hedging relationships Investment properties</w:t>
      </w:r>
    </w:p>
    <w:p>
      <w:pPr>
        <w:spacing w:after="0" w:line="216" w:lineRule="exact"/>
        <w:rPr>
          <w:sz w:val="20"/>
          <w:szCs w:val="20"/>
          <w:color w:val="auto"/>
        </w:rPr>
      </w:pPr>
    </w:p>
    <w:p>
      <w:pPr>
        <w:ind w:left="340"/>
        <w:spacing w:after="0"/>
        <w:tabs>
          <w:tab w:leader="none" w:pos="800" w:val="left"/>
        </w:tabs>
        <w:rPr>
          <w:sz w:val="20"/>
          <w:szCs w:val="20"/>
          <w:color w:val="auto"/>
        </w:rPr>
      </w:pPr>
      <w:r>
        <w:rPr>
          <w:rFonts w:ascii="Arial" w:cs="Arial" w:eastAsia="Arial" w:hAnsi="Arial"/>
          <w:sz w:val="18"/>
          <w:szCs w:val="18"/>
          <w:b w:val="1"/>
          <w:bCs w:val="1"/>
          <w:color w:val="auto"/>
        </w:rPr>
        <w:t>2.4</w:t>
      </w:r>
      <w:r>
        <w:rPr>
          <w:sz w:val="20"/>
          <w:szCs w:val="20"/>
          <w:color w:val="auto"/>
        </w:rPr>
        <w:tab/>
      </w:r>
      <w:r>
        <w:rPr>
          <w:rFonts w:ascii="Arial" w:cs="Arial" w:eastAsia="Arial" w:hAnsi="Arial"/>
          <w:sz w:val="15"/>
          <w:szCs w:val="15"/>
          <w:b w:val="1"/>
          <w:bCs w:val="1"/>
          <w:color w:val="auto"/>
        </w:rPr>
        <w:t>Basis of consolidation</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Basis of measurement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2648585" cy="825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1">
                      <a:extLst>
                        <a:ext uri="{28A0092B-C50C-407E-A947-70E740481C1C}"/>
                      </a:extLst>
                    </a:blip>
                    <a:srcRect/>
                    <a:stretch>
                      <a:fillRect/>
                    </a:stretch>
                  </pic:blipFill>
                  <pic:spPr bwMode="auto">
                    <a:xfrm>
                      <a:off x="0" y="0"/>
                      <a:ext cx="2648585" cy="825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color w:val="auto"/>
        </w:rPr>
        <w:t>Fair value</w:t>
      </w:r>
    </w:p>
    <w:p>
      <w:pPr>
        <w:spacing w:after="0" w:line="23" w:lineRule="exact"/>
        <w:rPr>
          <w:sz w:val="20"/>
          <w:szCs w:val="20"/>
          <w:color w:val="auto"/>
        </w:rPr>
      </w:pPr>
    </w:p>
    <w:p>
      <w:pPr>
        <w:ind w:right="1160"/>
        <w:spacing w:after="0" w:line="255" w:lineRule="auto"/>
        <w:rPr>
          <w:sz w:val="20"/>
          <w:szCs w:val="20"/>
          <w:color w:val="auto"/>
        </w:rPr>
      </w:pPr>
      <w:r>
        <w:rPr>
          <w:rFonts w:ascii="Arial" w:cs="Arial" w:eastAsia="Arial" w:hAnsi="Arial"/>
          <w:sz w:val="18"/>
          <w:szCs w:val="18"/>
          <w:color w:val="auto"/>
        </w:rPr>
        <w:t>At amortized cost adjusted for the hedge risk components associated to the hedging relationship Fair value</w:t>
      </w:r>
    </w:p>
    <w:p>
      <w:pPr>
        <w:spacing w:after="0" w:line="619" w:lineRule="exact"/>
        <w:rPr>
          <w:sz w:val="20"/>
          <w:szCs w:val="20"/>
          <w:color w:val="auto"/>
        </w:rPr>
      </w:pPr>
    </w:p>
    <w:p>
      <w:pPr>
        <w:sectPr>
          <w:pgSz w:w="11900" w:h="16838" w:orient="portrait"/>
          <w:cols w:equalWidth="0" w:num="2">
            <w:col w:w="5680" w:space="260"/>
            <w:col w:w="5300"/>
          </w:cols>
          <w:pgMar w:left="320" w:top="688" w:right="339" w:bottom="1440" w:gutter="0" w:footer="0" w:header="0"/>
          <w:type w:val="continuous"/>
        </w:sectPr>
      </w:pPr>
    </w:p>
    <w:p>
      <w:pPr>
        <w:spacing w:after="0" w:line="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on consolidation. Specifically, the Bank controls an investee if, and only if, the Bank has the following elements:</w:t>
      </w:r>
    </w:p>
    <w:p>
      <w:pPr>
        <w:spacing w:after="0" w:line="184" w:lineRule="exact"/>
        <w:rPr>
          <w:sz w:val="20"/>
          <w:szCs w:val="20"/>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Power over the investee. Existing rights that give it the current ability to direct the relevant activities of the investee.</w:t>
      </w:r>
    </w:p>
    <w:p>
      <w:pPr>
        <w:spacing w:after="0" w:line="23" w:lineRule="exact"/>
        <w:rPr>
          <w:rFonts w:ascii="Arial" w:cs="Arial" w:eastAsia="Arial" w:hAnsi="Arial"/>
          <w:sz w:val="18"/>
          <w:szCs w:val="18"/>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Exposure or rights to variable returns from its involvement with the investee.</w:t>
      </w:r>
    </w:p>
    <w:p>
      <w:pPr>
        <w:spacing w:after="0" w:line="9" w:lineRule="exact"/>
        <w:rPr>
          <w:rFonts w:ascii="Arial" w:cs="Arial" w:eastAsia="Arial" w:hAnsi="Arial"/>
          <w:sz w:val="18"/>
          <w:szCs w:val="18"/>
          <w:color w:val="auto"/>
        </w:rPr>
      </w:pPr>
    </w:p>
    <w:p>
      <w:pPr>
        <w:ind w:left="1140" w:hanging="241"/>
        <w:spacing w:after="0"/>
        <w:tabs>
          <w:tab w:leader="none" w:pos="1140" w:val="left"/>
        </w:tabs>
        <w:numPr>
          <w:ilvl w:val="0"/>
          <w:numId w:val="105"/>
        </w:numPr>
        <w:rPr>
          <w:rFonts w:ascii="Arial" w:cs="Arial" w:eastAsia="Arial" w:hAnsi="Arial"/>
          <w:sz w:val="18"/>
          <w:szCs w:val="18"/>
          <w:color w:val="auto"/>
        </w:rPr>
      </w:pPr>
      <w:r>
        <w:rPr>
          <w:rFonts w:ascii="Arial" w:cs="Arial" w:eastAsia="Arial" w:hAnsi="Arial"/>
          <w:sz w:val="18"/>
          <w:szCs w:val="18"/>
          <w:color w:val="auto"/>
        </w:rPr>
        <w:t>The ability to use its power over the investee to affect its returns.</w:t>
      </w:r>
    </w:p>
    <w:p>
      <w:pPr>
        <w:spacing w:after="0" w:line="21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84" w:lineRule="exact"/>
        <w:rPr>
          <w:sz w:val="20"/>
          <w:szCs w:val="20"/>
          <w:color w:val="auto"/>
        </w:rPr>
      </w:pPr>
    </w:p>
    <w:p>
      <w:pPr>
        <w:ind w:left="1140" w:hanging="241"/>
        <w:spacing w:after="0"/>
        <w:tabs>
          <w:tab w:leader="none" w:pos="1140" w:val="left"/>
        </w:tabs>
        <w:numPr>
          <w:ilvl w:val="0"/>
          <w:numId w:val="106"/>
        </w:numPr>
        <w:rPr>
          <w:rFonts w:ascii="Arial" w:cs="Arial" w:eastAsia="Arial" w:hAnsi="Arial"/>
          <w:sz w:val="18"/>
          <w:szCs w:val="18"/>
          <w:color w:val="auto"/>
        </w:rPr>
      </w:pPr>
      <w:r>
        <w:rPr>
          <w:rFonts w:ascii="Arial" w:cs="Arial" w:eastAsia="Arial" w:hAnsi="Arial"/>
          <w:sz w:val="18"/>
          <w:szCs w:val="18"/>
          <w:color w:val="auto"/>
        </w:rPr>
        <w:t>The contractual arrangement(s) with the other vote holders of the investee.</w:t>
      </w:r>
    </w:p>
    <w:p>
      <w:pPr>
        <w:spacing w:after="0" w:line="23" w:lineRule="exact"/>
        <w:rPr>
          <w:rFonts w:ascii="Arial" w:cs="Arial" w:eastAsia="Arial" w:hAnsi="Arial"/>
          <w:sz w:val="18"/>
          <w:szCs w:val="18"/>
          <w:color w:val="auto"/>
        </w:rPr>
      </w:pPr>
    </w:p>
    <w:p>
      <w:pPr>
        <w:ind w:left="1140" w:hanging="241"/>
        <w:spacing w:after="0"/>
        <w:tabs>
          <w:tab w:leader="none" w:pos="1140" w:val="left"/>
        </w:tabs>
        <w:numPr>
          <w:ilvl w:val="0"/>
          <w:numId w:val="106"/>
        </w:numPr>
        <w:rPr>
          <w:rFonts w:ascii="Arial" w:cs="Arial" w:eastAsia="Arial" w:hAnsi="Arial"/>
          <w:sz w:val="18"/>
          <w:szCs w:val="18"/>
          <w:color w:val="auto"/>
        </w:rPr>
      </w:pPr>
      <w:r>
        <w:rPr>
          <w:rFonts w:ascii="Arial" w:cs="Arial" w:eastAsia="Arial" w:hAnsi="Arial"/>
          <w:sz w:val="18"/>
          <w:szCs w:val="18"/>
          <w:color w:val="auto"/>
        </w:rPr>
        <w:t>Rights arising from other contractual arrangements.</w:t>
      </w:r>
    </w:p>
    <w:p>
      <w:pPr>
        <w:spacing w:after="0" w:line="9" w:lineRule="exact"/>
        <w:rPr>
          <w:rFonts w:ascii="Arial" w:cs="Arial" w:eastAsia="Arial" w:hAnsi="Arial"/>
          <w:sz w:val="18"/>
          <w:szCs w:val="18"/>
          <w:color w:val="auto"/>
        </w:rPr>
      </w:pPr>
    </w:p>
    <w:p>
      <w:pPr>
        <w:ind w:left="1140" w:hanging="241"/>
        <w:spacing w:after="0"/>
        <w:tabs>
          <w:tab w:leader="none" w:pos="1140" w:val="left"/>
        </w:tabs>
        <w:numPr>
          <w:ilvl w:val="0"/>
          <w:numId w:val="106"/>
        </w:numPr>
        <w:rPr>
          <w:rFonts w:ascii="Arial" w:cs="Arial" w:eastAsia="Arial" w:hAnsi="Arial"/>
          <w:sz w:val="18"/>
          <w:szCs w:val="18"/>
          <w:color w:val="auto"/>
        </w:rPr>
      </w:pPr>
      <w:r>
        <w:rPr>
          <w:rFonts w:ascii="Arial" w:cs="Arial" w:eastAsia="Arial" w:hAnsi="Arial"/>
          <w:sz w:val="18"/>
          <w:szCs w:val="18"/>
          <w:color w:val="auto"/>
        </w:rPr>
        <w:t>The Bank’s voting rights and potential voting rights.</w:t>
      </w:r>
    </w:p>
    <w:p>
      <w:pPr>
        <w:spacing w:after="0" w:line="21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re-assesses whether or not it controls an investee if facts and circumstances indicate that there are changes to one or more of the three elements of control. The consolidation of the financial statements of a subsidiary begins when the Bank obtains control over the subsidiary and ceases when the Bank loses control of the subsidiary.</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Profit or loss and each component of other comprehensive income (“OCI”) are attributed to the equity holders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147" w:name="page148"/>
    <w:bookmarkEnd w:id="1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07"/>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2.4   Basis of consolidation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resulting gain or loss is recognized in profit or loss. Any investment retained in the former subsidiary is recognized at fair value.</w:t>
      </w:r>
    </w:p>
    <w:p>
      <w:pPr>
        <w:spacing w:after="0" w:line="18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fair value of any investment retained in the former subsidiary at the date when control is lost is measured according IFRS 9 – “</w:t>
      </w:r>
      <w:r>
        <w:rPr>
          <w:rFonts w:ascii="Arial" w:cs="Arial" w:eastAsia="Arial" w:hAnsi="Arial"/>
          <w:sz w:val="18"/>
          <w:szCs w:val="18"/>
          <w:i w:val="1"/>
          <w:iCs w:val="1"/>
          <w:color w:val="auto"/>
        </w:rPr>
        <w:t>Financial</w:t>
      </w:r>
      <w:r>
        <w:rPr>
          <w:rFonts w:ascii="Arial" w:cs="Arial" w:eastAsia="Arial" w:hAnsi="Arial"/>
          <w:sz w:val="18"/>
          <w:szCs w:val="18"/>
          <w:color w:val="auto"/>
        </w:rPr>
        <w:t xml:space="preserve"> </w:t>
      </w:r>
      <w:r>
        <w:rPr>
          <w:rFonts w:ascii="Arial" w:cs="Arial" w:eastAsia="Arial" w:hAnsi="Arial"/>
          <w:sz w:val="18"/>
          <w:szCs w:val="18"/>
          <w:i w:val="1"/>
          <w:iCs w:val="1"/>
          <w:color w:val="auto"/>
        </w:rPr>
        <w:t>Instruments</w:t>
      </w:r>
      <w:r>
        <w:rPr>
          <w:rFonts w:ascii="Arial" w:cs="Arial" w:eastAsia="Arial" w:hAnsi="Arial"/>
          <w:sz w:val="18"/>
          <w:szCs w:val="18"/>
          <w:color w:val="auto"/>
        </w:rPr>
        <w:t>”, or where applicable, at cost on initial recognition of an investment in an associate or a joint venture.</w:t>
      </w:r>
    </w:p>
    <w:p>
      <w:pPr>
        <w:spacing w:after="0" w:line="166" w:lineRule="exact"/>
        <w:rPr>
          <w:rFonts w:ascii="Arial" w:cs="Arial" w:eastAsia="Arial" w:hAnsi="Arial"/>
          <w:sz w:val="18"/>
          <w:szCs w:val="18"/>
          <w:b w:val="1"/>
          <w:bCs w:val="1"/>
          <w:color w:val="auto"/>
        </w:rPr>
      </w:pPr>
    </w:p>
    <w:p>
      <w:pPr>
        <w:ind w:left="340" w:hanging="332"/>
        <w:spacing w:after="0"/>
        <w:tabs>
          <w:tab w:leader="none" w:pos="340" w:val="left"/>
        </w:tabs>
        <w:numPr>
          <w:ilvl w:val="0"/>
          <w:numId w:val="107"/>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Significant accounting policies applied consistently by the Bank to all years presented in these consolidated financial statements, are presented as follows.</w:t>
      </w:r>
    </w:p>
    <w:p>
      <w:pPr>
        <w:spacing w:after="0" w:line="166" w:lineRule="exact"/>
        <w:rPr>
          <w:rFonts w:ascii="Arial" w:cs="Arial" w:eastAsia="Arial" w:hAnsi="Arial"/>
          <w:sz w:val="18"/>
          <w:szCs w:val="18"/>
          <w:b w:val="1"/>
          <w:bCs w:val="1"/>
          <w:color w:val="auto"/>
        </w:rPr>
      </w:pPr>
    </w:p>
    <w:p>
      <w:pPr>
        <w:ind w:left="340" w:right="874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3.1 Foreign currency </w:t>
      </w:r>
      <w:r>
        <w:rPr>
          <w:rFonts w:ascii="Arial" w:cs="Arial" w:eastAsia="Arial" w:hAnsi="Arial"/>
          <w:sz w:val="16"/>
          <w:szCs w:val="16"/>
          <w:u w:val="single" w:color="auto"/>
          <w:color w:val="auto"/>
        </w:rPr>
        <w:t>Foreign currency transactions|</w:t>
      </w: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For each entity, the Bank determines the functional currency; items, included in the consolidated financial statements of each entity, are measured using their respective functional currency.</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Transactions and balances</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US dollars. The effects of those translation adjustments are reported as a component of other comprehensive income (loss) in the consolidated statement of changes in equity.</w:t>
      </w:r>
    </w:p>
    <w:p>
      <w:pPr>
        <w:spacing w:after="0" w:line="18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Non-monetary assets and liabilities that are measured at fair value in a foreign currency are translated into the functional currency at the exchange rate effective at the date on which fair value is determined. Non-monetary items that are measured based on historical cost in a foreign currency are translated using the exchange rate effective at the date of the transaction.</w:t>
      </w:r>
    </w:p>
    <w:p>
      <w:pPr>
        <w:spacing w:after="0" w:line="183"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Transactions whose terms are denominated in a currency other than the functional currency, including transactions denominated in local currency of foreign entities whose functional currency is the US dollar, are recorded at the exchange rate prevailing at the date of the transaction. Assets and liabilities in foreign currency are translated into US dollars using month-end spot foreign exchange rates. The effects of translation of monetary assets and liabilities into US dollar are included in current year’s earnings in the caption of "gain (loss) on financial instruments, net" in profit or loss.</w:t>
      </w:r>
    </w:p>
    <w:p>
      <w:pPr>
        <w:spacing w:after="0" w:line="157"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Differences arising on settlement or translation of monetary items are recognized in profit or loss, except for monetary items that are designated as part of the hedge of the Bank’s net investment in a foreign operation. These are recognized in accumulated other comprehensive income until the net investment is disposed of, at which time, the cumulative amount is reclassified to profit or loss. Tax charges and credits attributable to exchange differences on those monetary items are also recorded in accumulated other comprehensive income, if applicable.</w:t>
      </w:r>
    </w:p>
    <w:p>
      <w:pPr>
        <w:spacing w:after="0" w:line="17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a foreign operation is disposed of in its entirety or partially such that control is lost, the cumulative amount in the translation reserve related to that foreign operation is reclassified to profit or loss as part of the gain or loss on disposal. If the Bank disposes of only part of its interest in a subsidiary that includes a foreign operation while retaining control, then the relevant proportion of the cumulative amount is attributed to non-controlling interest.</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48" w:name="page149"/>
    <w:bookmarkEnd w:id="1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0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right="936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3.2 Interests </w:t>
      </w:r>
      <w:r>
        <w:rPr>
          <w:rFonts w:ascii="Arial" w:cs="Arial" w:eastAsia="Arial" w:hAnsi="Arial"/>
          <w:sz w:val="16"/>
          <w:szCs w:val="16"/>
          <w:u w:val="single" w:color="auto"/>
          <w:color w:val="auto"/>
        </w:rPr>
        <w:t>Effective interest rate</w:t>
      </w:r>
    </w:p>
    <w:p>
      <w:pPr>
        <w:ind w:left="340"/>
        <w:spacing w:after="0" w:line="258" w:lineRule="auto"/>
        <w:rPr>
          <w:rFonts w:ascii="Arial" w:cs="Arial" w:eastAsia="Arial" w:hAnsi="Arial"/>
          <w:sz w:val="18"/>
          <w:szCs w:val="18"/>
          <w:b w:val="1"/>
          <w:bCs w:val="1"/>
          <w:color w:val="auto"/>
        </w:rPr>
      </w:pPr>
      <w:r>
        <w:rPr>
          <w:rFonts w:ascii="Arial" w:cs="Arial" w:eastAsia="Arial" w:hAnsi="Arial"/>
          <w:sz w:val="18"/>
          <w:szCs w:val="18"/>
          <w:color w:val="auto"/>
        </w:rPr>
        <w:t>Interest income and expense are recognized in profit or loss using the effective interest method. The ‘effective interest rate’ is the rate that exactly discounts estimated future cash payments or receipts through the expected life of the financial instrument to:</w:t>
      </w:r>
    </w:p>
    <w:p>
      <w:pPr>
        <w:spacing w:after="0" w:line="1" w:lineRule="exact"/>
        <w:rPr>
          <w:rFonts w:ascii="Arial" w:cs="Arial" w:eastAsia="Arial" w:hAnsi="Arial"/>
          <w:sz w:val="18"/>
          <w:szCs w:val="18"/>
          <w:b w:val="1"/>
          <w:bCs w:val="1"/>
          <w:color w:val="auto"/>
        </w:rPr>
      </w:pPr>
    </w:p>
    <w:p>
      <w:pPr>
        <w:ind w:left="980" w:hanging="324"/>
        <w:spacing w:after="0"/>
        <w:tabs>
          <w:tab w:leader="none" w:pos="980" w:val="left"/>
        </w:tabs>
        <w:numPr>
          <w:ilvl w:val="1"/>
          <w:numId w:val="108"/>
        </w:numPr>
        <w:rPr>
          <w:rFonts w:ascii="Arial" w:cs="Arial" w:eastAsia="Arial" w:hAnsi="Arial"/>
          <w:sz w:val="18"/>
          <w:szCs w:val="18"/>
          <w:color w:val="auto"/>
        </w:rPr>
      </w:pPr>
      <w:r>
        <w:rPr>
          <w:rFonts w:ascii="Arial" w:cs="Arial" w:eastAsia="Arial" w:hAnsi="Arial"/>
          <w:sz w:val="18"/>
          <w:szCs w:val="18"/>
          <w:color w:val="auto"/>
        </w:rPr>
        <w:t>The gross carrying amount of the financial asset; or</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108"/>
        </w:numPr>
        <w:rPr>
          <w:rFonts w:ascii="Arial" w:cs="Arial" w:eastAsia="Arial" w:hAnsi="Arial"/>
          <w:sz w:val="18"/>
          <w:szCs w:val="18"/>
          <w:color w:val="auto"/>
        </w:rPr>
      </w:pPr>
      <w:r>
        <w:rPr>
          <w:rFonts w:ascii="Arial" w:cs="Arial" w:eastAsia="Arial" w:hAnsi="Arial"/>
          <w:sz w:val="18"/>
          <w:szCs w:val="18"/>
          <w:color w:val="auto"/>
        </w:rPr>
        <w:t>The amortized cost of the financial liability.</w:t>
      </w:r>
    </w:p>
    <w:p>
      <w:pPr>
        <w:spacing w:after="0" w:line="211"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calculating the effective interest rate for financial instruments other than purchased or originated credit-impaired assets, the Bank estimates future cash flows considering all contractual terms of the financial instrument, but not the expected credit loss (ECL). For purchased or originated credit-impaired financial assets, a credit-adjusted effective interest rate is calculated using estimated future cash flows including ECL.</w:t>
      </w:r>
    </w:p>
    <w:p>
      <w:pPr>
        <w:spacing w:after="0" w:line="16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calculation of the effective interest rate includes transaction costs and fees and points paid or received that are an integral part of the effective interest rate. Transaction costs include incremental costs that are directly attributable to the acquisition or issue of a financial asset or financial liability.</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Amortized cost and gross carrying amount</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‘amortized cost’ of a financial asset or financial liability is the amount at which the financial asset or financial liability is measured on initial recognition minus the principal repayments, plus or minus the cumulative amortization using the effective interest method of any difference between that initial amount and the maturity amount and, for financial assets, adjusted for any expected credit loss allowance. The ‘gross carrying amount of a financial asset’ is the amortized cost of a financial asset before adjusting for any expected credit loss allowance.</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calculation of interest income and expense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effective interest rate of a financial asset or financial liability is calculated on initial recognition of a financial asset or a financial liability. In calculating interest income and expense, the effective interest rate is applied to the gross carrying amount of the asset, when the asset is not credit-impaired, or to the amortized cost of the liability. The effective interest rate is revised as a result of periodic re-estimation of cash flows of floating-rate instruments to reflect movements in market interest rates.</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However, for financial assets that have become credit-impaired subsequent to initial recognition, interest income is calculated by applying the effective interest rate to the amortized cost of the financial asset. If the asset is no longer credit-impaired, then the calculation of interest income reverts to the gross basis.</w:t>
      </w:r>
    </w:p>
    <w:p>
      <w:pPr>
        <w:spacing w:after="0" w:line="184"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For financial assets that were credit-impaired on initial recognition, interest income is calculated by applying the credit-adjusted effective interest rate to the amortized cost of the asset. The calculation of interest income does not revert to a gross basis, even if the credit risk of the asset improves.</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Presentation</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Interest income and interest expense calculated using the effective interest method presented in the consolidated statement of profit or loss includes:</w:t>
      </w:r>
    </w:p>
    <w:p>
      <w:pPr>
        <w:spacing w:after="0" w:line="248" w:lineRule="exact"/>
        <w:rPr>
          <w:sz w:val="20"/>
          <w:szCs w:val="20"/>
          <w:color w:val="auto"/>
        </w:rPr>
      </w:pPr>
    </w:p>
    <w:p>
      <w:pPr>
        <w:ind w:left="5460" w:right="4660" w:hanging="4804"/>
        <w:spacing w:after="0" w:line="573" w:lineRule="auto"/>
        <w:tabs>
          <w:tab w:leader="none" w:pos="986" w:val="left"/>
        </w:tabs>
        <w:numPr>
          <w:ilvl w:val="0"/>
          <w:numId w:val="109"/>
        </w:numPr>
        <w:rPr>
          <w:rFonts w:ascii="Arial" w:cs="Arial" w:eastAsia="Arial" w:hAnsi="Arial"/>
          <w:sz w:val="17"/>
          <w:szCs w:val="17"/>
          <w:color w:val="auto"/>
        </w:rPr>
      </w:pPr>
      <w:r>
        <w:rPr>
          <w:rFonts w:ascii="Arial" w:cs="Arial" w:eastAsia="Arial" w:hAnsi="Arial"/>
          <w:sz w:val="17"/>
          <w:szCs w:val="17"/>
          <w:color w:val="auto"/>
        </w:rPr>
        <w:t>Interest on financial assets and financial liabilities measured at amortized cost 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-163195</wp:posOffset>
            </wp:positionV>
            <wp:extent cx="7132320" cy="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49" w:name="page150"/>
    <w:bookmarkEnd w:id="1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1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  Interests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Other interest income and expense presented in the consolidated statement of profit or loss includes:</w:t>
      </w:r>
    </w:p>
    <w:p>
      <w:pPr>
        <w:spacing w:after="0" w:line="225" w:lineRule="exact"/>
        <w:rPr>
          <w:rFonts w:ascii="Arial" w:cs="Arial" w:eastAsia="Arial" w:hAnsi="Arial"/>
          <w:sz w:val="18"/>
          <w:szCs w:val="18"/>
          <w:b w:val="1"/>
          <w:bCs w:val="1"/>
          <w:color w:val="auto"/>
        </w:rPr>
      </w:pPr>
    </w:p>
    <w:p>
      <w:pPr>
        <w:ind w:left="980" w:hanging="324"/>
        <w:spacing w:after="0"/>
        <w:tabs>
          <w:tab w:leader="none" w:pos="98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Interest on securities measured at fair value through other comprehensive income.</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Interest on loans measured at fair value through profit or loss.</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Interest expense on lease liabilities.</w:t>
      </w:r>
    </w:p>
    <w:p>
      <w:pPr>
        <w:spacing w:after="0" w:line="9" w:lineRule="exact"/>
        <w:rPr>
          <w:rFonts w:ascii="Arial" w:cs="Arial" w:eastAsia="Arial" w:hAnsi="Arial"/>
          <w:sz w:val="18"/>
          <w:szCs w:val="18"/>
          <w:color w:val="auto"/>
        </w:rPr>
      </w:pPr>
    </w:p>
    <w:p>
      <w:pPr>
        <w:ind w:left="980" w:right="20" w:hanging="324"/>
        <w:spacing w:after="0" w:line="260" w:lineRule="auto"/>
        <w:tabs>
          <w:tab w:leader="none" w:pos="980" w:val="left"/>
        </w:tabs>
        <w:numPr>
          <w:ilvl w:val="1"/>
          <w:numId w:val="110"/>
        </w:numPr>
        <w:rPr>
          <w:rFonts w:ascii="Arial" w:cs="Arial" w:eastAsia="Arial" w:hAnsi="Arial"/>
          <w:sz w:val="18"/>
          <w:szCs w:val="18"/>
          <w:color w:val="auto"/>
        </w:rPr>
      </w:pPr>
      <w:r>
        <w:rPr>
          <w:rFonts w:ascii="Arial" w:cs="Arial" w:eastAsia="Arial" w:hAnsi="Arial"/>
          <w:sz w:val="18"/>
          <w:szCs w:val="18"/>
          <w:color w:val="auto"/>
        </w:rPr>
        <w:t>The effective portion of the variability in interest cash flow changes in qualifying hedging derivatives, in the same period as the hedged cash flows affect interest income/expense.</w:t>
      </w:r>
    </w:p>
    <w:p>
      <w:pPr>
        <w:spacing w:after="0" w:line="181"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3.3</w:t>
      </w:r>
      <w:r>
        <w:rPr>
          <w:sz w:val="20"/>
          <w:szCs w:val="20"/>
          <w:color w:val="auto"/>
        </w:rPr>
        <w:tab/>
      </w:r>
      <w:r>
        <w:rPr>
          <w:rFonts w:ascii="Arial" w:cs="Arial" w:eastAsia="Arial" w:hAnsi="Arial"/>
          <w:sz w:val="15"/>
          <w:szCs w:val="15"/>
          <w:b w:val="1"/>
          <w:bCs w:val="1"/>
          <w:color w:val="auto"/>
        </w:rPr>
        <w:t>Fees and commissions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Fees, commission income and expense that are integral to the effective interest rate on a financial asset or financial liability are described in note 3.2.</w:t>
      </w:r>
    </w:p>
    <w:p>
      <w:pPr>
        <w:spacing w:after="0" w:line="248" w:lineRule="exact"/>
        <w:rPr>
          <w:sz w:val="20"/>
          <w:szCs w:val="20"/>
          <w:color w:val="auto"/>
        </w:rPr>
      </w:pPr>
    </w:p>
    <w:p>
      <w:pPr>
        <w:ind w:left="340"/>
        <w:spacing w:after="0"/>
        <w:rPr>
          <w:sz w:val="20"/>
          <w:szCs w:val="20"/>
          <w:color w:val="auto"/>
        </w:rPr>
      </w:pPr>
      <w:r>
        <w:rPr>
          <w:rFonts w:ascii="Arial" w:cs="Arial" w:eastAsia="Arial" w:hAnsi="Arial"/>
          <w:sz w:val="18"/>
          <w:szCs w:val="18"/>
          <w:color w:val="auto"/>
        </w:rPr>
        <w:t>Other fees and commissions are recognized as the related services are performed based on the contractual terms set with a customer.</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describes the main products and services, other than services for financial intermediation, from which the Bank generates its revenue: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color w:val="auto"/>
              </w:rPr>
              <w:t>Type of services</w:t>
            </w:r>
          </w:p>
        </w:tc>
        <w:tc>
          <w:tcPr>
            <w:tcW w:w="8380" w:type="dxa"/>
            <w:vAlign w:val="bottom"/>
          </w:tcPr>
          <w:p>
            <w:pPr>
              <w:ind w:left="440"/>
              <w:spacing w:after="0"/>
              <w:rPr>
                <w:sz w:val="20"/>
                <w:szCs w:val="20"/>
                <w:color w:val="auto"/>
              </w:rPr>
            </w:pPr>
            <w:r>
              <w:rPr>
                <w:rFonts w:ascii="Arial" w:cs="Arial" w:eastAsia="Arial" w:hAnsi="Arial"/>
                <w:sz w:val="18"/>
                <w:szCs w:val="18"/>
                <w:b w:val="1"/>
                <w:bCs w:val="1"/>
                <w:color w:val="auto"/>
                <w:w w:val="94"/>
              </w:rPr>
              <w:t>Nature and timing of satisfaction of performance obligations, including significant payment terms</w:t>
            </w:r>
          </w:p>
        </w:tc>
        <w:tc>
          <w:tcPr>
            <w:tcW w:w="20" w:type="dxa"/>
            <w:vAlign w:val="bottom"/>
          </w:tcPr>
          <w:p>
            <w:pPr>
              <w:spacing w:after="0"/>
              <w:rPr>
                <w:sz w:val="20"/>
                <w:szCs w:val="20"/>
                <w:color w:val="auto"/>
              </w:rPr>
            </w:pPr>
          </w:p>
        </w:tc>
      </w:tr>
      <w:tr>
        <w:trPr>
          <w:trHeight w:val="169"/>
        </w:trPr>
        <w:tc>
          <w:tcPr>
            <w:tcW w:w="340" w:type="dxa"/>
            <w:vAlign w:val="bottom"/>
          </w:tcPr>
          <w:p>
            <w:pPr>
              <w:spacing w:after="0"/>
              <w:rPr>
                <w:sz w:val="14"/>
                <w:szCs w:val="14"/>
                <w:color w:val="auto"/>
              </w:rPr>
            </w:pPr>
          </w:p>
        </w:tc>
        <w:tc>
          <w:tcPr>
            <w:tcW w:w="2280" w:type="dxa"/>
            <w:vAlign w:val="bottom"/>
            <w:tcBorders>
              <w:top w:val="single" w:sz="8" w:color="auto"/>
            </w:tcBorders>
            <w:gridSpan w:val="4"/>
          </w:tcPr>
          <w:p>
            <w:pPr>
              <w:spacing w:after="0" w:line="169" w:lineRule="exact"/>
              <w:rPr>
                <w:sz w:val="20"/>
                <w:szCs w:val="20"/>
                <w:color w:val="auto"/>
              </w:rPr>
            </w:pPr>
            <w:r>
              <w:rPr>
                <w:rFonts w:ascii="Arial" w:cs="Arial" w:eastAsia="Arial" w:hAnsi="Arial"/>
                <w:sz w:val="18"/>
                <w:szCs w:val="18"/>
                <w:b w:val="1"/>
                <w:bCs w:val="1"/>
                <w:i w:val="1"/>
                <w:iCs w:val="1"/>
                <w:color w:val="auto"/>
              </w:rPr>
              <w:t>Letters of credit</w:t>
            </w:r>
          </w:p>
        </w:tc>
        <w:tc>
          <w:tcPr>
            <w:tcW w:w="220" w:type="dxa"/>
            <w:vAlign w:val="bottom"/>
          </w:tcPr>
          <w:p>
            <w:pPr>
              <w:spacing w:after="0"/>
              <w:rPr>
                <w:sz w:val="14"/>
                <w:szCs w:val="14"/>
                <w:color w:val="auto"/>
              </w:rPr>
            </w:pPr>
          </w:p>
        </w:tc>
        <w:tc>
          <w:tcPr>
            <w:tcW w:w="8380" w:type="dxa"/>
            <w:vAlign w:val="bottom"/>
            <w:tcBorders>
              <w:top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222"/>
        </w:trPr>
        <w:tc>
          <w:tcPr>
            <w:tcW w:w="340" w:type="dxa"/>
            <w:vAlign w:val="bottom"/>
          </w:tcPr>
          <w:p>
            <w:pPr>
              <w:spacing w:after="0"/>
              <w:rPr>
                <w:sz w:val="19"/>
                <w:szCs w:val="19"/>
                <w:color w:val="auto"/>
              </w:rPr>
            </w:pPr>
          </w:p>
        </w:tc>
        <w:tc>
          <w:tcPr>
            <w:tcW w:w="1160" w:type="dxa"/>
            <w:vAlign w:val="bottom"/>
            <w:tcBorders>
              <w:top w:val="single" w:sz="8" w:color="auto"/>
            </w:tcBorders>
            <w:gridSpan w:val="3"/>
          </w:tcPr>
          <w:p>
            <w:pPr>
              <w:spacing w:after="0"/>
              <w:rPr>
                <w:sz w:val="20"/>
                <w:szCs w:val="20"/>
                <w:color w:val="auto"/>
              </w:rPr>
            </w:pPr>
            <w:r>
              <w:rPr>
                <w:rFonts w:ascii="Arial" w:cs="Arial" w:eastAsia="Arial" w:hAnsi="Arial"/>
                <w:sz w:val="18"/>
                <w:szCs w:val="18"/>
                <w:b w:val="1"/>
                <w:bCs w:val="1"/>
                <w:color w:val="auto"/>
              </w:rPr>
              <w:t>Issuance</w:t>
            </w:r>
          </w:p>
        </w:tc>
        <w:tc>
          <w:tcPr>
            <w:tcW w:w="1340" w:type="dxa"/>
            <w:vAlign w:val="bottom"/>
            <w:gridSpan w:val="2"/>
          </w:tcPr>
          <w:p>
            <w:pPr>
              <w:spacing w:after="0"/>
              <w:rPr>
                <w:sz w:val="19"/>
                <w:szCs w:val="19"/>
                <w:color w:val="auto"/>
              </w:rPr>
            </w:pPr>
          </w:p>
        </w:tc>
        <w:tc>
          <w:tcPr>
            <w:tcW w:w="8380" w:type="dxa"/>
            <w:vAlign w:val="bottom"/>
          </w:tcPr>
          <w:p>
            <w:pPr>
              <w:spacing w:after="0"/>
              <w:rPr>
                <w:sz w:val="20"/>
                <w:szCs w:val="20"/>
                <w:color w:val="auto"/>
              </w:rPr>
            </w:pPr>
            <w:r>
              <w:rPr>
                <w:rFonts w:ascii="Arial" w:cs="Arial" w:eastAsia="Arial" w:hAnsi="Arial"/>
                <w:sz w:val="18"/>
                <w:szCs w:val="18"/>
                <w:color w:val="auto"/>
                <w:w w:val="93"/>
              </w:rPr>
              <w:t>Guarantee to honor the stipulated amount agreed to in the terms and conditions entered with the customer, upon</w:t>
            </w:r>
          </w:p>
        </w:tc>
        <w:tc>
          <w:tcPr>
            <w:tcW w:w="20" w:type="dxa"/>
            <w:vAlign w:val="bottom"/>
          </w:tcPr>
          <w:p>
            <w:pPr>
              <w:spacing w:after="0"/>
              <w:rPr>
                <w:sz w:val="19"/>
                <w:szCs w:val="19"/>
                <w:color w:val="auto"/>
              </w:rPr>
            </w:pPr>
          </w:p>
        </w:tc>
      </w:tr>
      <w:tr>
        <w:trPr>
          <w:trHeight w:val="230"/>
        </w:trPr>
        <w:tc>
          <w:tcPr>
            <w:tcW w:w="3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rPr>
              <w:t>presentation of required documentation.</w:t>
            </w:r>
          </w:p>
        </w:tc>
        <w:tc>
          <w:tcPr>
            <w:tcW w:w="20" w:type="dxa"/>
            <w:vAlign w:val="bottom"/>
          </w:tcPr>
          <w:p>
            <w:pPr>
              <w:spacing w:after="0"/>
              <w:rPr>
                <w:sz w:val="20"/>
                <w:szCs w:val="20"/>
                <w:color w:val="auto"/>
              </w:rPr>
            </w:pPr>
          </w:p>
        </w:tc>
      </w:tr>
      <w:tr>
        <w:trPr>
          <w:trHeight w:val="418"/>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color w:val="auto"/>
              </w:rPr>
              <w:t>Negotiation</w:t>
            </w:r>
          </w:p>
        </w:tc>
        <w:tc>
          <w:tcPr>
            <w:tcW w:w="8380" w:type="dxa"/>
            <w:vAlign w:val="bottom"/>
          </w:tcPr>
          <w:p>
            <w:pPr>
              <w:spacing w:after="0"/>
              <w:rPr>
                <w:sz w:val="20"/>
                <w:szCs w:val="20"/>
                <w:color w:val="auto"/>
              </w:rPr>
            </w:pPr>
            <w:r>
              <w:rPr>
                <w:rFonts w:ascii="Arial" w:cs="Arial" w:eastAsia="Arial" w:hAnsi="Arial"/>
                <w:sz w:val="18"/>
                <w:szCs w:val="18"/>
                <w:color w:val="auto"/>
                <w:w w:val="90"/>
              </w:rPr>
              <w:t>Review of the shipping documents, by the beneficiary, under presentation and acceptance of payment on demand or</w:t>
            </w:r>
          </w:p>
        </w:tc>
        <w:tc>
          <w:tcPr>
            <w:tcW w:w="20" w:type="dxa"/>
            <w:vAlign w:val="bottom"/>
          </w:tcPr>
          <w:p>
            <w:pPr>
              <w:spacing w:after="0"/>
              <w:rPr>
                <w:sz w:val="24"/>
                <w:szCs w:val="24"/>
                <w:color w:val="auto"/>
              </w:rPr>
            </w:pPr>
          </w:p>
        </w:tc>
      </w:tr>
      <w:tr>
        <w:trPr>
          <w:trHeight w:val="230"/>
        </w:trPr>
        <w:tc>
          <w:tcPr>
            <w:tcW w:w="3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rPr>
              <w:t>on the day the reimbursement is made by the designated bank.</w:t>
            </w:r>
          </w:p>
        </w:tc>
        <w:tc>
          <w:tcPr>
            <w:tcW w:w="20" w:type="dxa"/>
            <w:vAlign w:val="bottom"/>
          </w:tcPr>
          <w:p>
            <w:pPr>
              <w:spacing w:after="0"/>
              <w:rPr>
                <w:sz w:val="20"/>
                <w:szCs w:val="20"/>
                <w:color w:val="auto"/>
              </w:rPr>
            </w:pPr>
          </w:p>
        </w:tc>
      </w:tr>
      <w:tr>
        <w:trPr>
          <w:trHeight w:val="418"/>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color w:val="auto"/>
              </w:rPr>
              <w:t>Acceptance</w:t>
            </w:r>
          </w:p>
        </w:tc>
        <w:tc>
          <w:tcPr>
            <w:tcW w:w="8380" w:type="dxa"/>
            <w:vAlign w:val="bottom"/>
          </w:tcPr>
          <w:p>
            <w:pPr>
              <w:spacing w:after="0"/>
              <w:rPr>
                <w:sz w:val="20"/>
                <w:szCs w:val="20"/>
                <w:color w:val="auto"/>
              </w:rPr>
            </w:pPr>
            <w:r>
              <w:rPr>
                <w:rFonts w:ascii="Arial" w:cs="Arial" w:eastAsia="Arial" w:hAnsi="Arial"/>
                <w:sz w:val="18"/>
                <w:szCs w:val="18"/>
                <w:color w:val="auto"/>
                <w:w w:val="93"/>
              </w:rPr>
              <w:t>Commitment issued to the beneficiary to pay to a supplier in a future date, once all the shipping documents have</w:t>
            </w:r>
          </w:p>
        </w:tc>
        <w:tc>
          <w:tcPr>
            <w:tcW w:w="20" w:type="dxa"/>
            <w:vAlign w:val="bottom"/>
          </w:tcPr>
          <w:p>
            <w:pPr>
              <w:spacing w:after="0"/>
              <w:rPr>
                <w:sz w:val="24"/>
                <w:szCs w:val="24"/>
                <w:color w:val="auto"/>
              </w:rPr>
            </w:pPr>
          </w:p>
        </w:tc>
      </w:tr>
      <w:tr>
        <w:trPr>
          <w:trHeight w:val="230"/>
        </w:trPr>
        <w:tc>
          <w:tcPr>
            <w:tcW w:w="3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rPr>
              <w:t>been reviewed as to compliance with the terms and conditions of the letter of credit.</w:t>
            </w:r>
          </w:p>
        </w:tc>
        <w:tc>
          <w:tcPr>
            <w:tcW w:w="2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color w:val="auto"/>
              </w:rPr>
              <w:t>Confirmation</w:t>
            </w:r>
          </w:p>
        </w:tc>
        <w:tc>
          <w:tcPr>
            <w:tcW w:w="8380" w:type="dxa"/>
            <w:vAlign w:val="bottom"/>
          </w:tcPr>
          <w:p>
            <w:pPr>
              <w:spacing w:after="0"/>
              <w:rPr>
                <w:sz w:val="20"/>
                <w:szCs w:val="20"/>
                <w:color w:val="auto"/>
              </w:rPr>
            </w:pPr>
            <w:r>
              <w:rPr>
                <w:rFonts w:ascii="Arial" w:cs="Arial" w:eastAsia="Arial" w:hAnsi="Arial"/>
                <w:sz w:val="18"/>
                <w:szCs w:val="18"/>
                <w:color w:val="auto"/>
              </w:rPr>
              <w:t>Commitment issued to the issuer bank and the beneficiary to honor or negotiate shipping documents.</w:t>
            </w:r>
          </w:p>
        </w:tc>
        <w:tc>
          <w:tcPr>
            <w:tcW w:w="20" w:type="dxa"/>
            <w:vAlign w:val="bottom"/>
          </w:tcPr>
          <w:p>
            <w:pPr>
              <w:spacing w:after="0"/>
              <w:rPr>
                <w:sz w:val="24"/>
                <w:szCs w:val="24"/>
                <w:color w:val="auto"/>
              </w:rPr>
            </w:pPr>
          </w:p>
        </w:tc>
      </w:tr>
      <w:tr>
        <w:trPr>
          <w:trHeight w:val="418"/>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color w:val="auto"/>
              </w:rPr>
              <w:t>Amendment</w:t>
            </w:r>
          </w:p>
        </w:tc>
        <w:tc>
          <w:tcPr>
            <w:tcW w:w="8380" w:type="dxa"/>
            <w:vAlign w:val="bottom"/>
          </w:tcPr>
          <w:p>
            <w:pPr>
              <w:spacing w:after="0"/>
              <w:rPr>
                <w:sz w:val="20"/>
                <w:szCs w:val="20"/>
                <w:color w:val="auto"/>
              </w:rPr>
            </w:pPr>
            <w:r>
              <w:rPr>
                <w:rFonts w:ascii="Arial" w:cs="Arial" w:eastAsia="Arial" w:hAnsi="Arial"/>
                <w:sz w:val="18"/>
                <w:szCs w:val="18"/>
                <w:color w:val="auto"/>
                <w:w w:val="98"/>
              </w:rPr>
              <w:t>A request to amend the original letter of credit on behalf of the beneficiary modifying the original terms and</w:t>
            </w:r>
          </w:p>
        </w:tc>
        <w:tc>
          <w:tcPr>
            <w:tcW w:w="20" w:type="dxa"/>
            <w:vAlign w:val="bottom"/>
          </w:tcPr>
          <w:p>
            <w:pPr>
              <w:spacing w:after="0"/>
              <w:rPr>
                <w:sz w:val="24"/>
                <w:szCs w:val="24"/>
                <w:color w:val="auto"/>
              </w:rPr>
            </w:pPr>
          </w:p>
        </w:tc>
      </w:tr>
      <w:tr>
        <w:trPr>
          <w:trHeight w:val="230"/>
        </w:trPr>
        <w:tc>
          <w:tcPr>
            <w:tcW w:w="3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rPr>
              <w:t>conditions</w:t>
            </w:r>
          </w:p>
        </w:tc>
        <w:tc>
          <w:tcPr>
            <w:tcW w:w="20" w:type="dxa"/>
            <w:vAlign w:val="bottom"/>
          </w:tcPr>
          <w:p>
            <w:pPr>
              <w:spacing w:after="0"/>
              <w:rPr>
                <w:sz w:val="20"/>
                <w:szCs w:val="20"/>
                <w:color w:val="auto"/>
              </w:rPr>
            </w:pPr>
          </w:p>
        </w:tc>
      </w:tr>
      <w:tr>
        <w:trPr>
          <w:trHeight w:val="391"/>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i w:val="1"/>
                <w:iCs w:val="1"/>
                <w:color w:val="auto"/>
              </w:rPr>
              <w:t>Syndications</w:t>
            </w:r>
          </w:p>
        </w:tc>
        <w:tc>
          <w:tcPr>
            <w:tcW w:w="838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22"/>
        </w:trPr>
        <w:tc>
          <w:tcPr>
            <w:tcW w:w="340" w:type="dxa"/>
            <w:vAlign w:val="bottom"/>
          </w:tcPr>
          <w:p>
            <w:pPr>
              <w:spacing w:after="0"/>
              <w:rPr>
                <w:sz w:val="19"/>
                <w:szCs w:val="19"/>
                <w:color w:val="auto"/>
              </w:rPr>
            </w:pPr>
          </w:p>
        </w:tc>
        <w:tc>
          <w:tcPr>
            <w:tcW w:w="940" w:type="dxa"/>
            <w:vAlign w:val="bottom"/>
            <w:tcBorders>
              <w:top w:val="single" w:sz="8" w:color="auto"/>
            </w:tcBorders>
          </w:tcPr>
          <w:p>
            <w:pPr>
              <w:spacing w:after="0"/>
              <w:rPr>
                <w:sz w:val="20"/>
                <w:szCs w:val="20"/>
                <w:color w:val="auto"/>
              </w:rPr>
            </w:pPr>
            <w:r>
              <w:rPr>
                <w:rFonts w:ascii="Arial" w:cs="Arial" w:eastAsia="Arial" w:hAnsi="Arial"/>
                <w:sz w:val="18"/>
                <w:szCs w:val="18"/>
                <w:b w:val="1"/>
                <w:bCs w:val="1"/>
                <w:color w:val="auto"/>
                <w:w w:val="94"/>
              </w:rPr>
              <w:t>Structuring</w:t>
            </w:r>
          </w:p>
        </w:tc>
        <w:tc>
          <w:tcPr>
            <w:tcW w:w="1560" w:type="dxa"/>
            <w:vAlign w:val="bottom"/>
            <w:gridSpan w:val="4"/>
          </w:tcPr>
          <w:p>
            <w:pPr>
              <w:spacing w:after="0"/>
              <w:rPr>
                <w:sz w:val="19"/>
                <w:szCs w:val="19"/>
                <w:color w:val="auto"/>
              </w:rPr>
            </w:pPr>
          </w:p>
        </w:tc>
        <w:tc>
          <w:tcPr>
            <w:tcW w:w="8380" w:type="dxa"/>
            <w:vAlign w:val="bottom"/>
          </w:tcPr>
          <w:p>
            <w:pPr>
              <w:spacing w:after="0"/>
              <w:rPr>
                <w:sz w:val="20"/>
                <w:szCs w:val="20"/>
                <w:color w:val="auto"/>
              </w:rPr>
            </w:pPr>
            <w:r>
              <w:rPr>
                <w:rFonts w:ascii="Arial" w:cs="Arial" w:eastAsia="Arial" w:hAnsi="Arial"/>
                <w:sz w:val="18"/>
                <w:szCs w:val="18"/>
                <w:color w:val="auto"/>
                <w:w w:val="97"/>
              </w:rPr>
              <w:t>Advise to the borrower by structuring the terms and conditions of a credit facility and coordinating among the</w:t>
            </w:r>
          </w:p>
        </w:tc>
        <w:tc>
          <w:tcPr>
            <w:tcW w:w="20" w:type="dxa"/>
            <w:vAlign w:val="bottom"/>
          </w:tcPr>
          <w:p>
            <w:pPr>
              <w:spacing w:after="0"/>
              <w:rPr>
                <w:sz w:val="19"/>
                <w:szCs w:val="19"/>
                <w:color w:val="auto"/>
              </w:rPr>
            </w:pPr>
          </w:p>
        </w:tc>
      </w:tr>
      <w:tr>
        <w:trPr>
          <w:trHeight w:val="230"/>
        </w:trPr>
        <w:tc>
          <w:tcPr>
            <w:tcW w:w="3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rPr>
              <w:t>lenders’ and the borrowers’ legal counsel all legal aspects relating to the credit facility, among others.</w:t>
            </w:r>
          </w:p>
        </w:tc>
        <w:tc>
          <w:tcPr>
            <w:tcW w:w="20" w:type="dxa"/>
            <w:vAlign w:val="bottom"/>
          </w:tcPr>
          <w:p>
            <w:pPr>
              <w:spacing w:after="0"/>
              <w:rPr>
                <w:sz w:val="20"/>
                <w:szCs w:val="20"/>
                <w:color w:val="auto"/>
              </w:rPr>
            </w:pPr>
          </w:p>
        </w:tc>
      </w:tr>
      <w:tr>
        <w:trPr>
          <w:trHeight w:val="391"/>
        </w:trPr>
        <w:tc>
          <w:tcPr>
            <w:tcW w:w="340" w:type="dxa"/>
            <w:vAlign w:val="bottom"/>
          </w:tcPr>
          <w:p>
            <w:pPr>
              <w:spacing w:after="0"/>
              <w:rPr>
                <w:sz w:val="24"/>
                <w:szCs w:val="24"/>
                <w:color w:val="auto"/>
              </w:rPr>
            </w:pPr>
          </w:p>
        </w:tc>
        <w:tc>
          <w:tcPr>
            <w:tcW w:w="2500" w:type="dxa"/>
            <w:vAlign w:val="bottom"/>
            <w:gridSpan w:val="5"/>
          </w:tcPr>
          <w:p>
            <w:pPr>
              <w:spacing w:after="0"/>
              <w:rPr>
                <w:sz w:val="20"/>
                <w:szCs w:val="20"/>
                <w:color w:val="auto"/>
              </w:rPr>
            </w:pPr>
            <w:r>
              <w:rPr>
                <w:rFonts w:ascii="Arial" w:cs="Arial" w:eastAsia="Arial" w:hAnsi="Arial"/>
                <w:sz w:val="18"/>
                <w:szCs w:val="18"/>
                <w:b w:val="1"/>
                <w:bCs w:val="1"/>
                <w:i w:val="1"/>
                <w:iCs w:val="1"/>
                <w:color w:val="auto"/>
              </w:rPr>
              <w:t>Other services</w:t>
            </w:r>
          </w:p>
        </w:tc>
        <w:tc>
          <w:tcPr>
            <w:tcW w:w="838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37"/>
        </w:trPr>
        <w:tc>
          <w:tcPr>
            <w:tcW w:w="340" w:type="dxa"/>
            <w:vAlign w:val="bottom"/>
          </w:tcPr>
          <w:p>
            <w:pPr>
              <w:spacing w:after="0"/>
              <w:rPr>
                <w:sz w:val="20"/>
                <w:szCs w:val="20"/>
                <w:color w:val="auto"/>
              </w:rPr>
            </w:pPr>
          </w:p>
        </w:tc>
        <w:tc>
          <w:tcPr>
            <w:tcW w:w="1040" w:type="dxa"/>
            <w:vAlign w:val="bottom"/>
            <w:tcBorders>
              <w:top w:val="single" w:sz="8" w:color="auto"/>
            </w:tcBorders>
            <w:gridSpan w:val="2"/>
          </w:tcPr>
          <w:p>
            <w:pPr>
              <w:spacing w:after="0"/>
              <w:rPr>
                <w:sz w:val="20"/>
                <w:szCs w:val="20"/>
                <w:color w:val="auto"/>
              </w:rPr>
            </w:pPr>
            <w:r>
              <w:rPr>
                <w:rFonts w:ascii="Arial" w:cs="Arial" w:eastAsia="Arial" w:hAnsi="Arial"/>
                <w:sz w:val="18"/>
                <w:szCs w:val="18"/>
                <w:b w:val="1"/>
                <w:bCs w:val="1"/>
                <w:color w:val="auto"/>
              </w:rPr>
              <w:t>Other</w:t>
            </w:r>
          </w:p>
        </w:tc>
        <w:tc>
          <w:tcPr>
            <w:tcW w:w="1460" w:type="dxa"/>
            <w:vAlign w:val="bottom"/>
            <w:gridSpan w:val="3"/>
          </w:tcPr>
          <w:p>
            <w:pPr>
              <w:spacing w:after="0"/>
              <w:rPr>
                <w:sz w:val="20"/>
                <w:szCs w:val="20"/>
                <w:color w:val="auto"/>
              </w:rPr>
            </w:pPr>
          </w:p>
        </w:tc>
        <w:tc>
          <w:tcPr>
            <w:tcW w:w="8380" w:type="dxa"/>
            <w:vAlign w:val="bottom"/>
          </w:tcPr>
          <w:p>
            <w:pPr>
              <w:spacing w:after="0"/>
              <w:rPr>
                <w:sz w:val="20"/>
                <w:szCs w:val="20"/>
                <w:color w:val="auto"/>
              </w:rPr>
            </w:pPr>
            <w:r>
              <w:rPr>
                <w:rFonts w:ascii="Arial" w:cs="Arial" w:eastAsia="Arial" w:hAnsi="Arial"/>
                <w:sz w:val="18"/>
                <w:szCs w:val="18"/>
                <w:color w:val="auto"/>
                <w:w w:val="95"/>
              </w:rPr>
              <w:t>Assignment of rights, transferability, reimbursements, payments, discrepancies, courier charges and transfers.</w:t>
            </w:r>
          </w:p>
        </w:tc>
        <w:tc>
          <w:tcPr>
            <w:tcW w:w="20" w:type="dxa"/>
            <w:vAlign w:val="bottom"/>
          </w:tcPr>
          <w:p>
            <w:pPr>
              <w:spacing w:after="0"/>
              <w:rPr>
                <w:sz w:val="20"/>
                <w:szCs w:val="20"/>
                <w:color w:val="auto"/>
              </w:rPr>
            </w:pPr>
          </w:p>
        </w:tc>
      </w:tr>
      <w:tr>
        <w:trPr>
          <w:trHeight w:val="439"/>
        </w:trPr>
        <w:tc>
          <w:tcPr>
            <w:tcW w:w="34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380" w:type="dxa"/>
            <w:vAlign w:val="bottom"/>
            <w:tcBorders>
              <w:bottom w:val="single" w:sz="8" w:color="auto"/>
            </w:tcBorders>
          </w:tcPr>
          <w:p>
            <w:pPr>
              <w:ind w:left="2620"/>
              <w:spacing w:after="0"/>
              <w:rPr>
                <w:sz w:val="20"/>
                <w:szCs w:val="20"/>
                <w:color w:val="auto"/>
              </w:rPr>
            </w:pPr>
            <w:r>
              <w:rPr>
                <w:rFonts w:ascii="Arial" w:cs="Arial" w:eastAsia="Arial" w:hAnsi="Arial"/>
                <w:sz w:val="18"/>
                <w:szCs w:val="18"/>
                <w:color w:val="auto"/>
              </w:rPr>
              <w:t>F-14</w:t>
            </w: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150" w:name="page151"/>
    <w:bookmarkEnd w:id="1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11"/>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w:t>
      </w:r>
    </w:p>
    <w:p>
      <w:pPr>
        <w:spacing w:after="0" w:line="229" w:lineRule="exact"/>
        <w:rPr>
          <w:sz w:val="20"/>
          <w:szCs w:val="20"/>
          <w:color w:val="auto"/>
        </w:rPr>
      </w:pPr>
    </w:p>
    <w:p>
      <w:pPr>
        <w:ind w:left="660" w:hanging="328"/>
        <w:spacing w:after="0"/>
        <w:tabs>
          <w:tab w:leader="none" w:pos="660" w:val="left"/>
        </w:tabs>
        <w:numPr>
          <w:ilvl w:val="0"/>
          <w:numId w:val="112"/>
        </w:numPr>
        <w:rPr>
          <w:rFonts w:ascii="Arial" w:cs="Arial" w:eastAsia="Arial" w:hAnsi="Arial"/>
          <w:sz w:val="18"/>
          <w:szCs w:val="18"/>
          <w:color w:val="auto"/>
        </w:rPr>
      </w:pPr>
      <w:r>
        <w:rPr>
          <w:rFonts w:ascii="Arial" w:cs="Arial" w:eastAsia="Arial" w:hAnsi="Arial"/>
          <w:sz w:val="18"/>
          <w:szCs w:val="18"/>
          <w:u w:val="single" w:color="auto"/>
          <w:color w:val="auto"/>
        </w:rPr>
        <w:t>Date of recognition and initial measurement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initially recognizes loans, deposits, securities and financial liabilities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marketplace.</w:t>
      </w:r>
    </w:p>
    <w:p>
      <w:pPr>
        <w:spacing w:after="0" w:line="184"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Recognized financial assets and financial liabilities are initially measured at fair value. Transaction costs that are directly attributable to the acquisition or issue of financial assets and financial liabilities, other than financial assets or financial liabilities at fair value through profit or loss (FVTPL), are added to or deducted from the fair value of the financial assets or financial liabilities, as appropriate, on initial recognition. Transaction costs directly attributable to the acquisition of financial assets or financial liabilities at FVTPL are recognized immediately in profit or loss.</w:t>
      </w:r>
    </w:p>
    <w:p>
      <w:pPr>
        <w:spacing w:after="0" w:line="15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Recognized financial assets and financial liabilities designated as hedged items in qualifying fair value hedging relationships are measured at amortized cost adjusted for the hedge risk components associated to the hedging relationship.</w:t>
      </w:r>
    </w:p>
    <w:p>
      <w:pPr>
        <w:spacing w:after="0" w:line="170" w:lineRule="exact"/>
        <w:rPr>
          <w:sz w:val="20"/>
          <w:szCs w:val="20"/>
          <w:color w:val="auto"/>
        </w:rPr>
      </w:pPr>
    </w:p>
    <w:p>
      <w:pPr>
        <w:ind w:left="660" w:hanging="328"/>
        <w:spacing w:after="0"/>
        <w:tabs>
          <w:tab w:leader="none" w:pos="660" w:val="left"/>
        </w:tabs>
        <w:numPr>
          <w:ilvl w:val="0"/>
          <w:numId w:val="113"/>
        </w:numPr>
        <w:rPr>
          <w:rFonts w:ascii="Arial" w:cs="Arial" w:eastAsia="Arial" w:hAnsi="Arial"/>
          <w:sz w:val="18"/>
          <w:szCs w:val="18"/>
          <w:color w:val="auto"/>
        </w:rPr>
      </w:pPr>
      <w:r>
        <w:rPr>
          <w:rFonts w:ascii="Arial" w:cs="Arial" w:eastAsia="Arial" w:hAnsi="Arial"/>
          <w:sz w:val="18"/>
          <w:szCs w:val="18"/>
          <w:u w:val="single" w:color="auto"/>
          <w:color w:val="auto"/>
        </w:rPr>
        <w:t>Classification</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classifies its financial assets as subsequently measured at amortized cost, fair value through other comprehensive income or fair value through profit or loss based on the Bank’s business model for managing the financial assets and the contractual cash flow characteristics of these financial assets, except for those designated as hedged items in qualifying fair value hedging relationships, which are measured at amortized cost adjusted for the hedge risk components associated to the hedging relationship.</w:t>
      </w:r>
    </w:p>
    <w:p>
      <w:pPr>
        <w:spacing w:after="0" w:line="18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 financial asset is measured at amortized cost if it meets both of the following conditions and is not designated as at fair value through profit or loss (FVTPL):</w:t>
      </w:r>
    </w:p>
    <w:p>
      <w:pPr>
        <w:spacing w:after="0" w:line="170" w:lineRule="exact"/>
        <w:rPr>
          <w:sz w:val="20"/>
          <w:szCs w:val="20"/>
          <w:color w:val="auto"/>
        </w:rPr>
      </w:pPr>
    </w:p>
    <w:p>
      <w:pPr>
        <w:ind w:left="980" w:hanging="324"/>
        <w:spacing w:after="0"/>
        <w:tabs>
          <w:tab w:leader="none" w:pos="980" w:val="left"/>
        </w:tabs>
        <w:numPr>
          <w:ilvl w:val="0"/>
          <w:numId w:val="114"/>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to hold assets to collect contractual cash flows; and</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114"/>
        </w:numPr>
        <w:rPr>
          <w:rFonts w:ascii="Arial" w:cs="Arial" w:eastAsia="Arial" w:hAnsi="Arial"/>
          <w:sz w:val="16"/>
          <w:szCs w:val="16"/>
          <w:color w:val="auto"/>
        </w:rPr>
      </w:pPr>
      <w:r>
        <w:rPr>
          <w:rFonts w:ascii="Arial" w:cs="Arial" w:eastAsia="Arial" w:hAnsi="Arial"/>
          <w:sz w:val="16"/>
          <w:szCs w:val="16"/>
          <w:color w:val="auto"/>
        </w:rPr>
        <w:t>The contractual terms of the financial asset give rise on specified dates to cash flows that are solely payment of principal and interest (SPPI).</w:t>
      </w:r>
    </w:p>
    <w:p>
      <w:pPr>
        <w:spacing w:after="0" w:line="234"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debt instrument is measured at fair value through other comprehensive income (FVOCI) only if it meets both of the following conditions and is not designated as at FVTPL:</w:t>
      </w:r>
    </w:p>
    <w:p>
      <w:pPr>
        <w:spacing w:after="0" w:line="170" w:lineRule="exact"/>
        <w:rPr>
          <w:sz w:val="20"/>
          <w:szCs w:val="20"/>
          <w:color w:val="auto"/>
        </w:rPr>
      </w:pPr>
    </w:p>
    <w:p>
      <w:pPr>
        <w:ind w:left="980" w:hanging="324"/>
        <w:spacing w:after="0" w:line="258" w:lineRule="auto"/>
        <w:tabs>
          <w:tab w:leader="none" w:pos="980" w:val="left"/>
        </w:tabs>
        <w:numPr>
          <w:ilvl w:val="0"/>
          <w:numId w:val="115"/>
        </w:numPr>
        <w:rPr>
          <w:rFonts w:ascii="Arial" w:cs="Arial" w:eastAsia="Arial" w:hAnsi="Arial"/>
          <w:sz w:val="18"/>
          <w:szCs w:val="18"/>
          <w:color w:val="auto"/>
        </w:rPr>
      </w:pPr>
      <w:r>
        <w:rPr>
          <w:rFonts w:ascii="Arial" w:cs="Arial" w:eastAsia="Arial" w:hAnsi="Arial"/>
          <w:sz w:val="18"/>
          <w:szCs w:val="18"/>
          <w:color w:val="auto"/>
        </w:rPr>
        <w:t>The asset is held within a business model whose objective is achieved by both collecting contractual cash flows and selling financial assets; and</w:t>
      </w:r>
    </w:p>
    <w:p>
      <w:pPr>
        <w:spacing w:after="0" w:line="1" w:lineRule="exact"/>
        <w:rPr>
          <w:rFonts w:ascii="Arial" w:cs="Arial" w:eastAsia="Arial" w:hAnsi="Arial"/>
          <w:sz w:val="18"/>
          <w:szCs w:val="18"/>
          <w:color w:val="auto"/>
        </w:rPr>
      </w:pPr>
    </w:p>
    <w:p>
      <w:pPr>
        <w:ind w:left="980" w:hanging="324"/>
        <w:spacing w:after="0"/>
        <w:tabs>
          <w:tab w:leader="none" w:pos="980" w:val="left"/>
        </w:tabs>
        <w:numPr>
          <w:ilvl w:val="0"/>
          <w:numId w:val="115"/>
        </w:numPr>
        <w:rPr>
          <w:rFonts w:ascii="Arial" w:cs="Arial" w:eastAsia="Arial" w:hAnsi="Arial"/>
          <w:sz w:val="18"/>
          <w:szCs w:val="18"/>
          <w:color w:val="auto"/>
        </w:rPr>
      </w:pPr>
      <w:r>
        <w:rPr>
          <w:rFonts w:ascii="Arial" w:cs="Arial" w:eastAsia="Arial" w:hAnsi="Arial"/>
          <w:sz w:val="18"/>
          <w:szCs w:val="18"/>
          <w:color w:val="auto"/>
        </w:rPr>
        <w:t>The contractual terms of the financial asset give rise on specified dates to cash flows that are SPPI</w:t>
      </w:r>
    </w:p>
    <w:p>
      <w:pPr>
        <w:spacing w:after="0" w:line="211"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Unrealized gains or losses for financial assets at FVOCI are reported as net increases or decreases in other comprehensive income in the consolidated statement of changes in equity until realized. The gains or losses realized on the sale of securities, which are included in the gain (loss) on the sale of financial instruments, are determined individually for each instrument. Exchange gains or losses are recognized in gains or losses.</w:t>
      </w:r>
    </w:p>
    <w:p>
      <w:pPr>
        <w:spacing w:after="0" w:line="14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For an equity instrument designated as measured at FVOCI, the accumulated gain or loss previously recognized in other comprehensive income is not subsequently reclassified to profit or loss but is transferred within equity to retained earnings.</w:t>
      </w:r>
    </w:p>
    <w:p>
      <w:pPr>
        <w:spacing w:after="0" w:line="17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rest of financial assets are classified at FVTPL, when the assessment of the financial instrument’s contractual terms and the cash flows derived from it determine that the SPPI criteria is not meet for its classification at amortized cost or at fair value through other comprehensive income.</w:t>
      </w:r>
    </w:p>
    <w:p>
      <w:pPr>
        <w:spacing w:after="0" w:line="1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1" w:name="page152"/>
    <w:bookmarkEnd w:id="1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1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However, the following irrevocable election / designation at initial recognition of a financial asset on an asset-by-asset basis may be made:</w:t>
      </w:r>
    </w:p>
    <w:p>
      <w:pPr>
        <w:spacing w:after="0" w:line="236" w:lineRule="exact"/>
        <w:rPr>
          <w:rFonts w:ascii="Arial" w:cs="Arial" w:eastAsia="Arial" w:hAnsi="Arial"/>
          <w:sz w:val="18"/>
          <w:szCs w:val="18"/>
          <w:b w:val="1"/>
          <w:bCs w:val="1"/>
          <w:color w:val="auto"/>
        </w:rPr>
      </w:pPr>
    </w:p>
    <w:p>
      <w:pPr>
        <w:ind w:left="980" w:right="20" w:hanging="324"/>
        <w:spacing w:after="0" w:line="258" w:lineRule="auto"/>
        <w:tabs>
          <w:tab w:leader="none" w:pos="980" w:val="left"/>
        </w:tabs>
        <w:numPr>
          <w:ilvl w:val="1"/>
          <w:numId w:val="116"/>
        </w:numPr>
        <w:rPr>
          <w:rFonts w:ascii="Arial" w:cs="Arial" w:eastAsia="Arial" w:hAnsi="Arial"/>
          <w:sz w:val="18"/>
          <w:szCs w:val="18"/>
          <w:color w:val="auto"/>
        </w:rPr>
      </w:pPr>
      <w:r>
        <w:rPr>
          <w:rFonts w:ascii="Arial" w:cs="Arial" w:eastAsia="Arial" w:hAnsi="Arial"/>
          <w:sz w:val="18"/>
          <w:szCs w:val="18"/>
          <w:color w:val="auto"/>
        </w:rPr>
        <w:t>It may irrevocably elect to present subsequent changes in fair value of an equity instrument that is neither held for trading nor contingent consideration recognized by an acquirer in a business combination, in other comprehensive income (loss); and</w:t>
      </w:r>
    </w:p>
    <w:p>
      <w:pPr>
        <w:spacing w:after="0" w:line="1" w:lineRule="exact"/>
        <w:rPr>
          <w:rFonts w:ascii="Arial" w:cs="Arial" w:eastAsia="Arial" w:hAnsi="Arial"/>
          <w:sz w:val="18"/>
          <w:szCs w:val="18"/>
          <w:color w:val="auto"/>
        </w:rPr>
      </w:pPr>
    </w:p>
    <w:p>
      <w:pPr>
        <w:ind w:left="980" w:hanging="324"/>
        <w:spacing w:after="0" w:line="260" w:lineRule="auto"/>
        <w:tabs>
          <w:tab w:leader="none" w:pos="980" w:val="left"/>
        </w:tabs>
        <w:numPr>
          <w:ilvl w:val="1"/>
          <w:numId w:val="116"/>
        </w:numPr>
        <w:rPr>
          <w:rFonts w:ascii="Arial" w:cs="Arial" w:eastAsia="Arial" w:hAnsi="Arial"/>
          <w:sz w:val="18"/>
          <w:szCs w:val="18"/>
          <w:color w:val="auto"/>
        </w:rPr>
      </w:pPr>
      <w:r>
        <w:rPr>
          <w:rFonts w:ascii="Arial" w:cs="Arial" w:eastAsia="Arial" w:hAnsi="Arial"/>
          <w:sz w:val="18"/>
          <w:szCs w:val="18"/>
          <w:color w:val="auto"/>
        </w:rPr>
        <w:t>It may irrevocably designate a debt instrument that meets the amortized cost or at FVOCI criteria as measured at FVTPL if doing so eliminates or significantly reduces an accounting mismatch.</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classifies all financial liabilities as subsequently measured at amortized cost, except for those liabilities designated as hedged items in qualifying fair value hedging relationships, which are measured at amortized cost adjusted for the hedge risk components associated to the hedging relationship.</w:t>
      </w:r>
    </w:p>
    <w:p>
      <w:pPr>
        <w:spacing w:after="0" w:line="184" w:lineRule="exact"/>
        <w:rPr>
          <w:sz w:val="20"/>
          <w:szCs w:val="20"/>
          <w:color w:val="auto"/>
        </w:rPr>
      </w:pPr>
    </w:p>
    <w:p>
      <w:pPr>
        <w:ind w:left="660" w:hanging="328"/>
        <w:spacing w:after="0"/>
        <w:tabs>
          <w:tab w:leader="none" w:pos="660" w:val="left"/>
        </w:tabs>
        <w:numPr>
          <w:ilvl w:val="0"/>
          <w:numId w:val="117"/>
        </w:numPr>
        <w:rPr>
          <w:rFonts w:ascii="Arial" w:cs="Arial" w:eastAsia="Arial" w:hAnsi="Arial"/>
          <w:sz w:val="18"/>
          <w:szCs w:val="18"/>
          <w:color w:val="auto"/>
        </w:rPr>
      </w:pPr>
      <w:r>
        <w:rPr>
          <w:rFonts w:ascii="Arial" w:cs="Arial" w:eastAsia="Arial" w:hAnsi="Arial"/>
          <w:sz w:val="18"/>
          <w:szCs w:val="18"/>
          <w:u w:val="single" w:color="auto"/>
          <w:color w:val="auto"/>
        </w:rPr>
        <w:t>Business model assessment</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assesses the objective of the business model in which the financial asset is held at a portfolio level, because this reflects the way the business is managed, and information is provided to management. The information considers the following:</w:t>
      </w:r>
    </w:p>
    <w:p>
      <w:pPr>
        <w:spacing w:after="0" w:line="170" w:lineRule="exact"/>
        <w:rPr>
          <w:sz w:val="20"/>
          <w:szCs w:val="20"/>
          <w:color w:val="auto"/>
        </w:rPr>
      </w:pPr>
    </w:p>
    <w:p>
      <w:pPr>
        <w:jc w:val="both"/>
        <w:ind w:left="980" w:hanging="324"/>
        <w:spacing w:after="0" w:line="286" w:lineRule="auto"/>
        <w:tabs>
          <w:tab w:leader="none" w:pos="980" w:val="left"/>
        </w:tabs>
        <w:numPr>
          <w:ilvl w:val="0"/>
          <w:numId w:val="118"/>
        </w:numPr>
        <w:rPr>
          <w:rFonts w:ascii="Arial" w:cs="Arial" w:eastAsia="Arial" w:hAnsi="Arial"/>
          <w:sz w:val="17"/>
          <w:szCs w:val="17"/>
          <w:color w:val="auto"/>
        </w:rPr>
      </w:pPr>
      <w:r>
        <w:rPr>
          <w:rFonts w:ascii="Arial" w:cs="Arial" w:eastAsia="Arial" w:hAnsi="Arial"/>
          <w:sz w:val="17"/>
          <w:szCs w:val="17"/>
          <w:color w:val="auto"/>
        </w:rPr>
        <w:t>The Bank’s policies and objectives for the portfolio and the operation of those policies in practice. In particular, if the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spacing w:after="0" w:line="165" w:lineRule="exact"/>
        <w:rPr>
          <w:rFonts w:ascii="Arial" w:cs="Arial" w:eastAsia="Arial" w:hAnsi="Arial"/>
          <w:sz w:val="17"/>
          <w:szCs w:val="17"/>
          <w:color w:val="auto"/>
        </w:rPr>
      </w:pPr>
    </w:p>
    <w:p>
      <w:pPr>
        <w:ind w:left="980" w:hanging="324"/>
        <w:spacing w:after="0"/>
        <w:tabs>
          <w:tab w:leader="none" w:pos="98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How the performance of the portfolio is evaluated and reported to the Bank’s management;</w:t>
      </w:r>
    </w:p>
    <w:p>
      <w:pPr>
        <w:spacing w:after="0" w:line="225" w:lineRule="exact"/>
        <w:rPr>
          <w:rFonts w:ascii="Arial" w:cs="Arial" w:eastAsia="Arial" w:hAnsi="Arial"/>
          <w:sz w:val="18"/>
          <w:szCs w:val="18"/>
          <w:color w:val="auto"/>
        </w:rPr>
      </w:pPr>
    </w:p>
    <w:p>
      <w:pPr>
        <w:ind w:left="980" w:hanging="324"/>
        <w:spacing w:after="0"/>
        <w:tabs>
          <w:tab w:leader="none" w:pos="98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risks that affect the performance of the business model and how those risks are managed;</w:t>
      </w:r>
    </w:p>
    <w:p>
      <w:pPr>
        <w:spacing w:after="0" w:line="225"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0"/>
          <w:numId w:val="118"/>
        </w:numPr>
        <w:rPr>
          <w:rFonts w:ascii="Arial" w:cs="Arial" w:eastAsia="Arial" w:hAnsi="Arial"/>
          <w:sz w:val="18"/>
          <w:szCs w:val="18"/>
          <w:color w:val="auto"/>
        </w:rPr>
      </w:pPr>
      <w:r>
        <w:rPr>
          <w:rFonts w:ascii="Arial" w:cs="Arial" w:eastAsia="Arial" w:hAnsi="Arial"/>
          <w:sz w:val="18"/>
          <w:szCs w:val="18"/>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Bank’s Commercial business comprises primarily the loan portfolio that is held for collecting contractual cash flows. Sales of loans from theses portfolios are very infrequent and of a low volume.</w:t>
      </w:r>
    </w:p>
    <w:p>
      <w:pPr>
        <w:spacing w:after="0" w:line="170"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Certain debt securities are held by the Bank’s Treasury business whose objective is to hold assets to collect the contractual cash flows. These securities may be sold, but such sales are not expected to be more than infrequent. Additionally, certain other debt securities are held in separate portfolios within a business model whose objective is achieved by both collecting contractual cash flows and selling financial assets. Accordingly, such sales are comprehensive rather than incidental and consequently implies a higher frequency and volume of sale.</w:t>
      </w:r>
    </w:p>
    <w:p>
      <w:pPr>
        <w:spacing w:after="0" w:line="17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An assessment of the business model for managing financial assets is fundamental to the classification of a financial asset. The Bank determines the business model at a level that reflects how financial asset groups are managed together to obtain a particular business objective. The business model does not depend on management’s intentions for an individual instrument; therefore, assessment of the business model is done at a higher level of aggregation rather than instrument by instrument.</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2" w:name="page153"/>
    <w:bookmarkEnd w:id="1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1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At the initial recognition of a financial asset, it is determined whether the newly recognized financial asset is part of an existing business model or whether it reflects the start of a new business model. The Bank reassesses its business model at each reporting date to determine whether business models have changed since the previous reporting date.</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the current and previous reporting periods, the Bank has not identified a change in its business models.</w:t>
      </w:r>
    </w:p>
    <w:p>
      <w:pPr>
        <w:spacing w:after="0" w:line="225" w:lineRule="exact"/>
        <w:rPr>
          <w:sz w:val="20"/>
          <w:szCs w:val="20"/>
          <w:color w:val="auto"/>
        </w:rPr>
      </w:pPr>
    </w:p>
    <w:p>
      <w:pPr>
        <w:ind w:left="660" w:hanging="328"/>
        <w:spacing w:after="0"/>
        <w:tabs>
          <w:tab w:leader="none" w:pos="660" w:val="left"/>
        </w:tabs>
        <w:numPr>
          <w:ilvl w:val="0"/>
          <w:numId w:val="120"/>
        </w:numPr>
        <w:rPr>
          <w:rFonts w:ascii="Arial" w:cs="Arial" w:eastAsia="Arial" w:hAnsi="Arial"/>
          <w:sz w:val="18"/>
          <w:szCs w:val="18"/>
          <w:color w:val="auto"/>
        </w:rPr>
      </w:pPr>
      <w:r>
        <w:rPr>
          <w:rFonts w:ascii="Arial" w:cs="Arial" w:eastAsia="Arial" w:hAnsi="Arial"/>
          <w:sz w:val="18"/>
          <w:szCs w:val="18"/>
          <w:u w:val="single" w:color="auto"/>
          <w:color w:val="auto"/>
        </w:rPr>
        <w:t>Assessment whether contractual cash flows are solely payments of principal and interest (SPPI)</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at a point in time and for other basic lending risks and costs as well as profit margin.</w:t>
      </w:r>
    </w:p>
    <w:p>
      <w:pPr>
        <w:spacing w:after="0" w:line="184"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Contractual cash flows that are SPPI are consistent with a basic credit agreement. Contractual terms that originate risk exposure or volatility in the contractual cash flows that are not related to a basic credit agreement, such as exposure to changes in equity prices or commodity prices, do not give rise to contractual cash flows that are SPPI. An originated or an acquired financial asset can be a basic credit arrangement irrespective of whether it is a credit in its legal form.</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assessing whether the contractual cash flows are SPPI, the Bank considers the contractual terms of the instrument. This includes assessing whether the financial asset contains a contractual term that could change the timing or amount of contractual cash flows, so that it would not meet this condition. In making the assessment, the Bank considers the following:</w:t>
      </w:r>
    </w:p>
    <w:p>
      <w:pPr>
        <w:spacing w:after="0" w:line="184" w:lineRule="exact"/>
        <w:rPr>
          <w:sz w:val="20"/>
          <w:szCs w:val="20"/>
          <w:color w:val="auto"/>
        </w:rPr>
      </w:pPr>
    </w:p>
    <w:p>
      <w:pPr>
        <w:ind w:left="900" w:hanging="244"/>
        <w:spacing w:after="0"/>
        <w:tabs>
          <w:tab w:leader="none" w:pos="900" w:val="left"/>
        </w:tabs>
        <w:numPr>
          <w:ilvl w:val="0"/>
          <w:numId w:val="121"/>
        </w:numPr>
        <w:rPr>
          <w:rFonts w:ascii="Arial" w:cs="Arial" w:eastAsia="Arial" w:hAnsi="Arial"/>
          <w:sz w:val="18"/>
          <w:szCs w:val="18"/>
          <w:color w:val="auto"/>
        </w:rPr>
      </w:pPr>
      <w:r>
        <w:rPr>
          <w:rFonts w:ascii="Arial" w:cs="Arial" w:eastAsia="Arial" w:hAnsi="Arial"/>
          <w:sz w:val="18"/>
          <w:szCs w:val="18"/>
          <w:color w:val="auto"/>
        </w:rPr>
        <w:t>Contingent events that would change the amount and timing of cash flows;</w:t>
      </w:r>
    </w:p>
    <w:p>
      <w:pPr>
        <w:spacing w:after="0" w:line="23" w:lineRule="exact"/>
        <w:rPr>
          <w:rFonts w:ascii="Arial" w:cs="Arial" w:eastAsia="Arial" w:hAnsi="Arial"/>
          <w:sz w:val="18"/>
          <w:szCs w:val="18"/>
          <w:color w:val="auto"/>
        </w:rPr>
      </w:pPr>
    </w:p>
    <w:p>
      <w:pPr>
        <w:ind w:left="900" w:hanging="244"/>
        <w:spacing w:after="0"/>
        <w:tabs>
          <w:tab w:leader="none" w:pos="900" w:val="left"/>
        </w:tabs>
        <w:numPr>
          <w:ilvl w:val="0"/>
          <w:numId w:val="121"/>
        </w:numPr>
        <w:rPr>
          <w:rFonts w:ascii="Arial" w:cs="Arial" w:eastAsia="Arial" w:hAnsi="Arial"/>
          <w:sz w:val="18"/>
          <w:szCs w:val="18"/>
          <w:color w:val="auto"/>
        </w:rPr>
      </w:pPr>
      <w:r>
        <w:rPr>
          <w:rFonts w:ascii="Arial" w:cs="Arial" w:eastAsia="Arial" w:hAnsi="Arial"/>
          <w:sz w:val="18"/>
          <w:szCs w:val="18"/>
          <w:color w:val="auto"/>
        </w:rPr>
        <w:t>Leverage features;</w:t>
      </w:r>
    </w:p>
    <w:p>
      <w:pPr>
        <w:spacing w:after="0" w:line="9" w:lineRule="exact"/>
        <w:rPr>
          <w:rFonts w:ascii="Arial" w:cs="Arial" w:eastAsia="Arial" w:hAnsi="Arial"/>
          <w:sz w:val="18"/>
          <w:szCs w:val="18"/>
          <w:color w:val="auto"/>
        </w:rPr>
      </w:pPr>
    </w:p>
    <w:p>
      <w:pPr>
        <w:ind w:left="900" w:hanging="244"/>
        <w:spacing w:after="0"/>
        <w:tabs>
          <w:tab w:leader="none" w:pos="900" w:val="left"/>
        </w:tabs>
        <w:numPr>
          <w:ilvl w:val="0"/>
          <w:numId w:val="121"/>
        </w:numPr>
        <w:rPr>
          <w:rFonts w:ascii="Arial" w:cs="Arial" w:eastAsia="Arial" w:hAnsi="Arial"/>
          <w:sz w:val="18"/>
          <w:szCs w:val="18"/>
          <w:color w:val="auto"/>
        </w:rPr>
      </w:pPr>
      <w:r>
        <w:rPr>
          <w:rFonts w:ascii="Arial" w:cs="Arial" w:eastAsia="Arial" w:hAnsi="Arial"/>
          <w:sz w:val="18"/>
          <w:szCs w:val="18"/>
          <w:color w:val="auto"/>
        </w:rPr>
        <w:t>Prepayment and extension terms;</w:t>
      </w:r>
    </w:p>
    <w:p>
      <w:pPr>
        <w:spacing w:after="0" w:line="9" w:lineRule="exact"/>
        <w:rPr>
          <w:rFonts w:ascii="Arial" w:cs="Arial" w:eastAsia="Arial" w:hAnsi="Arial"/>
          <w:sz w:val="18"/>
          <w:szCs w:val="18"/>
          <w:color w:val="auto"/>
        </w:rPr>
      </w:pPr>
    </w:p>
    <w:p>
      <w:pPr>
        <w:ind w:left="900" w:right="20" w:hanging="244"/>
        <w:spacing w:after="0" w:line="260" w:lineRule="auto"/>
        <w:tabs>
          <w:tab w:leader="none" w:pos="900" w:val="left"/>
        </w:tabs>
        <w:numPr>
          <w:ilvl w:val="0"/>
          <w:numId w:val="121"/>
        </w:numPr>
        <w:rPr>
          <w:rFonts w:ascii="Arial" w:cs="Arial" w:eastAsia="Arial" w:hAnsi="Arial"/>
          <w:sz w:val="18"/>
          <w:szCs w:val="18"/>
          <w:color w:val="auto"/>
        </w:rPr>
      </w:pPr>
      <w:r>
        <w:rPr>
          <w:rFonts w:ascii="Arial" w:cs="Arial" w:eastAsia="Arial" w:hAnsi="Arial"/>
          <w:sz w:val="18"/>
          <w:szCs w:val="18"/>
          <w:color w:val="auto"/>
        </w:rPr>
        <w:t>Terms that limit the Bank’s claim to cash flows from specified assets (e.g. non-recourse asset arrangements); and features that modify consideration of the time value of money (e.g. periodical reset of interest rates).</w:t>
      </w:r>
    </w:p>
    <w:p>
      <w:pPr>
        <w:spacing w:after="0" w:line="18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measures it’s financial assets and liabilities at fair value through profit or loss, when the assessment of the financial instrument’s contractual terms and the cash flows derived from it determines that the SPPI criteria is not meet for its classification at amortized cost or at fair value through other comprehensive income.</w:t>
      </w:r>
    </w:p>
    <w:p>
      <w:pPr>
        <w:spacing w:after="0" w:line="184" w:lineRule="exact"/>
        <w:rPr>
          <w:sz w:val="20"/>
          <w:szCs w:val="20"/>
          <w:color w:val="auto"/>
        </w:rPr>
      </w:pPr>
    </w:p>
    <w:p>
      <w:pPr>
        <w:ind w:left="660" w:hanging="328"/>
        <w:spacing w:after="0"/>
        <w:tabs>
          <w:tab w:leader="none" w:pos="660" w:val="left"/>
        </w:tabs>
        <w:numPr>
          <w:ilvl w:val="0"/>
          <w:numId w:val="122"/>
        </w:numPr>
        <w:rPr>
          <w:rFonts w:ascii="Arial" w:cs="Arial" w:eastAsia="Arial" w:hAnsi="Arial"/>
          <w:sz w:val="18"/>
          <w:szCs w:val="18"/>
          <w:color w:val="auto"/>
        </w:rPr>
      </w:pPr>
      <w:r>
        <w:rPr>
          <w:rFonts w:ascii="Arial" w:cs="Arial" w:eastAsia="Arial" w:hAnsi="Arial"/>
          <w:sz w:val="18"/>
          <w:szCs w:val="18"/>
          <w:u w:val="single" w:color="auto"/>
          <w:color w:val="auto"/>
        </w:rPr>
        <w:t>Reclassification</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If the business model under which the Bank holds financial assets changes, the financial assets affected are reclassified. The classification and measurement requirements related to the new category apply prospectively from the first day of the first reporting period following the change in business model that results in reclassifying the Bank’s financial assets.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current fiscal year and previous accounting period there was no change in the business models under which the Bank holds financial assets and therefore no reclassifications were made. Changes in contractual cash flows are considered under the accounting policy on modification and derecognition of financial assets described in the following paragraphs.</w:t>
      </w:r>
    </w:p>
    <w:p>
      <w:pPr>
        <w:spacing w:after="0" w:line="184" w:lineRule="exact"/>
        <w:rPr>
          <w:sz w:val="20"/>
          <w:szCs w:val="20"/>
          <w:color w:val="auto"/>
        </w:rPr>
      </w:pPr>
    </w:p>
    <w:p>
      <w:pPr>
        <w:ind w:left="660" w:hanging="328"/>
        <w:spacing w:after="0"/>
        <w:tabs>
          <w:tab w:leader="none" w:pos="660" w:val="left"/>
        </w:tabs>
        <w:numPr>
          <w:ilvl w:val="0"/>
          <w:numId w:val="123"/>
        </w:numPr>
        <w:rPr>
          <w:rFonts w:ascii="Arial" w:cs="Arial" w:eastAsia="Arial" w:hAnsi="Arial"/>
          <w:sz w:val="18"/>
          <w:szCs w:val="18"/>
          <w:color w:val="auto"/>
        </w:rPr>
      </w:pPr>
      <w:r>
        <w:rPr>
          <w:rFonts w:ascii="Arial" w:cs="Arial" w:eastAsia="Arial" w:hAnsi="Arial"/>
          <w:sz w:val="18"/>
          <w:szCs w:val="18"/>
          <w:u w:val="single" w:color="auto"/>
          <w:color w:val="auto"/>
        </w:rPr>
        <w:t>Derecognition of financial assets and financial liabilities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financial asset (or, where applicable, a part of a financial asset or part of a group of similar financial assets) is derecognized when:</w:t>
      </w:r>
    </w:p>
    <w:p>
      <w:pPr>
        <w:spacing w:after="0" w:line="225" w:lineRule="exact"/>
        <w:rPr>
          <w:sz w:val="20"/>
          <w:szCs w:val="20"/>
          <w:color w:val="auto"/>
        </w:rPr>
      </w:pPr>
    </w:p>
    <w:p>
      <w:pPr>
        <w:ind w:left="900" w:hanging="244"/>
        <w:spacing w:after="0"/>
        <w:tabs>
          <w:tab w:leader="none" w:pos="900" w:val="left"/>
        </w:tabs>
        <w:numPr>
          <w:ilvl w:val="0"/>
          <w:numId w:val="124"/>
        </w:numPr>
        <w:rPr>
          <w:rFonts w:ascii="Arial" w:cs="Arial" w:eastAsia="Arial" w:hAnsi="Arial"/>
          <w:sz w:val="18"/>
          <w:szCs w:val="18"/>
          <w:color w:val="auto"/>
        </w:rPr>
      </w:pPr>
      <w:r>
        <w:rPr>
          <w:rFonts w:ascii="Arial" w:cs="Arial" w:eastAsia="Arial" w:hAnsi="Arial"/>
          <w:sz w:val="18"/>
          <w:szCs w:val="18"/>
          <w:color w:val="auto"/>
        </w:rPr>
        <w:t>The rights to receive cash flows from the asset have expired.</w:t>
      </w:r>
    </w:p>
    <w:p>
      <w:pPr>
        <w:spacing w:after="0" w:line="23" w:lineRule="exact"/>
        <w:rPr>
          <w:rFonts w:ascii="Arial" w:cs="Arial" w:eastAsia="Arial" w:hAnsi="Arial"/>
          <w:sz w:val="18"/>
          <w:szCs w:val="18"/>
          <w:color w:val="auto"/>
        </w:rPr>
      </w:pPr>
    </w:p>
    <w:p>
      <w:pPr>
        <w:ind w:left="900" w:hanging="244"/>
        <w:spacing w:after="0" w:line="265" w:lineRule="auto"/>
        <w:tabs>
          <w:tab w:leader="none" w:pos="900" w:val="left"/>
        </w:tabs>
        <w:numPr>
          <w:ilvl w:val="0"/>
          <w:numId w:val="124"/>
        </w:numPr>
        <w:rPr>
          <w:rFonts w:ascii="Arial" w:cs="Arial" w:eastAsia="Arial" w:hAnsi="Arial"/>
          <w:sz w:val="17"/>
          <w:szCs w:val="17"/>
          <w:color w:val="auto"/>
        </w:rPr>
      </w:pPr>
      <w:r>
        <w:rPr>
          <w:rFonts w:ascii="Arial" w:cs="Arial" w:eastAsia="Arial" w:hAnsi="Arial"/>
          <w:sz w:val="17"/>
          <w:szCs w:val="17"/>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ind w:left="900" w:hanging="244"/>
        <w:spacing w:after="0" w:line="260" w:lineRule="auto"/>
        <w:tabs>
          <w:tab w:leader="none" w:pos="900" w:val="left"/>
        </w:tabs>
        <w:numPr>
          <w:ilvl w:val="0"/>
          <w:numId w:val="124"/>
        </w:numPr>
        <w:rPr>
          <w:rFonts w:ascii="Arial" w:cs="Arial" w:eastAsia="Arial" w:hAnsi="Arial"/>
          <w:sz w:val="18"/>
          <w:szCs w:val="18"/>
          <w:color w:val="auto"/>
        </w:rPr>
      </w:pPr>
      <w:r>
        <w:rPr>
          <w:rFonts w:ascii="Arial" w:cs="Arial" w:eastAsia="Arial" w:hAnsi="Arial"/>
          <w:sz w:val="18"/>
          <w:szCs w:val="18"/>
          <w:color w:val="auto"/>
        </w:rPr>
        <w:t>The Bank retains the right to receive cash flows from the asset but has assumed an obligation to pay the received cash flows in full without material delay to a third party under a ‘pass–through’ arrangement.</w:t>
      </w:r>
    </w:p>
    <w:p>
      <w:pPr>
        <w:spacing w:after="0" w:line="18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3" w:name="page154"/>
    <w:bookmarkEnd w:id="1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2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126"/>
        </w:numPr>
        <w:rPr>
          <w:rFonts w:ascii="Arial" w:cs="Arial" w:eastAsia="Arial" w:hAnsi="Arial"/>
          <w:sz w:val="18"/>
          <w:szCs w:val="18"/>
          <w:color w:val="auto"/>
        </w:rPr>
      </w:pPr>
      <w:r>
        <w:rPr>
          <w:rFonts w:ascii="Arial" w:cs="Arial" w:eastAsia="Arial" w:hAnsi="Arial"/>
          <w:sz w:val="18"/>
          <w:szCs w:val="18"/>
          <w:u w:val="single" w:color="auto"/>
          <w:color w:val="auto"/>
        </w:rPr>
        <w:t>Derecognition of financial assets and financial liabilities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 (continued)</w:t>
      </w:r>
    </w:p>
    <w:p>
      <w:pPr>
        <w:spacing w:after="0" w:line="225" w:lineRule="exact"/>
        <w:rPr>
          <w:sz w:val="20"/>
          <w:szCs w:val="20"/>
          <w:color w:val="auto"/>
        </w:rPr>
      </w:pPr>
    </w:p>
    <w:p>
      <w:pPr>
        <w:jc w:val="both"/>
        <w:ind w:left="900" w:hanging="244"/>
        <w:spacing w:after="0" w:line="301" w:lineRule="auto"/>
        <w:tabs>
          <w:tab w:leader="none" w:pos="900" w:val="left"/>
        </w:tabs>
        <w:numPr>
          <w:ilvl w:val="0"/>
          <w:numId w:val="127"/>
        </w:numPr>
        <w:rPr>
          <w:rFonts w:ascii="Arial" w:cs="Arial" w:eastAsia="Arial" w:hAnsi="Arial"/>
          <w:sz w:val="16"/>
          <w:szCs w:val="16"/>
          <w:color w:val="auto"/>
        </w:rPr>
      </w:pPr>
      <w:r>
        <w:rPr>
          <w:rFonts w:ascii="Arial" w:cs="Arial" w:eastAsia="Arial" w:hAnsi="Arial"/>
          <w:sz w:val="16"/>
          <w:szCs w:val="16"/>
          <w:color w:val="auto"/>
        </w:rPr>
        <w:t>When the Bank has transferred its rights to receive cash flows from an asset or has entered into a pass–through arrangement and has neither transferred nor retained substantially all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57" w:lineRule="exact"/>
        <w:rPr>
          <w:sz w:val="20"/>
          <w:szCs w:val="20"/>
          <w:color w:val="auto"/>
        </w:rPr>
      </w:pPr>
    </w:p>
    <w:p>
      <w:pPr>
        <w:jc w:val="both"/>
        <w:ind w:left="320"/>
        <w:spacing w:after="0" w:line="311" w:lineRule="auto"/>
        <w:rPr>
          <w:sz w:val="20"/>
          <w:szCs w:val="20"/>
          <w:color w:val="auto"/>
        </w:rPr>
      </w:pPr>
      <w:r>
        <w:rPr>
          <w:rFonts w:ascii="Arial" w:cs="Arial" w:eastAsia="Arial" w:hAnsi="Arial"/>
          <w:sz w:val="16"/>
          <w:szCs w:val="16"/>
          <w:color w:val="auto"/>
        </w:rPr>
        <w:t>The Bank assesses the transfer of risks and benefits by comparing the entity’s exposure, before and after the transfer, with the variation in the amounts and timing of the net cash flows of the transferred asset; additionally, the continued participation in a transferred financial asset is measured by the lowest value between the original carrying amount of the asset and the maximum amount of consideration that the Bank could be required to pay.</w:t>
      </w:r>
    </w:p>
    <w:p>
      <w:pPr>
        <w:spacing w:after="0" w:line="149" w:lineRule="exact"/>
        <w:rPr>
          <w:sz w:val="20"/>
          <w:szCs w:val="20"/>
          <w:color w:val="auto"/>
        </w:rPr>
      </w:pPr>
    </w:p>
    <w:p>
      <w:pPr>
        <w:jc w:val="both"/>
        <w:ind w:left="320"/>
        <w:spacing w:after="0" w:line="308" w:lineRule="auto"/>
        <w:rPr>
          <w:sz w:val="20"/>
          <w:szCs w:val="20"/>
          <w:color w:val="auto"/>
        </w:rPr>
      </w:pPr>
      <w:r>
        <w:rPr>
          <w:rFonts w:ascii="Arial" w:cs="Arial" w:eastAsia="Arial" w:hAnsi="Arial"/>
          <w:sz w:val="17"/>
          <w:szCs w:val="17"/>
          <w:color w:val="auto"/>
        </w:rPr>
        <w:t>In derecognizing the financial asset, allowance for losses are deducted from the gross carrying amount of the financial asset; any accumulated gain or loss that has been recognised in other comprehensive income is recognised in the consolidated statement of profit or loss.</w:t>
      </w:r>
    </w:p>
    <w:p>
      <w:pPr>
        <w:spacing w:after="0" w:line="14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Any accumulated gain or loss recognized in other comprehensive income regarding equity instruments designated at fair value with changes in other comprehensive income is not recognized in the consolidated statement of profit or loss. Any interest in the transfer of a financial assets that qualifies for derecognition, booked or held by the Bank is recognized as a separate asset or liability.</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enters into transactions whereby it transfers assets recognized on its consolidated statement of financial position but retains either all or substantially all the risks and rewards of the transferred asset or a portion of them. In such cases, the transferred assets are not derecognized. Examples of such transactions are securities lending and sale-and-repurchase transactions.</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liabilities</w:t>
      </w:r>
    </w:p>
    <w:p>
      <w:pPr>
        <w:spacing w:after="0" w:line="225"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 financial liability is derecognized when the obligation under the liability is extinguished, when the obligation specified in the contract is discharged or cancelled or expires.</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Where an existing financial liability is replaced by another from the same lender on substantially different terms, or the terms of an existing liability are substantially modified, such an exchange or modification is treated as an extinguishment of the original liability and the recognition of a new liability.</w:t>
      </w:r>
    </w:p>
    <w:p>
      <w:pPr>
        <w:spacing w:after="0" w:line="18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difference between the carrying value of the original financial liability and the consideration paid, including any non-cash assets transferred or liabilities assumed, is recognized in profit or loss.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4" w:name="page155"/>
    <w:bookmarkEnd w:id="1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2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8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ind w:left="660" w:hanging="328"/>
        <w:spacing w:after="0"/>
        <w:tabs>
          <w:tab w:leader="none" w:pos="660" w:val="left"/>
        </w:tabs>
        <w:numPr>
          <w:ilvl w:val="0"/>
          <w:numId w:val="129"/>
        </w:numPr>
        <w:rPr>
          <w:rFonts w:ascii="Arial" w:cs="Arial" w:eastAsia="Arial" w:hAnsi="Arial"/>
          <w:sz w:val="18"/>
          <w:szCs w:val="18"/>
          <w:color w:val="auto"/>
        </w:rPr>
      </w:pPr>
      <w:r>
        <w:rPr>
          <w:rFonts w:ascii="Arial" w:cs="Arial" w:eastAsia="Arial" w:hAnsi="Arial"/>
          <w:sz w:val="18"/>
          <w:szCs w:val="18"/>
          <w:u w:val="single" w:color="auto"/>
          <w:color w:val="auto"/>
        </w:rPr>
        <w:t>Modified financial asset or liability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Financial assets</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A modified financial asset is an instrument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financial asset or accrued interest, among others.</w:t>
      </w:r>
    </w:p>
    <w:p>
      <w:pPr>
        <w:spacing w:after="0" w:line="16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84" w:lineRule="exact"/>
        <w:rPr>
          <w:sz w:val="20"/>
          <w:szCs w:val="20"/>
          <w:color w:val="auto"/>
        </w:rPr>
      </w:pPr>
    </w:p>
    <w:p>
      <w:pPr>
        <w:ind w:left="980" w:hanging="324"/>
        <w:spacing w:after="0" w:line="274" w:lineRule="auto"/>
        <w:tabs>
          <w:tab w:leader="none" w:pos="980" w:val="left"/>
        </w:tabs>
        <w:numPr>
          <w:ilvl w:val="0"/>
          <w:numId w:val="130"/>
        </w:numPr>
        <w:rPr>
          <w:rFonts w:ascii="Arial" w:cs="Arial" w:eastAsia="Arial" w:hAnsi="Arial"/>
          <w:sz w:val="17"/>
          <w:szCs w:val="17"/>
          <w:color w:val="auto"/>
        </w:rPr>
      </w:pPr>
      <w:r>
        <w:rPr>
          <w:rFonts w:ascii="Arial" w:cs="Arial" w:eastAsia="Arial" w:hAnsi="Arial"/>
          <w:sz w:val="17"/>
          <w:szCs w:val="17"/>
          <w:color w:val="auto"/>
        </w:rPr>
        <w:t>Qualitative factors, such as contractual cash flows after modification are no longer SPPI, change in currency or change of counterparty, the extent of change in interest rates, maturity or covenants. If these do not clearly indicate a substantial modification, then;</w:t>
      </w:r>
    </w:p>
    <w:p>
      <w:pPr>
        <w:ind w:left="980" w:hanging="324"/>
        <w:spacing w:after="0" w:line="260" w:lineRule="auto"/>
        <w:tabs>
          <w:tab w:leader="none" w:pos="980" w:val="left"/>
        </w:tabs>
        <w:numPr>
          <w:ilvl w:val="0"/>
          <w:numId w:val="130"/>
        </w:numPr>
        <w:rPr>
          <w:rFonts w:ascii="Arial" w:cs="Arial" w:eastAsia="Arial" w:hAnsi="Arial"/>
          <w:sz w:val="18"/>
          <w:szCs w:val="18"/>
          <w:color w:val="auto"/>
        </w:rPr>
      </w:pPr>
      <w:r>
        <w:rPr>
          <w:rFonts w:ascii="Arial" w:cs="Arial" w:eastAsia="Arial" w:hAnsi="Arial"/>
          <w:sz w:val="18"/>
          <w:szCs w:val="18"/>
          <w:color w:val="auto"/>
        </w:rPr>
        <w:t>A quantitative assessment is performed to compare the present value of the remaining contractual cash flows according to the original terms with the contractual cash flows of the revised terms; both amounts discounted at the original effective interest.</w:t>
      </w:r>
    </w:p>
    <w:p>
      <w:pPr>
        <w:spacing w:after="0" w:line="185" w:lineRule="exact"/>
        <w:rPr>
          <w:sz w:val="20"/>
          <w:szCs w:val="20"/>
          <w:color w:val="auto"/>
        </w:rPr>
      </w:pPr>
    </w:p>
    <w:p>
      <w:pPr>
        <w:ind w:left="260" w:right="80"/>
        <w:spacing w:after="0" w:line="277" w:lineRule="auto"/>
        <w:rPr>
          <w:sz w:val="20"/>
          <w:szCs w:val="20"/>
          <w:color w:val="auto"/>
        </w:rPr>
      </w:pPr>
      <w:r>
        <w:rPr>
          <w:rFonts w:ascii="Arial" w:cs="Arial" w:eastAsia="Arial" w:hAnsi="Arial"/>
          <w:sz w:val="18"/>
          <w:szCs w:val="18"/>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70" w:lineRule="exact"/>
        <w:rPr>
          <w:sz w:val="20"/>
          <w:szCs w:val="20"/>
          <w:color w:val="auto"/>
        </w:rPr>
      </w:pPr>
    </w:p>
    <w:p>
      <w:pPr>
        <w:ind w:left="1020" w:hanging="324"/>
        <w:spacing w:after="0"/>
        <w:tabs>
          <w:tab w:leader="none" w:pos="1020" w:val="left"/>
        </w:tabs>
        <w:numPr>
          <w:ilvl w:val="0"/>
          <w:numId w:val="131"/>
        </w:numPr>
        <w:rPr>
          <w:rFonts w:ascii="Arial" w:cs="Arial" w:eastAsia="Arial" w:hAnsi="Arial"/>
          <w:sz w:val="17"/>
          <w:szCs w:val="17"/>
          <w:color w:val="auto"/>
        </w:rPr>
      </w:pPr>
      <w:r>
        <w:rPr>
          <w:rFonts w:ascii="Arial" w:cs="Arial" w:eastAsia="Arial" w:hAnsi="Arial"/>
          <w:sz w:val="17"/>
          <w:szCs w:val="17"/>
          <w:color w:val="auto"/>
        </w:rPr>
        <w:t>The remaining lifetime probability of default (PD) estimated based on data at initial recognition and the original contractual terms; with</w:t>
      </w:r>
    </w:p>
    <w:p>
      <w:pPr>
        <w:spacing w:after="0" w:line="34" w:lineRule="exact"/>
        <w:rPr>
          <w:rFonts w:ascii="Arial" w:cs="Arial" w:eastAsia="Arial" w:hAnsi="Arial"/>
          <w:sz w:val="17"/>
          <w:szCs w:val="17"/>
          <w:color w:val="auto"/>
        </w:rPr>
      </w:pPr>
    </w:p>
    <w:p>
      <w:pPr>
        <w:ind w:left="1020" w:hanging="324"/>
        <w:spacing w:after="0"/>
        <w:tabs>
          <w:tab w:leader="none" w:pos="1020" w:val="left"/>
        </w:tabs>
        <w:numPr>
          <w:ilvl w:val="0"/>
          <w:numId w:val="131"/>
        </w:numPr>
        <w:rPr>
          <w:rFonts w:ascii="Arial" w:cs="Arial" w:eastAsia="Arial" w:hAnsi="Arial"/>
          <w:sz w:val="18"/>
          <w:szCs w:val="18"/>
          <w:color w:val="auto"/>
        </w:rPr>
      </w:pPr>
      <w:r>
        <w:rPr>
          <w:rFonts w:ascii="Arial" w:cs="Arial" w:eastAsia="Arial" w:hAnsi="Arial"/>
          <w:sz w:val="18"/>
          <w:szCs w:val="18"/>
          <w:color w:val="auto"/>
        </w:rPr>
        <w:t>The remaining lifetime PD at the reporting date based on the modified terms.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 the renegotiation or modification of the contractual cash flows of the financial asset, the Bank shall:</w:t>
      </w:r>
    </w:p>
    <w:p>
      <w:pPr>
        <w:spacing w:after="0" w:line="225" w:lineRule="exact"/>
        <w:rPr>
          <w:sz w:val="20"/>
          <w:szCs w:val="20"/>
          <w:color w:val="auto"/>
        </w:rPr>
      </w:pPr>
    </w:p>
    <w:p>
      <w:pPr>
        <w:ind w:left="1060" w:hanging="323"/>
        <w:spacing w:after="0"/>
        <w:tabs>
          <w:tab w:leader="none" w:pos="1060" w:val="left"/>
        </w:tabs>
        <w:numPr>
          <w:ilvl w:val="0"/>
          <w:numId w:val="132"/>
        </w:numPr>
        <w:rPr>
          <w:rFonts w:ascii="Arial" w:cs="Arial" w:eastAsia="Arial" w:hAnsi="Arial"/>
          <w:sz w:val="18"/>
          <w:szCs w:val="18"/>
          <w:color w:val="auto"/>
        </w:rPr>
      </w:pPr>
      <w:r>
        <w:rPr>
          <w:rFonts w:ascii="Arial" w:cs="Arial" w:eastAsia="Arial" w:hAnsi="Arial"/>
          <w:sz w:val="18"/>
          <w:szCs w:val="18"/>
          <w:color w:val="auto"/>
        </w:rPr>
        <w:t>Continue with its current accounting treatment for the existing financial asset that has been modified.</w:t>
      </w:r>
    </w:p>
    <w:p>
      <w:pPr>
        <w:spacing w:after="0" w:line="23" w:lineRule="exact"/>
        <w:rPr>
          <w:rFonts w:ascii="Arial" w:cs="Arial" w:eastAsia="Arial" w:hAnsi="Arial"/>
          <w:sz w:val="18"/>
          <w:szCs w:val="18"/>
          <w:color w:val="auto"/>
        </w:rPr>
      </w:pPr>
    </w:p>
    <w:p>
      <w:pPr>
        <w:ind w:left="1060" w:hanging="323"/>
        <w:spacing w:after="0" w:line="250" w:lineRule="auto"/>
        <w:tabs>
          <w:tab w:leader="none" w:pos="1060" w:val="left"/>
        </w:tabs>
        <w:numPr>
          <w:ilvl w:val="0"/>
          <w:numId w:val="132"/>
        </w:numPr>
        <w:rPr>
          <w:rFonts w:ascii="Arial" w:cs="Arial" w:eastAsia="Arial" w:hAnsi="Arial"/>
          <w:sz w:val="18"/>
          <w:szCs w:val="18"/>
          <w:color w:val="auto"/>
        </w:rPr>
      </w:pPr>
      <w:r>
        <w:rPr>
          <w:rFonts w:ascii="Arial" w:cs="Arial" w:eastAsia="Arial" w:hAnsi="Arial"/>
          <w:sz w:val="18"/>
          <w:szCs w:val="18"/>
          <w:color w:val="auto"/>
        </w:rPr>
        <w:t>Record a modification gain or loss by recalculating the gross carrying amount of the financial asset as the present value of the renegotiated or modified contractual cash flows, discounted at the financial asset’s original effective interest rate.</w:t>
      </w:r>
    </w:p>
    <w:p>
      <w:pPr>
        <w:jc w:val="both"/>
        <w:ind w:left="1060" w:hanging="323"/>
        <w:spacing w:after="0" w:line="281" w:lineRule="auto"/>
        <w:tabs>
          <w:tab w:leader="none" w:pos="1060" w:val="left"/>
        </w:tabs>
        <w:numPr>
          <w:ilvl w:val="0"/>
          <w:numId w:val="132"/>
        </w:numPr>
        <w:rPr>
          <w:rFonts w:ascii="Arial" w:cs="Arial" w:eastAsia="Arial" w:hAnsi="Arial"/>
          <w:sz w:val="16"/>
          <w:szCs w:val="16"/>
          <w:color w:val="auto"/>
        </w:rPr>
      </w:pPr>
      <w:r>
        <w:rPr>
          <w:rFonts w:ascii="Arial" w:cs="Arial" w:eastAsia="Arial" w:hAnsi="Arial"/>
          <w:sz w:val="16"/>
          <w:szCs w:val="16"/>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financial asset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4" w:lineRule="exact"/>
        <w:rPr>
          <w:rFonts w:ascii="Arial" w:cs="Arial" w:eastAsia="Arial" w:hAnsi="Arial"/>
          <w:sz w:val="16"/>
          <w:szCs w:val="16"/>
          <w:color w:val="auto"/>
        </w:rPr>
      </w:pPr>
    </w:p>
    <w:p>
      <w:pPr>
        <w:jc w:val="both"/>
        <w:ind w:left="1060" w:hanging="323"/>
        <w:spacing w:after="0" w:line="255" w:lineRule="auto"/>
        <w:tabs>
          <w:tab w:leader="none" w:pos="1060" w:val="left"/>
        </w:tabs>
        <w:numPr>
          <w:ilvl w:val="0"/>
          <w:numId w:val="132"/>
        </w:numPr>
        <w:rPr>
          <w:rFonts w:ascii="Arial" w:cs="Arial" w:eastAsia="Arial" w:hAnsi="Arial"/>
          <w:sz w:val="18"/>
          <w:szCs w:val="18"/>
          <w:color w:val="auto"/>
        </w:rPr>
      </w:pPr>
      <w:r>
        <w:rPr>
          <w:rFonts w:ascii="Arial" w:cs="Arial" w:eastAsia="Arial" w:hAnsi="Arial"/>
          <w:sz w:val="18"/>
          <w:szCs w:val="18"/>
          <w:color w:val="auto"/>
        </w:rPr>
        <w:t>Make the appropriate quantitative and qualitative disclosures required for renegotiated or modified assets to reflect the nature and the effect of such modifications (including the effect on the measurement of expected credit losses) and how the Bank monitors these financial assets that have been modified.</w:t>
      </w:r>
    </w:p>
    <w:p>
      <w:pPr>
        <w:spacing w:after="0" w:line="19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recognizes a loss allowance for expected credit losses on a financial asset that is measured at amortized cost at each reporting date at an amount equal to the lifetime expected credit losses if the credit risk on that financial asset has increased significantly since initial recognition. If at the reporting date, the credit risk of that financial asset has not increased significantly since initial recognition, an entity shall measure the loss allowance for that financial asset at an amount equal to 12-month expected credit losses.</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5" w:name="page156"/>
    <w:bookmarkEnd w:id="1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3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jc w:val="both"/>
        <w:ind w:left="32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When the modification of a financial asset results in the derecognition of an existing financial asset and the subsequent recognition of a modified financial asset, the modified asset is considered a new financial asset, at the time of derecognition, the reserve for expected credit losses (ECL) is recalculated to determine the net carrying value of the asset at that date. The new financial asset will have an allowance for losses measured based on 12-month for expected credit losses except for rare cases where the new financial asset is considered to be impaired, because a high risk of default remains, which has not been reduced in the modification. The Bank monitors the credit risk of the modified or renegotiated financial assets by assessing qualitative and quantitative information, considering them in the same way as customers with expired status under new terms.</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Financial Liabilities</w:t>
      </w:r>
    </w:p>
    <w:p>
      <w:pPr>
        <w:spacing w:after="0" w:line="225" w:lineRule="exact"/>
        <w:rPr>
          <w:rFonts w:ascii="Arial" w:cs="Arial" w:eastAsia="Arial" w:hAnsi="Arial"/>
          <w:sz w:val="18"/>
          <w:szCs w:val="18"/>
          <w:b w:val="1"/>
          <w:bCs w:val="1"/>
          <w:color w:val="auto"/>
        </w:rPr>
      </w:pPr>
    </w:p>
    <w:p>
      <w:pPr>
        <w:jc w:val="both"/>
        <w:ind w:left="32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derecognizes a financial liability when its terms are modified, and the cash flows of the modified liability are substantially different. The Bank considers that the terms of a modified financial liability are substantially different if the present value of the cash flows under the new terms, including any fees paid net of any fees received, discounted at the original effective interest rate presents a difference greater than 10% of the discounted present value of the cash flows still remaining from the original financial liability.</w:t>
      </w:r>
    </w:p>
    <w:p>
      <w:pPr>
        <w:spacing w:after="0" w:line="18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this case, a new financial liability based on the modified terms is recognized at fair value. The difference between the carrying amount of the financial liability derecognized, and the consideration paid, is recognized in profit or loss. Consideration paid includes non-financial assets transferred, if any, and the assumption of liabilities, including the new modified financial liability.</w:t>
      </w:r>
    </w:p>
    <w:p>
      <w:pPr>
        <w:spacing w:after="0" w:line="183"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If the modification of a financial liability is not accounted for as derecognition, then the amortized cost of the liability is recalculated by discounting the modified cash flows at the original effective interest rate and the resulting gain or loss is recognized in the consolidated financial statement of profit or loss. For floating-rate financial liabilities, the original effective interest rate used to calculate the modification gain or loss is adjusted to reflect current market terms at the time of the modification. Any costs and fees incurred are recognized as an adjustment to the carrying amount of the liability and amortized over the remaining term of the modified financial liability by re-computing the effective interest rate on the instrument.</w:t>
      </w:r>
    </w:p>
    <w:p>
      <w:pPr>
        <w:spacing w:after="0" w:line="161" w:lineRule="exact"/>
        <w:rPr>
          <w:sz w:val="20"/>
          <w:szCs w:val="20"/>
          <w:color w:val="auto"/>
        </w:rPr>
      </w:pPr>
    </w:p>
    <w:p>
      <w:pPr>
        <w:ind w:left="660" w:hanging="328"/>
        <w:spacing w:after="0"/>
        <w:tabs>
          <w:tab w:leader="none" w:pos="660" w:val="left"/>
        </w:tabs>
        <w:numPr>
          <w:ilvl w:val="0"/>
          <w:numId w:val="134"/>
        </w:numPr>
        <w:rPr>
          <w:rFonts w:ascii="Arial" w:cs="Arial" w:eastAsia="Arial" w:hAnsi="Arial"/>
          <w:sz w:val="18"/>
          <w:szCs w:val="18"/>
          <w:color w:val="auto"/>
        </w:rPr>
      </w:pPr>
      <w:r>
        <w:rPr>
          <w:rFonts w:ascii="Arial" w:cs="Arial" w:eastAsia="Arial" w:hAnsi="Arial"/>
          <w:sz w:val="18"/>
          <w:szCs w:val="18"/>
          <w:u w:val="single" w:color="auto"/>
          <w:color w:val="auto"/>
        </w:rPr>
        <w:t>Offsetting</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Financial assets and financial liabilities are offset and the net amount presented in the statement of financial position when, and only when, the Bank currently has a legally enforceable right to set off the amounts and it intends either to settle them on a net basis or to realize the asset and settle the liability simultaneously. Generally, this is not the case with a contractual compensation agreement; therefore, related assets and liabilities are presented with their gross amounts in the consolidated statement of financial position.</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Income and expenses are presented on a net basis only when permitted under IFRS Standards, or for gains and losses arising from a group of similar transactions.</w:t>
      </w:r>
    </w:p>
    <w:p>
      <w:pPr>
        <w:spacing w:after="0" w:line="170" w:lineRule="exact"/>
        <w:rPr>
          <w:sz w:val="20"/>
          <w:szCs w:val="20"/>
          <w:color w:val="auto"/>
        </w:rPr>
      </w:pPr>
    </w:p>
    <w:p>
      <w:pPr>
        <w:ind w:left="660" w:hanging="328"/>
        <w:spacing w:after="0"/>
        <w:tabs>
          <w:tab w:leader="none" w:pos="660" w:val="left"/>
        </w:tabs>
        <w:numPr>
          <w:ilvl w:val="0"/>
          <w:numId w:val="135"/>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is the price that would be received to sell an asset or paid to transfer a liability in an orderly transaction, between market participants at the measurement date or, in its absence, the most advantageous market to which the Bank has access at that date. The fair value of a liability reflects its non-performance risk.</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one is available, the Bank measures the fair value of an instrument using the quoted price in an active market for that instrument. A market is regarded as “active” if transactions for the asset or liability take place with sufficient frequency and volume to provide pricing information on an ongoing basis.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If there is no quoted price in an active market, then the Bank uses valuation techniques that maximize the use of relevant observable inputs and minimize the use of unobservable inputs. The chosen valuation technique incorporates all of the factors that market participants would take into account in pricing a transaction.</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6" w:name="page157"/>
    <w:bookmarkEnd w:id="1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3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best evidence of the fair value of a financial instrument on initial recognition is normally the transaction price – i.e. the fair value of the consideration given or received.</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 recognizes transfers between levels of the fair value hierarchy as of the end of the reporting period during which the change has occurred.</w:t>
      </w:r>
    </w:p>
    <w:p>
      <w:pPr>
        <w:spacing w:after="0" w:line="248" w:lineRule="exact"/>
        <w:rPr>
          <w:sz w:val="20"/>
          <w:szCs w:val="20"/>
          <w:color w:val="auto"/>
        </w:rPr>
      </w:pPr>
    </w:p>
    <w:p>
      <w:pPr>
        <w:ind w:left="660" w:hanging="328"/>
        <w:spacing w:after="0"/>
        <w:tabs>
          <w:tab w:leader="none" w:pos="660" w:val="left"/>
        </w:tabs>
        <w:numPr>
          <w:ilvl w:val="0"/>
          <w:numId w:val="137"/>
        </w:numPr>
        <w:rPr>
          <w:rFonts w:ascii="Arial" w:cs="Arial" w:eastAsia="Arial" w:hAnsi="Arial"/>
          <w:sz w:val="18"/>
          <w:szCs w:val="18"/>
          <w:color w:val="auto"/>
        </w:rPr>
      </w:pPr>
      <w:r>
        <w:rPr>
          <w:rFonts w:ascii="Arial" w:cs="Arial" w:eastAsia="Arial" w:hAnsi="Arial"/>
          <w:sz w:val="18"/>
          <w:szCs w:val="18"/>
          <w:u w:val="single" w:color="auto"/>
          <w:color w:val="auto"/>
        </w:rPr>
        <w:t>Allowances for losses on financial instruments</w:t>
      </w:r>
    </w:p>
    <w:p>
      <w:pPr>
        <w:spacing w:after="0" w:line="225"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The allowances for losses on financial instruments are provided for losses derived from the expected credit losses, inherent in the loan portfolio, investment securities and loan commitments and financial guarantee contracts, using the reserve methodology to determine expected credit losses. Additions to the allowance for expected credit losses for financial instruments are recognized in profit or loss or in other comprehensive income depending on classification of the instrument. Incurred credit losses are deducted from the allowance, and subsequent recoveries are added. The allowance is also decreased by reversals of the allowance back to profit or loss.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7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Each exposure will be assigned to a risk rating at the time of initial recognition based on the information available about the customer and the country.</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Exposures will be subject to continuous monitoring, which may result in the change of an exposure to a different risk rating.</w:t>
      </w:r>
    </w:p>
    <w:p>
      <w:pPr>
        <w:spacing w:after="0" w:line="211"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analysis of customer risk considers financial and operational factors, sector / industry, market and managerial, also considering the ratings of international rating agencies, quality of information and other elements of an objective nature, including projections on these indicators.</w:t>
      </w:r>
    </w:p>
    <w:p>
      <w:pPr>
        <w:spacing w:after="0" w:line="146"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For the assignment of customer credit ratings, quantitative and qualitative criteria are applied, depending on whether the counterpart corresponds to a financial entity or a corporation, and broken down into several factors, which receive a weighting within the customer’s rating.</w:t>
      </w:r>
    </w:p>
    <w:p>
      <w:pPr>
        <w:spacing w:after="0" w:line="146"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the analysis of the country risk, for the establishment of the rating, the assessment of quantitative and qualitative variables specific to the country under analysis is considered, as well as the regional and global macroeconomic environment, considering projections about the future performance of the country environment.</w:t>
      </w:r>
    </w:p>
    <w:p>
      <w:pPr>
        <w:spacing w:after="0" w:line="184"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In general, there are three groups of quantitative factors that determine the analysis and that give rise to a quantitative rating of the country (changes in main economic indicators; external payment capacity and access to capital; performance of domestic credit and the financial system), which is later analyzed within the social-political framework of the country (qualitative factors) and may suffer some deterioration for the determination of the final country rating.</w:t>
      </w:r>
    </w:p>
    <w:p>
      <w:pPr>
        <w:spacing w:after="0" w:line="187" w:lineRule="exact"/>
        <w:rPr>
          <w:sz w:val="20"/>
          <w:szCs w:val="20"/>
          <w:color w:val="auto"/>
        </w:rPr>
      </w:pPr>
    </w:p>
    <w:p>
      <w:pPr>
        <w:ind w:left="1300" w:hanging="401"/>
        <w:spacing w:after="0"/>
        <w:tabs>
          <w:tab w:leader="none" w:pos="1300" w:val="left"/>
        </w:tabs>
        <w:numPr>
          <w:ilvl w:val="0"/>
          <w:numId w:val="138"/>
        </w:numPr>
        <w:rPr>
          <w:rFonts w:ascii="Arial" w:cs="Arial" w:eastAsia="Arial" w:hAnsi="Arial"/>
          <w:sz w:val="18"/>
          <w:szCs w:val="18"/>
          <w:color w:val="auto"/>
        </w:rPr>
      </w:pPr>
      <w:r>
        <w:rPr>
          <w:rFonts w:ascii="Arial" w:cs="Arial" w:eastAsia="Arial" w:hAnsi="Arial"/>
          <w:sz w:val="18"/>
          <w:szCs w:val="18"/>
          <w:u w:val="single" w:color="auto"/>
          <w:color w:val="auto"/>
        </w:rPr>
        <w:t>Measurement of expected credit losses</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Calculation of reserve for expected credit losses for financial instruments is made based on the risk rating resulting from the Bank’s internal model and considering, generally (certain exceptions apply), the worst among the country risk rating of the transaction and the customer risk rating.</w:t>
      </w:r>
    </w:p>
    <w:p>
      <w:pPr>
        <w:spacing w:after="0" w:line="1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7" w:name="page158"/>
    <w:bookmarkEnd w:id="1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3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3.4</w:t>
      </w:r>
      <w:r>
        <w:rPr>
          <w:sz w:val="20"/>
          <w:szCs w:val="20"/>
          <w:color w:val="auto"/>
        </w:rPr>
        <w:tab/>
      </w:r>
      <w:r>
        <w:rPr>
          <w:rFonts w:ascii="Arial" w:cs="Arial" w:eastAsia="Arial" w:hAnsi="Arial"/>
          <w:sz w:val="15"/>
          <w:szCs w:val="15"/>
          <w:b w:val="1"/>
          <w:bCs w:val="1"/>
          <w:color w:val="auto"/>
        </w:rPr>
        <w:t>Financial assets and liabilities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table below provides a mapping of the Bank’s internal credit risk grades to external ratings.</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ind w:left="140"/>
              <w:spacing w:after="0"/>
              <w:rPr>
                <w:sz w:val="20"/>
                <w:szCs w:val="20"/>
                <w:color w:val="auto"/>
              </w:rPr>
            </w:pPr>
            <w:r>
              <w:rPr>
                <w:rFonts w:ascii="Arial" w:cs="Arial" w:eastAsia="Arial" w:hAnsi="Arial"/>
                <w:sz w:val="18"/>
                <w:szCs w:val="18"/>
                <w:color w:val="auto"/>
              </w:rPr>
              <w:t>12 - month</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84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20"/>
        </w:trPr>
        <w:tc>
          <w:tcPr>
            <w:tcW w:w="1120" w:type="dxa"/>
            <w:vAlign w:val="bottom"/>
            <w:gridSpan w:val="2"/>
          </w:tcPr>
          <w:p>
            <w:pPr>
              <w:ind w:left="140"/>
              <w:spacing w:after="0"/>
              <w:rPr>
                <w:sz w:val="20"/>
                <w:szCs w:val="20"/>
                <w:color w:val="auto"/>
              </w:rPr>
            </w:pPr>
            <w:r>
              <w:rPr>
                <w:rFonts w:ascii="Arial" w:cs="Arial" w:eastAsia="Arial" w:hAnsi="Arial"/>
                <w:sz w:val="18"/>
                <w:szCs w:val="18"/>
                <w:color w:val="auto"/>
              </w:rPr>
              <w:t>Internal</w:t>
            </w:r>
          </w:p>
        </w:tc>
        <w:tc>
          <w:tcPr>
            <w:tcW w:w="1340" w:type="dxa"/>
            <w:vAlign w:val="bottom"/>
            <w:gridSpan w:val="2"/>
          </w:tcPr>
          <w:p>
            <w:pPr>
              <w:ind w:left="260"/>
              <w:spacing w:after="0"/>
              <w:rPr>
                <w:sz w:val="20"/>
                <w:szCs w:val="20"/>
                <w:color w:val="auto"/>
              </w:rPr>
            </w:pPr>
            <w:r>
              <w:rPr>
                <w:rFonts w:ascii="Arial" w:cs="Arial" w:eastAsia="Arial" w:hAnsi="Arial"/>
                <w:sz w:val="18"/>
                <w:szCs w:val="18"/>
                <w:color w:val="auto"/>
              </w:rPr>
              <w:t>average</w:t>
            </w:r>
          </w:p>
        </w:tc>
        <w:tc>
          <w:tcPr>
            <w:tcW w:w="1140" w:type="dxa"/>
            <w:vAlign w:val="bottom"/>
          </w:tcPr>
          <w:p>
            <w:pPr>
              <w:ind w:left="240"/>
              <w:spacing w:after="0"/>
              <w:rPr>
                <w:sz w:val="20"/>
                <w:szCs w:val="20"/>
                <w:color w:val="auto"/>
              </w:rPr>
            </w:pPr>
            <w:r>
              <w:rPr>
                <w:rFonts w:ascii="Arial" w:cs="Arial" w:eastAsia="Arial" w:hAnsi="Arial"/>
                <w:sz w:val="18"/>
                <w:szCs w:val="18"/>
                <w:color w:val="auto"/>
              </w:rPr>
              <w:t>External</w:t>
            </w:r>
          </w:p>
        </w:tc>
        <w:tc>
          <w:tcPr>
            <w:tcW w:w="220" w:type="dxa"/>
            <w:vAlign w:val="bottom"/>
          </w:tcPr>
          <w:p>
            <w:pPr>
              <w:spacing w:after="0"/>
              <w:rPr>
                <w:sz w:val="19"/>
                <w:szCs w:val="19"/>
                <w:color w:val="auto"/>
              </w:rPr>
            </w:pPr>
          </w:p>
        </w:tc>
        <w:tc>
          <w:tcPr>
            <w:tcW w:w="684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67"/>
        </w:trPr>
        <w:tc>
          <w:tcPr>
            <w:tcW w:w="1120" w:type="dxa"/>
            <w:vAlign w:val="bottom"/>
            <w:gridSpan w:val="2"/>
          </w:tcPr>
          <w:p>
            <w:pPr>
              <w:ind w:left="240"/>
              <w:spacing w:after="0"/>
              <w:rPr>
                <w:sz w:val="20"/>
                <w:szCs w:val="20"/>
                <w:color w:val="auto"/>
              </w:rPr>
            </w:pPr>
            <w:r>
              <w:rPr>
                <w:rFonts w:ascii="Arial" w:cs="Arial" w:eastAsia="Arial" w:hAnsi="Arial"/>
                <w:sz w:val="18"/>
                <w:szCs w:val="18"/>
                <w:color w:val="auto"/>
              </w:rPr>
              <w:t>rating</w:t>
            </w:r>
          </w:p>
        </w:tc>
        <w:tc>
          <w:tcPr>
            <w:tcW w:w="1340" w:type="dxa"/>
            <w:vAlign w:val="bottom"/>
            <w:gridSpan w:val="2"/>
          </w:tcPr>
          <w:p>
            <w:pPr>
              <w:ind w:left="240"/>
              <w:spacing w:after="0" w:line="267" w:lineRule="exact"/>
              <w:rPr>
                <w:sz w:val="20"/>
                <w:szCs w:val="20"/>
                <w:color w:val="auto"/>
              </w:rPr>
            </w:pPr>
            <w:r>
              <w:rPr>
                <w:rFonts w:ascii="Arial" w:cs="Arial" w:eastAsia="Arial" w:hAnsi="Arial"/>
                <w:sz w:val="18"/>
                <w:szCs w:val="18"/>
                <w:color w:val="auto"/>
              </w:rPr>
              <w:t xml:space="preserve">PD </w:t>
            </w:r>
            <w:r>
              <w:rPr>
                <w:rFonts w:ascii="Arial" w:cs="Arial" w:eastAsia="Arial" w:hAnsi="Arial"/>
                <w:sz w:val="29"/>
                <w:szCs w:val="29"/>
                <w:color w:val="auto"/>
                <w:vertAlign w:val="superscript"/>
              </w:rPr>
              <w:t>(1)</w:t>
            </w:r>
            <w:r>
              <w:rPr>
                <w:rFonts w:ascii="Arial" w:cs="Arial" w:eastAsia="Arial" w:hAnsi="Arial"/>
                <w:sz w:val="18"/>
                <w:szCs w:val="18"/>
                <w:color w:val="auto"/>
              </w:rPr>
              <w:t xml:space="preserve"> %</w:t>
            </w:r>
          </w:p>
        </w:tc>
        <w:tc>
          <w:tcPr>
            <w:tcW w:w="1140" w:type="dxa"/>
            <w:vAlign w:val="bottom"/>
          </w:tcPr>
          <w:p>
            <w:pPr>
              <w:jc w:val="center"/>
              <w:spacing w:after="0" w:line="267" w:lineRule="exact"/>
              <w:rPr>
                <w:sz w:val="20"/>
                <w:szCs w:val="20"/>
                <w:color w:val="auto"/>
              </w:rPr>
            </w:pPr>
            <w:r>
              <w:rPr>
                <w:rFonts w:ascii="Arial" w:cs="Arial" w:eastAsia="Arial" w:hAnsi="Arial"/>
                <w:sz w:val="18"/>
                <w:szCs w:val="18"/>
                <w:color w:val="auto"/>
                <w:w w:val="86"/>
              </w:rPr>
              <w:t xml:space="preserve">rating </w:t>
            </w:r>
            <w:r>
              <w:rPr>
                <w:rFonts w:ascii="Arial" w:cs="Arial" w:eastAsia="Arial" w:hAnsi="Arial"/>
                <w:sz w:val="29"/>
                <w:szCs w:val="29"/>
                <w:color w:val="auto"/>
                <w:w w:val="86"/>
                <w:vertAlign w:val="superscript"/>
              </w:rPr>
              <w:t>(2)</w:t>
            </w:r>
          </w:p>
        </w:tc>
        <w:tc>
          <w:tcPr>
            <w:tcW w:w="220" w:type="dxa"/>
            <w:vAlign w:val="bottom"/>
          </w:tcPr>
          <w:p>
            <w:pPr>
              <w:spacing w:after="0"/>
              <w:rPr>
                <w:sz w:val="23"/>
                <w:szCs w:val="23"/>
                <w:color w:val="auto"/>
              </w:rPr>
            </w:pPr>
          </w:p>
        </w:tc>
        <w:tc>
          <w:tcPr>
            <w:tcW w:w="6860" w:type="dxa"/>
            <w:vAlign w:val="bottom"/>
            <w:gridSpan w:val="2"/>
          </w:tcPr>
          <w:p>
            <w:pPr>
              <w:ind w:left="3000"/>
              <w:spacing w:after="0"/>
              <w:rPr>
                <w:sz w:val="20"/>
                <w:szCs w:val="20"/>
                <w:color w:val="auto"/>
              </w:rPr>
            </w:pPr>
            <w:r>
              <w:rPr>
                <w:rFonts w:ascii="Arial" w:cs="Arial" w:eastAsia="Arial" w:hAnsi="Arial"/>
                <w:sz w:val="18"/>
                <w:szCs w:val="18"/>
                <w:color w:val="auto"/>
              </w:rPr>
              <w:t>Description</w:t>
            </w:r>
          </w:p>
        </w:tc>
      </w:tr>
      <w:tr>
        <w:trPr>
          <w:trHeight w:val="195"/>
        </w:trPr>
        <w:tc>
          <w:tcPr>
            <w:tcW w:w="90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88"/>
              </w:rPr>
              <w:t>1 - 4</w:t>
            </w:r>
          </w:p>
        </w:tc>
        <w:tc>
          <w:tcPr>
            <w:tcW w:w="220" w:type="dxa"/>
            <w:vAlign w:val="bottom"/>
          </w:tcPr>
          <w:p>
            <w:pPr>
              <w:spacing w:after="0"/>
              <w:rPr>
                <w:sz w:val="16"/>
                <w:szCs w:val="16"/>
                <w:color w:val="auto"/>
              </w:rPr>
            </w:pPr>
          </w:p>
        </w:tc>
        <w:tc>
          <w:tcPr>
            <w:tcW w:w="112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91"/>
              </w:rPr>
              <w:t>0.09</w:t>
            </w:r>
          </w:p>
        </w:tc>
        <w:tc>
          <w:tcPr>
            <w:tcW w:w="220" w:type="dxa"/>
            <w:vAlign w:val="bottom"/>
          </w:tcPr>
          <w:p>
            <w:pPr>
              <w:spacing w:after="0"/>
              <w:rPr>
                <w:sz w:val="16"/>
                <w:szCs w:val="16"/>
                <w:color w:val="auto"/>
              </w:rPr>
            </w:pPr>
          </w:p>
        </w:tc>
        <w:tc>
          <w:tcPr>
            <w:tcW w:w="1140" w:type="dxa"/>
            <w:vAlign w:val="bottom"/>
            <w:tcBorders>
              <w:top w:val="single" w:sz="8" w:color="auto"/>
            </w:tcBorders>
          </w:tcPr>
          <w:p>
            <w:pPr>
              <w:jc w:val="center"/>
              <w:spacing w:after="0" w:line="195" w:lineRule="exact"/>
              <w:rPr>
                <w:sz w:val="20"/>
                <w:szCs w:val="20"/>
                <w:color w:val="auto"/>
              </w:rPr>
            </w:pPr>
            <w:r>
              <w:rPr>
                <w:rFonts w:ascii="Arial" w:cs="Arial" w:eastAsia="Arial" w:hAnsi="Arial"/>
                <w:sz w:val="18"/>
                <w:szCs w:val="18"/>
                <w:color w:val="auto"/>
                <w:w w:val="90"/>
              </w:rPr>
              <w:t>Aaa – Ba1</w:t>
            </w:r>
          </w:p>
        </w:tc>
        <w:tc>
          <w:tcPr>
            <w:tcW w:w="220" w:type="dxa"/>
            <w:vAlign w:val="bottom"/>
          </w:tcPr>
          <w:p>
            <w:pPr>
              <w:spacing w:after="0"/>
              <w:rPr>
                <w:sz w:val="16"/>
                <w:szCs w:val="16"/>
                <w:color w:val="auto"/>
              </w:rPr>
            </w:pPr>
          </w:p>
        </w:tc>
        <w:tc>
          <w:tcPr>
            <w:tcW w:w="684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w w:val="99"/>
              </w:rPr>
              <w:t>Exposure  in  customers  or  countries  with  payment  ability  to  satisfy  their  financial</w:t>
            </w:r>
          </w:p>
        </w:tc>
        <w:tc>
          <w:tcPr>
            <w:tcW w:w="20" w:type="dxa"/>
            <w:vAlign w:val="bottom"/>
          </w:tcPr>
          <w:p>
            <w:pPr>
              <w:spacing w:after="0"/>
              <w:rPr>
                <w:sz w:val="16"/>
                <w:szCs w:val="16"/>
                <w:color w:val="auto"/>
              </w:rPr>
            </w:pPr>
          </w:p>
        </w:tc>
      </w:tr>
      <w:tr>
        <w:trPr>
          <w:trHeight w:val="230"/>
        </w:trPr>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rPr>
              <w:t>commitments.</w:t>
            </w:r>
          </w:p>
        </w:tc>
      </w:tr>
      <w:tr>
        <w:trPr>
          <w:trHeight w:val="418"/>
        </w:trPr>
        <w:tc>
          <w:tcPr>
            <w:tcW w:w="900" w:type="dxa"/>
            <w:vAlign w:val="bottom"/>
          </w:tcPr>
          <w:p>
            <w:pPr>
              <w:jc w:val="center"/>
              <w:spacing w:after="0"/>
              <w:rPr>
                <w:sz w:val="20"/>
                <w:szCs w:val="20"/>
                <w:color w:val="auto"/>
              </w:rPr>
            </w:pPr>
            <w:r>
              <w:rPr>
                <w:rFonts w:ascii="Arial" w:cs="Arial" w:eastAsia="Arial" w:hAnsi="Arial"/>
                <w:sz w:val="18"/>
                <w:szCs w:val="18"/>
                <w:color w:val="auto"/>
                <w:w w:val="88"/>
              </w:rPr>
              <w:t>5 - 6</w:t>
            </w:r>
          </w:p>
        </w:tc>
        <w:tc>
          <w:tcPr>
            <w:tcW w:w="220" w:type="dxa"/>
            <w:vAlign w:val="bottom"/>
          </w:tcPr>
          <w:p>
            <w:pPr>
              <w:spacing w:after="0"/>
              <w:rPr>
                <w:sz w:val="24"/>
                <w:szCs w:val="24"/>
                <w:color w:val="auto"/>
              </w:rPr>
            </w:pP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2.35</w:t>
            </w:r>
          </w:p>
        </w:tc>
        <w:tc>
          <w:tcPr>
            <w:tcW w:w="220" w:type="dxa"/>
            <w:vAlign w:val="bottom"/>
          </w:tcPr>
          <w:p>
            <w:pPr>
              <w:spacing w:after="0"/>
              <w:rPr>
                <w:sz w:val="24"/>
                <w:szCs w:val="24"/>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91"/>
              </w:rPr>
              <w:t>Ba2 – B3</w:t>
            </w: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9"/>
              </w:rPr>
              <w:t>Exposure  in  customers  or  countries  with  payment  ability  to  satisfy  their  financial</w:t>
            </w:r>
          </w:p>
        </w:tc>
      </w:tr>
      <w:tr>
        <w:trPr>
          <w:trHeight w:val="230"/>
        </w:trPr>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rPr>
              <w:t>commitments, but with more frequent reviews.</w:t>
            </w:r>
          </w:p>
        </w:tc>
      </w:tr>
      <w:tr>
        <w:trPr>
          <w:trHeight w:val="418"/>
        </w:trPr>
        <w:tc>
          <w:tcPr>
            <w:tcW w:w="90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220" w:type="dxa"/>
            <w:vAlign w:val="bottom"/>
          </w:tcPr>
          <w:p>
            <w:pPr>
              <w:spacing w:after="0"/>
              <w:rPr>
                <w:sz w:val="24"/>
                <w:szCs w:val="24"/>
                <w:color w:val="auto"/>
              </w:rPr>
            </w:pP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7.90</w:t>
            </w:r>
          </w:p>
        </w:tc>
        <w:tc>
          <w:tcPr>
            <w:tcW w:w="220" w:type="dxa"/>
            <w:vAlign w:val="bottom"/>
          </w:tcPr>
          <w:p>
            <w:pPr>
              <w:spacing w:after="0"/>
              <w:rPr>
                <w:sz w:val="24"/>
                <w:szCs w:val="24"/>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88"/>
              </w:rPr>
              <w:t>Caa1 - Caa3</w:t>
            </w: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1"/>
              </w:rPr>
              <w:t>Exposure in customers whose primary source of payment (operating cash flow) is inadequate,</w:t>
            </w:r>
          </w:p>
        </w:tc>
      </w:tr>
      <w:tr>
        <w:trPr>
          <w:trHeight w:val="216"/>
        </w:trPr>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4"/>
              </w:rPr>
              <w:t>and who show evidence of deterioration in their working capital that does not allow them to</w:t>
            </w:r>
          </w:p>
        </w:tc>
      </w:tr>
      <w:tr>
        <w:trPr>
          <w:trHeight w:val="230"/>
        </w:trPr>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0"/>
              </w:rPr>
              <w:t>satisfy payments on the agreed terms, or in countries where the operation carries certain risks.</w:t>
            </w:r>
          </w:p>
        </w:tc>
      </w:tr>
      <w:tr>
        <w:trPr>
          <w:trHeight w:val="418"/>
        </w:trPr>
        <w:tc>
          <w:tcPr>
            <w:tcW w:w="900" w:type="dxa"/>
            <w:vAlign w:val="bottom"/>
          </w:tcPr>
          <w:p>
            <w:pPr>
              <w:jc w:val="center"/>
              <w:spacing w:after="0"/>
              <w:rPr>
                <w:sz w:val="20"/>
                <w:szCs w:val="20"/>
                <w:color w:val="auto"/>
              </w:rPr>
            </w:pPr>
            <w:r>
              <w:rPr>
                <w:rFonts w:ascii="Arial" w:cs="Arial" w:eastAsia="Arial" w:hAnsi="Arial"/>
                <w:sz w:val="18"/>
                <w:szCs w:val="18"/>
                <w:color w:val="auto"/>
                <w:w w:val="88"/>
              </w:rPr>
              <w:t>8 - 9</w:t>
            </w:r>
          </w:p>
        </w:tc>
        <w:tc>
          <w:tcPr>
            <w:tcW w:w="220" w:type="dxa"/>
            <w:vAlign w:val="bottom"/>
          </w:tcPr>
          <w:p>
            <w:pPr>
              <w:spacing w:after="0"/>
              <w:rPr>
                <w:sz w:val="24"/>
                <w:szCs w:val="24"/>
                <w:color w:val="auto"/>
              </w:rPr>
            </w:pPr>
          </w:p>
        </w:tc>
        <w:tc>
          <w:tcPr>
            <w:tcW w:w="1120" w:type="dxa"/>
            <w:vAlign w:val="bottom"/>
          </w:tcPr>
          <w:p>
            <w:pPr>
              <w:jc w:val="center"/>
              <w:spacing w:after="0"/>
              <w:rPr>
                <w:sz w:val="20"/>
                <w:szCs w:val="20"/>
                <w:color w:val="auto"/>
              </w:rPr>
            </w:pPr>
            <w:r>
              <w:rPr>
                <w:rFonts w:ascii="Arial" w:cs="Arial" w:eastAsia="Arial" w:hAnsi="Arial"/>
                <w:sz w:val="18"/>
                <w:szCs w:val="18"/>
                <w:color w:val="auto"/>
                <w:w w:val="88"/>
              </w:rPr>
              <w:t>30.67</w:t>
            </w:r>
          </w:p>
        </w:tc>
        <w:tc>
          <w:tcPr>
            <w:tcW w:w="220" w:type="dxa"/>
            <w:vAlign w:val="bottom"/>
          </w:tcPr>
          <w:p>
            <w:pPr>
              <w:spacing w:after="0"/>
              <w:rPr>
                <w:sz w:val="24"/>
                <w:szCs w:val="24"/>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86"/>
              </w:rPr>
              <w:t>Ca</w:t>
            </w: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1"/>
              </w:rPr>
              <w:t>Exposure in customers whose operating cash flow continuously shows insufficiency to service</w:t>
            </w:r>
          </w:p>
        </w:tc>
      </w:tr>
      <w:tr>
        <w:trPr>
          <w:trHeight w:val="216"/>
        </w:trPr>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9"/>
              </w:rPr>
              <w:t>the debt on the originally agreed terms, or in countries where the operation is limited or</w:t>
            </w:r>
          </w:p>
        </w:tc>
      </w:tr>
      <w:tr>
        <w:trPr>
          <w:trHeight w:val="230"/>
        </w:trPr>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rPr>
              <w:t>restricted to certain terms, structure and types of credits.</w:t>
            </w:r>
          </w:p>
        </w:tc>
      </w:tr>
      <w:tr>
        <w:trPr>
          <w:trHeight w:val="418"/>
        </w:trPr>
        <w:tc>
          <w:tcPr>
            <w:tcW w:w="9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220" w:type="dxa"/>
            <w:vAlign w:val="bottom"/>
          </w:tcPr>
          <w:p>
            <w:pPr>
              <w:spacing w:after="0"/>
              <w:rPr>
                <w:sz w:val="24"/>
                <w:szCs w:val="24"/>
                <w:color w:val="auto"/>
              </w:rPr>
            </w:pPr>
          </w:p>
        </w:tc>
        <w:tc>
          <w:tcPr>
            <w:tcW w:w="1120" w:type="dxa"/>
            <w:vAlign w:val="bottom"/>
          </w:tcPr>
          <w:p>
            <w:pPr>
              <w:jc w:val="center"/>
              <w:spacing w:after="0"/>
              <w:rPr>
                <w:sz w:val="20"/>
                <w:szCs w:val="20"/>
                <w:color w:val="auto"/>
              </w:rPr>
            </w:pPr>
            <w:r>
              <w:rPr>
                <w:rFonts w:ascii="Arial" w:cs="Arial" w:eastAsia="Arial" w:hAnsi="Arial"/>
                <w:sz w:val="18"/>
                <w:szCs w:val="18"/>
                <w:color w:val="auto"/>
                <w:w w:val="93"/>
              </w:rPr>
              <w:t>100</w:t>
            </w:r>
          </w:p>
        </w:tc>
        <w:tc>
          <w:tcPr>
            <w:tcW w:w="220" w:type="dxa"/>
            <w:vAlign w:val="bottom"/>
          </w:tcPr>
          <w:p>
            <w:pPr>
              <w:spacing w:after="0"/>
              <w:rPr>
                <w:sz w:val="24"/>
                <w:szCs w:val="24"/>
                <w:color w:val="auto"/>
              </w:rPr>
            </w:pPr>
          </w:p>
        </w:tc>
        <w:tc>
          <w:tcPr>
            <w:tcW w:w="1140" w:type="dxa"/>
            <w:vAlign w:val="bottom"/>
          </w:tcPr>
          <w:p>
            <w:pPr>
              <w:jc w:val="center"/>
              <w:spacing w:after="0"/>
              <w:rPr>
                <w:sz w:val="20"/>
                <w:szCs w:val="20"/>
                <w:color w:val="auto"/>
              </w:rPr>
            </w:pPr>
            <w:r>
              <w:rPr>
                <w:rFonts w:ascii="Arial" w:cs="Arial" w:eastAsia="Arial" w:hAnsi="Arial"/>
                <w:sz w:val="18"/>
                <w:szCs w:val="18"/>
                <w:color w:val="auto"/>
                <w:w w:val="91"/>
              </w:rPr>
              <w:t>C</w:t>
            </w: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rPr>
              <w:t>Exposure to customers with operating cash flows that do not cover their costs, are in</w:t>
            </w:r>
          </w:p>
        </w:tc>
      </w:tr>
      <w:tr>
        <w:trPr>
          <w:trHeight w:val="216"/>
        </w:trPr>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w w:val="93"/>
              </w:rPr>
              <w:t>suspension of payments, presumably will also have difficulties fulfilling possible restructuring</w:t>
            </w:r>
          </w:p>
        </w:tc>
      </w:tr>
      <w:tr>
        <w:trPr>
          <w:trHeight w:val="230"/>
        </w:trPr>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7080" w:type="dxa"/>
            <w:vAlign w:val="bottom"/>
            <w:gridSpan w:val="3"/>
          </w:tcPr>
          <w:p>
            <w:pPr>
              <w:ind w:left="220"/>
              <w:spacing w:after="0"/>
              <w:rPr>
                <w:sz w:val="20"/>
                <w:szCs w:val="20"/>
                <w:color w:val="auto"/>
              </w:rPr>
            </w:pPr>
            <w:r>
              <w:rPr>
                <w:rFonts w:ascii="Arial" w:cs="Arial" w:eastAsia="Arial" w:hAnsi="Arial"/>
                <w:sz w:val="18"/>
                <w:szCs w:val="18"/>
                <w:color w:val="auto"/>
              </w:rPr>
              <w:t>agreements, are in a state of insolvency, or have filed for bankruptcy, among others.</w:t>
            </w:r>
          </w:p>
        </w:tc>
      </w:tr>
    </w:tbl>
    <w:p>
      <w:pPr>
        <w:spacing w:after="0" w:line="330" w:lineRule="exact"/>
        <w:rPr>
          <w:sz w:val="20"/>
          <w:szCs w:val="20"/>
          <w:color w:val="auto"/>
        </w:rPr>
      </w:pPr>
    </w:p>
    <w:p>
      <w:pPr>
        <w:ind w:left="660" w:hanging="328"/>
        <w:spacing w:after="0"/>
        <w:tabs>
          <w:tab w:leader="none" w:pos="660" w:val="left"/>
        </w:tabs>
        <w:numPr>
          <w:ilvl w:val="0"/>
          <w:numId w:val="140"/>
        </w:numPr>
        <w:rPr>
          <w:rFonts w:ascii="Arial" w:cs="Arial" w:eastAsia="Arial" w:hAnsi="Arial"/>
          <w:sz w:val="30"/>
          <w:szCs w:val="30"/>
          <w:color w:val="auto"/>
          <w:vertAlign w:val="superscript"/>
        </w:rPr>
      </w:pPr>
      <w:r>
        <w:rPr>
          <w:rFonts w:ascii="Arial" w:cs="Arial" w:eastAsia="Arial" w:hAnsi="Arial"/>
          <w:sz w:val="18"/>
          <w:szCs w:val="18"/>
          <w:color w:val="auto"/>
        </w:rPr>
        <w:t>Probability of default</w:t>
      </w:r>
    </w:p>
    <w:p>
      <w:pPr>
        <w:spacing w:after="0" w:line="1" w:lineRule="exact"/>
        <w:rPr>
          <w:rFonts w:ascii="Arial" w:cs="Arial" w:eastAsia="Arial" w:hAnsi="Arial"/>
          <w:sz w:val="30"/>
          <w:szCs w:val="30"/>
          <w:color w:val="auto"/>
          <w:vertAlign w:val="superscript"/>
        </w:rPr>
      </w:pPr>
    </w:p>
    <w:p>
      <w:pPr>
        <w:ind w:left="660" w:hanging="328"/>
        <w:spacing w:after="0" w:line="194" w:lineRule="auto"/>
        <w:tabs>
          <w:tab w:leader="none" w:pos="660" w:val="left"/>
        </w:tabs>
        <w:numPr>
          <w:ilvl w:val="0"/>
          <w:numId w:val="140"/>
        </w:numPr>
        <w:rPr>
          <w:rFonts w:ascii="Arial" w:cs="Arial" w:eastAsia="Arial" w:hAnsi="Arial"/>
          <w:sz w:val="23"/>
          <w:szCs w:val="23"/>
          <w:color w:val="auto"/>
          <w:vertAlign w:val="superscript"/>
        </w:rPr>
      </w:pPr>
      <w:r>
        <w:rPr>
          <w:rFonts w:ascii="Arial" w:cs="Arial" w:eastAsia="Arial" w:hAnsi="Arial"/>
          <w:sz w:val="15"/>
          <w:szCs w:val="15"/>
          <w:color w:val="auto"/>
        </w:rPr>
        <w:t>Credit rating by Moody’s Investors Service.</w:t>
      </w:r>
    </w:p>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order to maintain periodical monitoring of the quality of the portfolio, customers and countries are reviewed within a time frequency ranging from 3 to 12 months, depending on the risk rating.</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measures expected credit losses in a way that reflects: a) an unbiased and probability-weighted amount that is determined by evaluating a range of possible outcomes; b) time value of money; and c) reasonable and supportable information that is available without undue cost or effort at the reporting date about past events, current conditions and forecast of future economic conditions.</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expected credit loss model reflects the general pattern of deterioration or improvement in the credit quality of the financial instrument. The amount of ECL recognized as a loss allowance or provision depends on the extent of credit deterioration since initial recognition. There are two measurement bases:</w:t>
      </w:r>
    </w:p>
    <w:p>
      <w:pPr>
        <w:spacing w:after="0" w:line="184" w:lineRule="exact"/>
        <w:rPr>
          <w:sz w:val="20"/>
          <w:szCs w:val="20"/>
          <w:color w:val="auto"/>
        </w:rPr>
      </w:pPr>
    </w:p>
    <w:p>
      <w:pPr>
        <w:ind w:left="1000" w:right="440" w:hanging="236"/>
        <w:spacing w:after="0" w:line="277" w:lineRule="auto"/>
        <w:tabs>
          <w:tab w:leader="none" w:pos="1000" w:val="left"/>
        </w:tabs>
        <w:numPr>
          <w:ilvl w:val="1"/>
          <w:numId w:val="141"/>
        </w:numPr>
        <w:rPr>
          <w:rFonts w:ascii="Arial" w:cs="Arial" w:eastAsia="Arial" w:hAnsi="Arial"/>
          <w:sz w:val="18"/>
          <w:szCs w:val="18"/>
          <w:color w:val="auto"/>
        </w:rPr>
      </w:pPr>
      <w:r>
        <w:rPr>
          <w:rFonts w:ascii="Arial" w:cs="Arial" w:eastAsia="Arial" w:hAnsi="Arial"/>
          <w:sz w:val="18"/>
          <w:szCs w:val="18"/>
          <w:color w:val="auto"/>
        </w:rPr>
        <w:t>Stage 1: 12-month ECL, which applies to all financial instruments (from initial recognition) as long as there is no significant increase in credit quality, and</w:t>
      </w:r>
    </w:p>
    <w:p>
      <w:pPr>
        <w:spacing w:after="0" w:line="170" w:lineRule="exact"/>
        <w:rPr>
          <w:rFonts w:ascii="Arial" w:cs="Arial" w:eastAsia="Arial" w:hAnsi="Arial"/>
          <w:sz w:val="18"/>
          <w:szCs w:val="18"/>
          <w:color w:val="auto"/>
        </w:rPr>
      </w:pPr>
    </w:p>
    <w:p>
      <w:pPr>
        <w:jc w:val="both"/>
        <w:ind w:left="980" w:hanging="243"/>
        <w:spacing w:after="0" w:line="272" w:lineRule="auto"/>
        <w:tabs>
          <w:tab w:leader="none" w:pos="980" w:val="left"/>
        </w:tabs>
        <w:numPr>
          <w:ilvl w:val="0"/>
          <w:numId w:val="141"/>
        </w:numPr>
        <w:rPr>
          <w:rFonts w:ascii="Arial" w:cs="Arial" w:eastAsia="Arial" w:hAnsi="Arial"/>
          <w:sz w:val="17"/>
          <w:szCs w:val="17"/>
          <w:color w:val="auto"/>
        </w:rPr>
      </w:pPr>
      <w:r>
        <w:rPr>
          <w:rFonts w:ascii="Arial" w:cs="Arial" w:eastAsia="Arial" w:hAnsi="Arial"/>
          <w:sz w:val="17"/>
          <w:szCs w:val="17"/>
          <w:color w:val="auto"/>
        </w:rPr>
        <w:t>Stage 2 and 3: Lifetime ECL, which applies when a significant increase in credit risk has occurred on an individual or collective basis. In Stages 2 and 3 interest income is recognized. Under Stage 2 (as under Stage 1), there is a full decoupling between interest recognition and impairment and interest income is calculated on the carrying amount. Under Stage 3, when a financial asset subsequently becomes credit impaired (when a credit event has occurred), interest income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interest income on a gross basis.</w:t>
      </w:r>
    </w:p>
    <w:p>
      <w:pPr>
        <w:spacing w:after="0" w:line="1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8" w:name="page159"/>
    <w:bookmarkEnd w:id="1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4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jc w:val="both"/>
        <w:ind w:left="34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are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assessment considers comprehensive information that incorporates not only past-due data, but other relevant credit information, such as forward looking macro-economic information.</w:t>
      </w:r>
    </w:p>
    <w:p>
      <w:pPr>
        <w:spacing w:after="0" w:line="194"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ECL are a probability-weighted estimate of the present value of credit losses. These are measured as the difference in the present value of the cash flows due to the Bank under the contract and the cash flows that the Bank expects to receive arising from weighing of multiple future economic scenarios, discounted at the asset’s effective interest rate (EIR). For undrawn loan commitments, the ECL is the difference between the present value of the contractual cash flows that are due to the Bank if the holder of the commitment draws down the loan and the cash flows that the Bank expects to receive if the loan is drawn down; and for financial guarantee contracts, the ECL is the difference between the expected payments to reimburse the holder of the guaranteed debt instrument less any amounts that the Bank expects to receive from the holder, the debtor or any other party.</w:t>
      </w:r>
    </w:p>
    <w:p>
      <w:pPr>
        <w:spacing w:after="0" w:line="164"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The Bank determines ECL using two methodologies to determine if there is objective evidence of impairment for financial instruments:</w:t>
      </w:r>
    </w:p>
    <w:p>
      <w:pPr>
        <w:spacing w:after="0" w:line="225" w:lineRule="exact"/>
        <w:rPr>
          <w:rFonts w:ascii="Arial" w:cs="Arial" w:eastAsia="Arial" w:hAnsi="Arial"/>
          <w:sz w:val="18"/>
          <w:szCs w:val="18"/>
          <w:b w:val="1"/>
          <w:bCs w:val="1"/>
          <w:color w:val="auto"/>
        </w:rPr>
      </w:pPr>
    </w:p>
    <w:p>
      <w:pPr>
        <w:ind w:left="780" w:hanging="96"/>
        <w:spacing w:after="0"/>
        <w:tabs>
          <w:tab w:leader="none" w:pos="780" w:val="left"/>
        </w:tabs>
        <w:numPr>
          <w:ilvl w:val="1"/>
          <w:numId w:val="142"/>
        </w:numPr>
        <w:rPr>
          <w:rFonts w:ascii="Arial" w:cs="Arial" w:eastAsia="Arial" w:hAnsi="Arial"/>
          <w:sz w:val="18"/>
          <w:szCs w:val="18"/>
          <w:color w:val="222222"/>
        </w:rPr>
      </w:pPr>
      <w:r>
        <w:rPr>
          <w:rFonts w:ascii="Arial" w:cs="Arial" w:eastAsia="Arial" w:hAnsi="Arial"/>
          <w:sz w:val="18"/>
          <w:szCs w:val="18"/>
          <w:u w:val="single" w:color="auto"/>
          <w:color w:val="222222"/>
        </w:rPr>
        <w:t>Individually Assessed</w:t>
      </w:r>
    </w:p>
    <w:p>
      <w:pPr>
        <w:spacing w:after="0" w:line="225" w:lineRule="exact"/>
        <w:rPr>
          <w:rFonts w:ascii="Arial" w:cs="Arial" w:eastAsia="Arial" w:hAnsi="Arial"/>
          <w:sz w:val="18"/>
          <w:szCs w:val="18"/>
          <w:color w:val="222222"/>
        </w:rPr>
      </w:pPr>
    </w:p>
    <w:p>
      <w:pPr>
        <w:jc w:val="both"/>
        <w:ind w:left="780"/>
        <w:spacing w:after="0" w:line="259" w:lineRule="auto"/>
        <w:rPr>
          <w:rFonts w:ascii="Arial" w:cs="Arial" w:eastAsia="Arial" w:hAnsi="Arial"/>
          <w:sz w:val="18"/>
          <w:szCs w:val="18"/>
          <w:color w:val="222222"/>
        </w:rPr>
      </w:pPr>
      <w:r>
        <w:rPr>
          <w:rFonts w:ascii="Arial" w:cs="Arial" w:eastAsia="Arial" w:hAnsi="Arial"/>
          <w:sz w:val="18"/>
          <w:szCs w:val="18"/>
          <w:color w:val="222222"/>
        </w:rPr>
        <w:t>The expected credit losses on individually assessed financial instruments are determined by an evaluation of the exposures on a case-by-case basis. This procedure is applied to all credit transactions that are individually significant or not. If it is determined that there is no objective evidence of impairment for an individual credit transaction, it is included in a group of credit transactions with similar characteristics and is collectively assessed to determine whether there is impairment.</w:t>
      </w:r>
    </w:p>
    <w:p>
      <w:pPr>
        <w:spacing w:after="0" w:line="186" w:lineRule="exact"/>
        <w:rPr>
          <w:rFonts w:ascii="Arial" w:cs="Arial" w:eastAsia="Arial" w:hAnsi="Arial"/>
          <w:sz w:val="18"/>
          <w:szCs w:val="18"/>
          <w:color w:val="222222"/>
        </w:rPr>
      </w:pPr>
    </w:p>
    <w:p>
      <w:pPr>
        <w:jc w:val="both"/>
        <w:ind w:left="780" w:right="20"/>
        <w:spacing w:after="0" w:line="286" w:lineRule="auto"/>
        <w:rPr>
          <w:rFonts w:ascii="Arial" w:cs="Arial" w:eastAsia="Arial" w:hAnsi="Arial"/>
          <w:sz w:val="18"/>
          <w:szCs w:val="18"/>
          <w:color w:val="222222"/>
        </w:rPr>
      </w:pPr>
      <w:r>
        <w:rPr>
          <w:rFonts w:ascii="Arial" w:cs="Arial" w:eastAsia="Arial" w:hAnsi="Arial"/>
          <w:sz w:val="17"/>
          <w:szCs w:val="17"/>
          <w:color w:val="222222"/>
        </w:rPr>
        <w:t>The impairment loss is calculated by comparing the present value of the future expected flows, discounted at the original effective rate of the credit transaction, with its current carrying amount and the amount of any loss is charged as a provision for losses in profit or loss for those measured at amortized cost, and in equity for those operations measured at fair value through other comprehensive income.</w:t>
      </w:r>
    </w:p>
    <w:p>
      <w:pPr>
        <w:spacing w:after="0" w:line="165" w:lineRule="exact"/>
        <w:rPr>
          <w:rFonts w:ascii="Arial" w:cs="Arial" w:eastAsia="Arial" w:hAnsi="Arial"/>
          <w:sz w:val="18"/>
          <w:szCs w:val="18"/>
          <w:color w:val="222222"/>
        </w:rPr>
      </w:pPr>
    </w:p>
    <w:p>
      <w:pPr>
        <w:ind w:left="780" w:hanging="96"/>
        <w:spacing w:after="0"/>
        <w:tabs>
          <w:tab w:leader="none" w:pos="780" w:val="left"/>
        </w:tabs>
        <w:numPr>
          <w:ilvl w:val="1"/>
          <w:numId w:val="142"/>
        </w:numPr>
        <w:rPr>
          <w:rFonts w:ascii="Arial" w:cs="Arial" w:eastAsia="Arial" w:hAnsi="Arial"/>
          <w:sz w:val="18"/>
          <w:szCs w:val="18"/>
          <w:color w:val="222222"/>
        </w:rPr>
      </w:pPr>
      <w:r>
        <w:rPr>
          <w:rFonts w:ascii="Arial" w:cs="Arial" w:eastAsia="Arial" w:hAnsi="Arial"/>
          <w:sz w:val="18"/>
          <w:szCs w:val="18"/>
          <w:u w:val="single" w:color="auto"/>
          <w:color w:val="222222"/>
        </w:rPr>
        <w:t>Collectively Assessed</w:t>
      </w:r>
    </w:p>
    <w:p>
      <w:pPr>
        <w:spacing w:after="0" w:line="200" w:lineRule="exact"/>
        <w:rPr>
          <w:rFonts w:ascii="Arial" w:cs="Arial" w:eastAsia="Arial" w:hAnsi="Arial"/>
          <w:sz w:val="18"/>
          <w:szCs w:val="18"/>
          <w:color w:val="222222"/>
        </w:rPr>
      </w:pPr>
    </w:p>
    <w:p>
      <w:pPr>
        <w:spacing w:after="0" w:line="241" w:lineRule="exact"/>
        <w:rPr>
          <w:rFonts w:ascii="Arial" w:cs="Arial" w:eastAsia="Arial" w:hAnsi="Arial"/>
          <w:sz w:val="18"/>
          <w:szCs w:val="18"/>
          <w:color w:val="222222"/>
        </w:rPr>
      </w:pPr>
    </w:p>
    <w:p>
      <w:pPr>
        <w:jc w:val="both"/>
        <w:ind w:left="780"/>
        <w:spacing w:after="0" w:line="263" w:lineRule="auto"/>
        <w:rPr>
          <w:rFonts w:ascii="Arial" w:cs="Arial" w:eastAsia="Arial" w:hAnsi="Arial"/>
          <w:sz w:val="18"/>
          <w:szCs w:val="18"/>
          <w:color w:val="222222"/>
        </w:rPr>
      </w:pPr>
      <w:r>
        <w:rPr>
          <w:rFonts w:ascii="Arial" w:cs="Arial" w:eastAsia="Arial" w:hAnsi="Arial"/>
          <w:sz w:val="18"/>
          <w:szCs w:val="18"/>
          <w:color w:val="222222"/>
        </w:rPr>
        <w:t>For the purposes of a collective assessment of impairment, financial instruments are grouped according to similar credit risk characteristics. These characteristics are relevant to estimate cash flows for the groups of such assets, being indicative of the debtors’ ability to pay the amounts owed according to the contractual terms of the assets that are assessed.</w:t>
      </w:r>
    </w:p>
    <w:p>
      <w:pPr>
        <w:spacing w:after="0" w:line="399" w:lineRule="exact"/>
        <w:rPr>
          <w:rFonts w:ascii="Arial" w:cs="Arial" w:eastAsia="Arial" w:hAnsi="Arial"/>
          <w:sz w:val="18"/>
          <w:szCs w:val="18"/>
          <w:color w:val="222222"/>
        </w:rPr>
      </w:pPr>
    </w:p>
    <w:p>
      <w:pPr>
        <w:jc w:val="both"/>
        <w:ind w:left="780"/>
        <w:spacing w:after="0" w:line="259" w:lineRule="auto"/>
        <w:rPr>
          <w:rFonts w:ascii="Arial" w:cs="Arial" w:eastAsia="Arial" w:hAnsi="Arial"/>
          <w:sz w:val="18"/>
          <w:szCs w:val="18"/>
          <w:color w:val="222222"/>
        </w:rPr>
      </w:pPr>
      <w:r>
        <w:rPr>
          <w:rFonts w:ascii="Arial" w:cs="Arial" w:eastAsia="Arial" w:hAnsi="Arial"/>
          <w:sz w:val="18"/>
          <w:szCs w:val="18"/>
          <w:color w:val="222222"/>
        </w:rPr>
        <w:t>Future cash flows in a group of credit transactions that are collectively assessed to determine whether there is impairment are estimated according to the contractual cash flows of the assets in the group, the historical loss experience for assets with similar credit risk characteristics, within each group, and the experienced management views on whether the current economy and credit conditions can change the real level of historical inherent losses suggested.</w:t>
      </w:r>
    </w:p>
    <w:p>
      <w:pPr>
        <w:spacing w:after="0" w:line="187" w:lineRule="exact"/>
        <w:rPr>
          <w:sz w:val="20"/>
          <w:szCs w:val="20"/>
          <w:color w:val="auto"/>
        </w:rPr>
      </w:pPr>
    </w:p>
    <w:p>
      <w:pPr>
        <w:ind w:left="1300" w:hanging="401"/>
        <w:spacing w:after="0"/>
        <w:tabs>
          <w:tab w:leader="none" w:pos="1300" w:val="left"/>
        </w:tabs>
        <w:numPr>
          <w:ilvl w:val="0"/>
          <w:numId w:val="143"/>
        </w:numPr>
        <w:rPr>
          <w:rFonts w:ascii="Arial" w:cs="Arial" w:eastAsia="Arial" w:hAnsi="Arial"/>
          <w:sz w:val="18"/>
          <w:szCs w:val="18"/>
          <w:color w:val="auto"/>
        </w:rPr>
      </w:pPr>
      <w:r>
        <w:rPr>
          <w:rFonts w:ascii="Arial" w:cs="Arial" w:eastAsia="Arial" w:hAnsi="Arial"/>
          <w:sz w:val="18"/>
          <w:szCs w:val="18"/>
          <w:u w:val="single" w:color="auto"/>
          <w:color w:val="auto"/>
        </w:rPr>
        <w:t>Definition of Default</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considers a financial asset to be in default when it presents any of the following characteristics:</w:t>
      </w:r>
    </w:p>
    <w:p>
      <w:pPr>
        <w:spacing w:after="0" w:line="225" w:lineRule="exact"/>
        <w:rPr>
          <w:sz w:val="20"/>
          <w:szCs w:val="20"/>
          <w:color w:val="auto"/>
        </w:rPr>
      </w:pPr>
    </w:p>
    <w:p>
      <w:pPr>
        <w:ind w:left="980" w:hanging="243"/>
        <w:spacing w:after="0" w:line="258" w:lineRule="auto"/>
        <w:tabs>
          <w:tab w:leader="none" w:pos="980" w:val="left"/>
        </w:tabs>
        <w:numPr>
          <w:ilvl w:val="0"/>
          <w:numId w:val="144"/>
        </w:numPr>
        <w:rPr>
          <w:rFonts w:ascii="Arial" w:cs="Arial" w:eastAsia="Arial" w:hAnsi="Arial"/>
          <w:sz w:val="18"/>
          <w:szCs w:val="18"/>
          <w:color w:val="auto"/>
        </w:rPr>
      </w:pPr>
      <w:r>
        <w:rPr>
          <w:rFonts w:ascii="Arial" w:cs="Arial" w:eastAsia="Arial" w:hAnsi="Arial"/>
          <w:sz w:val="18"/>
          <w:szCs w:val="18"/>
          <w:color w:val="auto"/>
        </w:rPr>
        <w:t>The debtor is past due for more than 90 days in any of its obligations to the Bank, either in the loan principal or interest; or when the principal balance with one single balloon payment was due for more than 30 days;</w:t>
      </w:r>
    </w:p>
    <w:p>
      <w:pPr>
        <w:spacing w:after="0" w:line="1" w:lineRule="exact"/>
        <w:rPr>
          <w:rFonts w:ascii="Arial" w:cs="Arial" w:eastAsia="Arial" w:hAnsi="Arial"/>
          <w:sz w:val="18"/>
          <w:szCs w:val="18"/>
          <w:color w:val="auto"/>
        </w:rPr>
      </w:pPr>
    </w:p>
    <w:p>
      <w:pPr>
        <w:ind w:left="980" w:hanging="243"/>
        <w:spacing w:after="0" w:line="260" w:lineRule="auto"/>
        <w:tabs>
          <w:tab w:leader="none" w:pos="980" w:val="left"/>
        </w:tabs>
        <w:numPr>
          <w:ilvl w:val="0"/>
          <w:numId w:val="144"/>
        </w:numPr>
        <w:rPr>
          <w:rFonts w:ascii="Arial" w:cs="Arial" w:eastAsia="Arial" w:hAnsi="Arial"/>
          <w:sz w:val="18"/>
          <w:szCs w:val="18"/>
          <w:color w:val="auto"/>
        </w:rPr>
      </w:pPr>
      <w:r>
        <w:rPr>
          <w:rFonts w:ascii="Arial" w:cs="Arial" w:eastAsia="Arial" w:hAnsi="Arial"/>
          <w:sz w:val="18"/>
          <w:szCs w:val="18"/>
          <w:color w:val="auto"/>
        </w:rPr>
        <w:t>Deterioration in the financial condition of the customer, or the existence of other factors allowing to estimate the possibility that the balance of principal and interest on customers’ loans will not be fully recovered.</w:t>
      </w:r>
    </w:p>
    <w:p>
      <w:pPr>
        <w:spacing w:after="0" w:line="18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59" w:name="page160"/>
    <w:bookmarkEnd w:id="1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45"/>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assessing whether a borrower is in default, the Bank considers qualitative and quantitative indicators based on data internally developed and obtained from external sources. Inputs into the assessment of whether a financial instrument is in default and their significance may vary over time to reflect changes in circumstances.</w:t>
      </w:r>
    </w:p>
    <w:p>
      <w:pPr>
        <w:spacing w:after="0" w:line="184" w:lineRule="exact"/>
        <w:rPr>
          <w:sz w:val="20"/>
          <w:szCs w:val="20"/>
          <w:color w:val="auto"/>
        </w:rPr>
      </w:pPr>
    </w:p>
    <w:p>
      <w:pPr>
        <w:ind w:left="1300" w:hanging="401"/>
        <w:spacing w:after="0"/>
        <w:tabs>
          <w:tab w:leader="none" w:pos="1300" w:val="left"/>
        </w:tabs>
        <w:numPr>
          <w:ilvl w:val="0"/>
          <w:numId w:val="146"/>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When assessing whether the credit risk on a financial instrument has increased significantly, the Bank considers the change in the risk of default occurring since initial recognition. For a financial instrument to be considered in default, management considers criteria used in the internal credit risk model and qualitative factors, such as financial covenants, where appropriate.</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continuously assesses significant increases in credit risk based on the change in the risk of a default occurring over the expected life of the credit instrument. In order to make the assessment of whether there has been significant credit deterioration, the Bank considers reasonable and supportable information that is available without undue cost or effort by comparing:</w:t>
      </w:r>
    </w:p>
    <w:p>
      <w:pPr>
        <w:spacing w:after="0" w:line="184" w:lineRule="exact"/>
        <w:rPr>
          <w:sz w:val="20"/>
          <w:szCs w:val="20"/>
          <w:color w:val="auto"/>
        </w:rPr>
      </w:pPr>
    </w:p>
    <w:p>
      <w:pPr>
        <w:ind w:left="1300" w:hanging="320"/>
        <w:spacing w:after="0"/>
        <w:tabs>
          <w:tab w:leader="none" w:pos="1300" w:val="left"/>
        </w:tabs>
        <w:numPr>
          <w:ilvl w:val="0"/>
          <w:numId w:val="147"/>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the assessment date, and</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147"/>
        </w:numPr>
        <w:rPr>
          <w:rFonts w:ascii="Arial" w:cs="Arial" w:eastAsia="Arial" w:hAnsi="Arial"/>
          <w:sz w:val="18"/>
          <w:szCs w:val="18"/>
          <w:color w:val="auto"/>
        </w:rPr>
      </w:pPr>
      <w:r>
        <w:rPr>
          <w:rFonts w:ascii="Arial" w:cs="Arial" w:eastAsia="Arial" w:hAnsi="Arial"/>
          <w:sz w:val="18"/>
          <w:szCs w:val="18"/>
          <w:color w:val="auto"/>
        </w:rPr>
        <w:t>The risk of a default occurring on the financial instrument at initial recognition.</w:t>
      </w:r>
    </w:p>
    <w:p>
      <w:pPr>
        <w:spacing w:after="0" w:line="211"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For loan commitments, the Bank considers changes in the risk of a default occurring on the ‘potential’ financial instrument to which a loan commitment relates, and for financial guarantee contracts, changes in the risk that the specified debtor will default, are taken into consideration.</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profit or loss as the impairment amount. Impairment losses or recoveries are accounted for as an adjustment to the reserve in accumulated other comprehensive income, against profit or loss.</w:t>
      </w:r>
    </w:p>
    <w:p>
      <w:pPr>
        <w:spacing w:after="0" w:line="187"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222222"/>
        </w:rPr>
        <w:t>Additionally, to determine if there has been a significant increase in risk, the Bank applies an alert model that considers the international economic environment, the specific financial situation by country and the economic analysis of the industry where the customer generates its income. The model defines a consolidated calculation of risk severity depending on the weighing of the severity to risk of each one of the scenarios under analysis. Also, this depends on the context of the variables or the ratings constructed for each one (by market, country and economic sector).</w:t>
      </w:r>
    </w:p>
    <w:p>
      <w:pPr>
        <w:spacing w:after="0" w:line="15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Impairment on a financial asset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defaults or delays in principal or interest; and, observable data indicating that there is a measurable decrease in estimated future cash flows since initial recognition.</w:t>
      </w:r>
    </w:p>
    <w:p>
      <w:pPr>
        <w:spacing w:after="0" w:line="188"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6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0" w:name="page161"/>
    <w:bookmarkEnd w:id="1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48"/>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3.4  Financial assets and liabilities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order to determine whether there has been a significant increase in the credit risk of the financial instrument, the assessment is based on quantitative information and qualitative information.</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considers the following factors, among others, when measuring significant increase in credit risk:</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Significant changes in internal indicators of credit risk as a result of a change in credit risk since inception;</w:t>
      </w:r>
    </w:p>
    <w:p>
      <w:pPr>
        <w:spacing w:after="0" w:line="23" w:lineRule="exact"/>
        <w:rPr>
          <w:rFonts w:ascii="Arial" w:cs="Arial" w:eastAsia="Arial" w:hAnsi="Arial"/>
          <w:sz w:val="18"/>
          <w:szCs w:val="18"/>
          <w:color w:val="auto"/>
        </w:rPr>
      </w:pPr>
    </w:p>
    <w:p>
      <w:pPr>
        <w:ind w:left="1300" w:hanging="320"/>
        <w:spacing w:after="0" w:line="250" w:lineRule="auto"/>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Significant changes in market indicators of credit risk for a particular financial instrument or similar financial instruments with the same expected life;</w:t>
      </w: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An actual or expected significant change in the financial instrument’s external credit rating;</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Existing or forecast adverse changes in business, financial or economic conditions;</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An actual or expected significant change in the operating results of the borrower;</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An actual or expected significant adverse change in the regulatory, economic, or technological environment of the borrower;</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Significant changes in the value of the collateral supporting the obligation;</w:t>
      </w:r>
    </w:p>
    <w:p>
      <w:pPr>
        <w:spacing w:after="0" w:line="9" w:lineRule="exact"/>
        <w:rPr>
          <w:rFonts w:ascii="Arial" w:cs="Arial" w:eastAsia="Arial" w:hAnsi="Arial"/>
          <w:sz w:val="18"/>
          <w:szCs w:val="18"/>
          <w:color w:val="auto"/>
        </w:rPr>
      </w:pPr>
    </w:p>
    <w:p>
      <w:pPr>
        <w:ind w:left="1300" w:hanging="320"/>
        <w:spacing w:after="0" w:line="260" w:lineRule="auto"/>
        <w:tabs>
          <w:tab w:leader="none" w:pos="1300" w:val="left"/>
        </w:tabs>
        <w:numPr>
          <w:ilvl w:val="1"/>
          <w:numId w:val="148"/>
        </w:numPr>
        <w:rPr>
          <w:rFonts w:ascii="Arial" w:cs="Arial" w:eastAsia="Arial" w:hAnsi="Arial"/>
          <w:sz w:val="18"/>
          <w:szCs w:val="18"/>
          <w:color w:val="auto"/>
        </w:rPr>
      </w:pPr>
      <w:r>
        <w:rPr>
          <w:rFonts w:ascii="Arial" w:cs="Arial" w:eastAsia="Arial" w:hAnsi="Arial"/>
          <w:sz w:val="18"/>
          <w:szCs w:val="18"/>
          <w:color w:val="auto"/>
        </w:rPr>
        <w:t>Significant changes, such as reductions in financial support from a parent entity or other affiliate or an actual or expected significant change in the quality of credit enhancements, among other factors incorporated in the Bank’s ECL model.</w:t>
      </w:r>
    </w:p>
    <w:p>
      <w:pPr>
        <w:spacing w:after="0" w:line="18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Additionally, management also applies complementary judgment to capture elements of prospective nature or loss expectations based on risks identified in the environment that are not necessarily reflected in the historical data.</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reserve balances for expected credit losses, for credit exposures, are calculated applying the following formula:</w:t>
      </w:r>
    </w:p>
    <w:p>
      <w:pPr>
        <w:spacing w:after="0" w:line="225" w:lineRule="exact"/>
        <w:rPr>
          <w:sz w:val="20"/>
          <w:szCs w:val="20"/>
          <w:color w:val="auto"/>
        </w:rPr>
      </w:pPr>
    </w:p>
    <w:p>
      <w:pPr>
        <w:ind w:left="660"/>
        <w:spacing w:after="0"/>
        <w:rPr>
          <w:sz w:val="20"/>
          <w:szCs w:val="20"/>
          <w:color w:val="auto"/>
        </w:rPr>
      </w:pPr>
      <w:r>
        <w:rPr>
          <w:rFonts w:ascii="Arial" w:cs="Arial" w:eastAsia="Arial" w:hAnsi="Arial"/>
          <w:sz w:val="18"/>
          <w:szCs w:val="18"/>
          <w:color w:val="auto"/>
        </w:rPr>
        <w:t>Reserves = ∑(E x PD x LGD); where:</w:t>
      </w:r>
    </w:p>
    <w:p>
      <w:pPr>
        <w:spacing w:after="0" w:line="225" w:lineRule="exact"/>
        <w:rPr>
          <w:sz w:val="20"/>
          <w:szCs w:val="20"/>
          <w:color w:val="auto"/>
        </w:rPr>
      </w:pPr>
    </w:p>
    <w:p>
      <w:pPr>
        <w:ind w:left="980" w:hanging="324"/>
        <w:spacing w:after="0"/>
        <w:tabs>
          <w:tab w:leader="none" w:pos="980" w:val="left"/>
        </w:tabs>
        <w:numPr>
          <w:ilvl w:val="1"/>
          <w:numId w:val="149"/>
        </w:numPr>
        <w:rPr>
          <w:rFonts w:ascii="Arial" w:cs="Arial" w:eastAsia="Arial" w:hAnsi="Arial"/>
          <w:sz w:val="18"/>
          <w:szCs w:val="18"/>
          <w:color w:val="auto"/>
        </w:rPr>
      </w:pPr>
      <w:r>
        <w:rPr>
          <w:rFonts w:ascii="Arial" w:cs="Arial" w:eastAsia="Arial" w:hAnsi="Arial"/>
          <w:sz w:val="18"/>
          <w:szCs w:val="18"/>
          <w:color w:val="auto"/>
        </w:rPr>
        <w:t>Exposure (E) = the total accounting balance at the end of the period under review.</w:t>
      </w:r>
    </w:p>
    <w:p>
      <w:pPr>
        <w:spacing w:after="0" w:line="225" w:lineRule="exact"/>
        <w:rPr>
          <w:rFonts w:ascii="Arial" w:cs="Arial" w:eastAsia="Arial" w:hAnsi="Arial"/>
          <w:sz w:val="18"/>
          <w:szCs w:val="18"/>
          <w:color w:val="auto"/>
        </w:rPr>
      </w:pPr>
    </w:p>
    <w:p>
      <w:pPr>
        <w:jc w:val="both"/>
        <w:ind w:left="980" w:hanging="324"/>
        <w:spacing w:after="0" w:line="259" w:lineRule="auto"/>
        <w:tabs>
          <w:tab w:leader="none" w:pos="980" w:val="left"/>
        </w:tabs>
        <w:numPr>
          <w:ilvl w:val="1"/>
          <w:numId w:val="149"/>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to account for 12-month ECL and lifetime probability of default to account for more than 12-month ECL. Default rates are based on Bladex’s historical portfolio performance per rating category, in addition to international rating agency’s probabilities of default for categories 6, 7 and 8, in view of the greater robustness of data for such cases.</w:t>
      </w:r>
    </w:p>
    <w:p>
      <w:pPr>
        <w:spacing w:after="0" w:line="186" w:lineRule="exact"/>
        <w:rPr>
          <w:rFonts w:ascii="Arial" w:cs="Arial" w:eastAsia="Arial" w:hAnsi="Arial"/>
          <w:sz w:val="18"/>
          <w:szCs w:val="18"/>
          <w:color w:val="auto"/>
        </w:rPr>
      </w:pPr>
    </w:p>
    <w:p>
      <w:pPr>
        <w:ind w:left="980" w:hanging="324"/>
        <w:spacing w:after="0" w:line="308" w:lineRule="auto"/>
        <w:tabs>
          <w:tab w:leader="none" w:pos="980" w:val="left"/>
        </w:tabs>
        <w:numPr>
          <w:ilvl w:val="1"/>
          <w:numId w:val="149"/>
        </w:numPr>
        <w:rPr>
          <w:rFonts w:ascii="Arial" w:cs="Arial" w:eastAsia="Arial" w:hAnsi="Arial"/>
          <w:sz w:val="17"/>
          <w:szCs w:val="17"/>
          <w:color w:val="auto"/>
        </w:rPr>
      </w:pPr>
      <w:r>
        <w:rPr>
          <w:rFonts w:ascii="Arial" w:cs="Arial" w:eastAsia="Arial" w:hAnsi="Arial"/>
          <w:sz w:val="17"/>
          <w:szCs w:val="17"/>
          <w:color w:val="auto"/>
        </w:rPr>
        <w:t>Loss Given Default (LGD) = a factor is applied, based on historical information, as well as best practices in the banking industry, volatility and simulated scenarios based on forward-looking information. Management applies judgment and historical loss experience.</w:t>
      </w:r>
    </w:p>
    <w:p>
      <w:pPr>
        <w:spacing w:after="0" w:line="146" w:lineRule="exact"/>
        <w:rPr>
          <w:rFonts w:ascii="Arial" w:cs="Arial" w:eastAsia="Arial" w:hAnsi="Arial"/>
          <w:sz w:val="17"/>
          <w:szCs w:val="17"/>
          <w:color w:val="auto"/>
        </w:rPr>
      </w:pPr>
    </w:p>
    <w:p>
      <w:pPr>
        <w:ind w:left="660" w:hanging="328"/>
        <w:spacing w:after="0"/>
        <w:tabs>
          <w:tab w:leader="none" w:pos="660" w:val="left"/>
        </w:tabs>
        <w:numPr>
          <w:ilvl w:val="0"/>
          <w:numId w:val="149"/>
        </w:numPr>
        <w:rPr>
          <w:rFonts w:ascii="Arial" w:cs="Arial" w:eastAsia="Arial" w:hAnsi="Arial"/>
          <w:sz w:val="18"/>
          <w:szCs w:val="18"/>
          <w:color w:val="auto"/>
        </w:rPr>
      </w:pPr>
      <w:r>
        <w:rPr>
          <w:rFonts w:ascii="Arial" w:cs="Arial" w:eastAsia="Arial" w:hAnsi="Arial"/>
          <w:sz w:val="18"/>
          <w:szCs w:val="18"/>
          <w:u w:val="single" w:color="auto"/>
          <w:color w:val="auto"/>
        </w:rPr>
        <w:t>Write-offs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Loans and debt securities are written off (either partially or in full) when there is no reasonable expectation of recovering a financial asset in its entirety or a portion thereof.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71" w:lineRule="exact"/>
        <w:rPr>
          <w:sz w:val="20"/>
          <w:szCs w:val="20"/>
          <w:color w:val="auto"/>
        </w:rPr>
      </w:pPr>
    </w:p>
    <w:p>
      <w:pPr>
        <w:ind w:left="340"/>
        <w:spacing w:after="0"/>
        <w:rPr>
          <w:sz w:val="20"/>
          <w:szCs w:val="20"/>
          <w:color w:val="auto"/>
        </w:rPr>
      </w:pPr>
      <w:r>
        <w:rPr>
          <w:rFonts w:ascii="Arial" w:cs="Arial" w:eastAsia="Arial" w:hAnsi="Arial"/>
          <w:sz w:val="17"/>
          <w:szCs w:val="17"/>
          <w:color w:val="auto"/>
        </w:rPr>
        <w:t>Recoveries of amounts previously written off are recognized when cash is received in the allowance for losses as mentioned in Note 3.4 (J).</w:t>
      </w:r>
    </w:p>
    <w:p>
      <w:pPr>
        <w:spacing w:after="0" w:line="23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1" w:name="page162"/>
    <w:bookmarkEnd w:id="1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5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Derivative financial instruments for risk management purposes and hedge accounting</w:t>
      </w:r>
    </w:p>
    <w:p>
      <w:pPr>
        <w:spacing w:after="0" w:line="229"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Derivatives held for risk management purposes include all derivative assets and liabilities that are not classified as trading assets or liabilities. Derivatives held for risk management purposes are measured at fair value in the consolidated statement of financial position. Derivatives are initially recognized at fair value at the date a derivative contract is entered into and are subsequently remeasured to their fair value at each reporting date. The resulting gain/loss is immediately recognized in profit or loss unless the derivative is designated and effective as a hedging instrument, in which event the timing of the recognition in profit or loss depends on the nature of the hedging relationship.</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Applicable standards for all hedging relationships</w:t>
      </w:r>
    </w:p>
    <w:p>
      <w:pPr>
        <w:spacing w:after="0" w:line="225"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hedging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187"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The Bank uses derivative financial instruments for its management of interest rate and foreign currency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65"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8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70"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Derivatives held for trading purposes include interest rate swaps, cross-currency swaps and foreign exchange forward contracts used for risk management purposes that do not qualify for hedge accounting. These derivatives are reported as asset or liabilities, as applicable. Changes in realized and unrealized gains and losses from these financial instruments are recognized as gains or losses on financial instruments.</w:t>
      </w:r>
    </w:p>
    <w:p>
      <w:pPr>
        <w:spacing w:after="0" w:line="165" w:lineRule="exact"/>
        <w:rPr>
          <w:rFonts w:ascii="Arial" w:cs="Arial" w:eastAsia="Arial" w:hAnsi="Arial"/>
          <w:sz w:val="18"/>
          <w:szCs w:val="18"/>
          <w:b w:val="1"/>
          <w:bCs w:val="1"/>
          <w:color w:val="auto"/>
        </w:rPr>
      </w:pPr>
    </w:p>
    <w:p>
      <w:pPr>
        <w:jc w:val="both"/>
        <w:ind w:left="34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Derivatives for hedging purposes primarily include foreign exchange forward contracts and interest rate swap contracts in US dollars and cross-currency swaps. Derivative contracts designated and qualifying for hedge accounting are reported in the consolidated statement of financial position as derivative financial instruments used for hedging - assets and liabilities,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hedging instrument should be qualitatively assessed on a quarterly basis in order to determine its effectiveness at achieving offsetting changes in fair value or cash flows. Any ineffectiveness must be reported in current-year profit or loss.</w:t>
      </w:r>
    </w:p>
    <w:p>
      <w:pPr>
        <w:spacing w:after="0" w:line="178" w:lineRule="exact"/>
        <w:rPr>
          <w:rFonts w:ascii="Arial" w:cs="Arial" w:eastAsia="Arial" w:hAnsi="Arial"/>
          <w:sz w:val="18"/>
          <w:szCs w:val="18"/>
          <w:b w:val="1"/>
          <w:bCs w:val="1"/>
          <w:color w:val="auto"/>
        </w:rPr>
      </w:pPr>
    </w:p>
    <w:p>
      <w:pPr>
        <w:ind w:left="880" w:hanging="548"/>
        <w:spacing w:after="0"/>
        <w:tabs>
          <w:tab w:leader="none" w:pos="880" w:val="left"/>
        </w:tabs>
        <w:numPr>
          <w:ilvl w:val="1"/>
          <w:numId w:val="150"/>
        </w:numPr>
        <w:rPr>
          <w:rFonts w:ascii="Arial" w:cs="Arial" w:eastAsia="Arial" w:hAnsi="Arial"/>
          <w:sz w:val="18"/>
          <w:szCs w:val="18"/>
          <w:color w:val="auto"/>
        </w:rPr>
      </w:pPr>
      <w:r>
        <w:rPr>
          <w:rFonts w:ascii="Arial" w:cs="Arial" w:eastAsia="Arial" w:hAnsi="Arial"/>
          <w:sz w:val="18"/>
          <w:szCs w:val="18"/>
          <w:u w:val="single" w:color="auto"/>
          <w:color w:val="auto"/>
        </w:rPr>
        <w:t>Hedge accounting relationship</w:t>
      </w:r>
    </w:p>
    <w:p>
      <w:pPr>
        <w:spacing w:after="0" w:line="22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As the Bank enters into a hedge accounting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whether qualitative or quantitative, considers the following: a) maturity; b) nominal amount; c) cash flow dates; d) interest rate basis; and e) credit risk, including the effect of collateral, among others.</w:t>
      </w:r>
    </w:p>
    <w:p>
      <w:pPr>
        <w:spacing w:after="0" w:line="1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2" w:name="page163"/>
    <w:bookmarkEnd w:id="1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51"/>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3.5  Derivative financial instruments for risk management purposes and hedge accounting (continued)</w:t>
      </w:r>
    </w:p>
    <w:p>
      <w:pPr>
        <w:spacing w:after="0" w:line="229" w:lineRule="exact"/>
        <w:rPr>
          <w:rFonts w:ascii="Arial" w:cs="Arial" w:eastAsia="Arial" w:hAnsi="Arial"/>
          <w:sz w:val="18"/>
          <w:szCs w:val="18"/>
          <w:b w:val="1"/>
          <w:bCs w:val="1"/>
          <w:color w:val="auto"/>
        </w:rPr>
      </w:pPr>
    </w:p>
    <w:p>
      <w:pPr>
        <w:ind w:left="880" w:hanging="548"/>
        <w:spacing w:after="0"/>
        <w:tabs>
          <w:tab w:leader="none" w:pos="880" w:val="left"/>
        </w:tabs>
        <w:numPr>
          <w:ilvl w:val="1"/>
          <w:numId w:val="151"/>
        </w:numPr>
        <w:rPr>
          <w:rFonts w:ascii="Arial" w:cs="Arial" w:eastAsia="Arial" w:hAnsi="Arial"/>
          <w:sz w:val="18"/>
          <w:szCs w:val="18"/>
          <w:color w:val="auto"/>
        </w:rPr>
      </w:pPr>
      <w:r>
        <w:rPr>
          <w:rFonts w:ascii="Arial" w:cs="Arial" w:eastAsia="Arial" w:hAnsi="Arial"/>
          <w:sz w:val="18"/>
          <w:szCs w:val="18"/>
          <w:u w:val="single" w:color="auto"/>
          <w:color w:val="auto"/>
        </w:rPr>
        <w:t>Hedge ratio</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the hedge ratio is generally set so as to adjust for the type of relation in order to improve effectiveness.</w:t>
      </w:r>
    </w:p>
    <w:p>
      <w:pPr>
        <w:spacing w:after="0" w:line="187" w:lineRule="exact"/>
        <w:rPr>
          <w:sz w:val="20"/>
          <w:szCs w:val="20"/>
          <w:color w:val="auto"/>
        </w:rPr>
      </w:pPr>
    </w:p>
    <w:p>
      <w:pPr>
        <w:ind w:left="880" w:hanging="548"/>
        <w:spacing w:after="0"/>
        <w:tabs>
          <w:tab w:leader="none" w:pos="880" w:val="left"/>
        </w:tabs>
        <w:numPr>
          <w:ilvl w:val="0"/>
          <w:numId w:val="152"/>
        </w:numPr>
        <w:rPr>
          <w:rFonts w:ascii="Arial" w:cs="Arial" w:eastAsia="Arial" w:hAnsi="Arial"/>
          <w:sz w:val="18"/>
          <w:szCs w:val="18"/>
          <w:color w:val="auto"/>
        </w:rPr>
      </w:pPr>
      <w:r>
        <w:rPr>
          <w:rFonts w:ascii="Arial" w:cs="Arial" w:eastAsia="Arial" w:hAnsi="Arial"/>
          <w:sz w:val="18"/>
          <w:szCs w:val="18"/>
          <w:u w:val="single" w:color="auto"/>
          <w:color w:val="auto"/>
        </w:rPr>
        <w:t>Discontinuation of hedge accounting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discontinues hedge accounting prospectively in the following situations:</w:t>
      </w:r>
    </w:p>
    <w:p>
      <w:pPr>
        <w:spacing w:after="0" w:line="225" w:lineRule="exact"/>
        <w:rPr>
          <w:sz w:val="20"/>
          <w:szCs w:val="20"/>
          <w:color w:val="auto"/>
        </w:rPr>
      </w:pPr>
    </w:p>
    <w:p>
      <w:pPr>
        <w:ind w:left="880" w:hanging="332"/>
        <w:spacing w:after="0"/>
        <w:tabs>
          <w:tab w:leader="none" w:pos="880" w:val="left"/>
        </w:tabs>
        <w:numPr>
          <w:ilvl w:val="0"/>
          <w:numId w:val="153"/>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23" w:lineRule="exact"/>
        <w:rPr>
          <w:rFonts w:ascii="Arial" w:cs="Arial" w:eastAsia="Arial" w:hAnsi="Arial"/>
          <w:sz w:val="18"/>
          <w:szCs w:val="18"/>
          <w:color w:val="auto"/>
        </w:rPr>
      </w:pPr>
    </w:p>
    <w:p>
      <w:pPr>
        <w:ind w:left="880" w:hanging="332"/>
        <w:spacing w:after="0"/>
        <w:tabs>
          <w:tab w:leader="none" w:pos="880" w:val="left"/>
        </w:tabs>
        <w:numPr>
          <w:ilvl w:val="0"/>
          <w:numId w:val="153"/>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9" w:lineRule="exact"/>
        <w:rPr>
          <w:rFonts w:ascii="Arial" w:cs="Arial" w:eastAsia="Arial" w:hAnsi="Arial"/>
          <w:sz w:val="18"/>
          <w:szCs w:val="18"/>
          <w:color w:val="auto"/>
        </w:rPr>
      </w:pPr>
    </w:p>
    <w:p>
      <w:pPr>
        <w:ind w:left="880" w:hanging="332"/>
        <w:spacing w:after="0"/>
        <w:tabs>
          <w:tab w:leader="none" w:pos="880" w:val="left"/>
        </w:tabs>
        <w:numPr>
          <w:ilvl w:val="0"/>
          <w:numId w:val="153"/>
        </w:numPr>
        <w:rPr>
          <w:rFonts w:ascii="Arial" w:cs="Arial" w:eastAsia="Arial" w:hAnsi="Arial"/>
          <w:sz w:val="18"/>
          <w:szCs w:val="18"/>
          <w:color w:val="auto"/>
        </w:rPr>
      </w:pPr>
      <w:r>
        <w:rPr>
          <w:rFonts w:ascii="Arial" w:cs="Arial" w:eastAsia="Arial" w:hAnsi="Arial"/>
          <w:sz w:val="18"/>
          <w:szCs w:val="18"/>
          <w:color w:val="auto"/>
        </w:rPr>
        <w:t>It is determined that designation of the derivative as a hedging instrument is no longer appropriate.</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carries all derivative financial instruments in the consolidated statement of financial position at fair value.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Fair value hedges</w:t>
      </w:r>
    </w:p>
    <w:p>
      <w:pPr>
        <w:spacing w:after="0" w:line="225" w:lineRule="exact"/>
        <w:rPr>
          <w:sz w:val="20"/>
          <w:szCs w:val="20"/>
          <w:color w:val="auto"/>
        </w:rPr>
      </w:pPr>
    </w:p>
    <w:p>
      <w:pPr>
        <w:jc w:val="both"/>
        <w:ind w:left="340"/>
        <w:spacing w:after="0" w:line="291" w:lineRule="auto"/>
        <w:rPr>
          <w:sz w:val="20"/>
          <w:szCs w:val="20"/>
          <w:color w:val="auto"/>
        </w:rPr>
      </w:pPr>
      <w:r>
        <w:rPr>
          <w:rFonts w:ascii="Arial" w:cs="Arial" w:eastAsia="Arial" w:hAnsi="Arial"/>
          <w:sz w:val="16"/>
          <w:szCs w:val="16"/>
          <w:color w:val="auto"/>
        </w:rPr>
        <w:t>When a derivative is designated as the hedging instrument in a hedge of the change in fair value of a recognized asset or liability or a firm commitment that could affect profit or loss, changes in the fair value of the derivative are recognized in profit or loss together with changes in the fair value of the hedged item that are attributable to the hedged risk, except when the hedging instrument hedges an equity instrument designated at FVOCI in which case it is recognized in OCI. The carrying amount of a hedged item not already measured at fair value is adjusted in profit or loss for the fair value change attributable to the hedged risk. For debt instruments measured at FVOCI, the carrying amount is not adjusted as it is already at fair value, but the part of the fair value on the hedged item associated with the hedged risk is recognized in profit or loss instead of OCI. When the hedged item is an equity instrument designated at FVOCI, the hedging gain/loss remains in OCI to match that of the hedging instrument.</w:t>
      </w:r>
    </w:p>
    <w:p>
      <w:pPr>
        <w:spacing w:after="0" w:line="16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 where hedging gains/losses are recognized in profit or loss; they are recognized in the same line as the hedged item.</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Cash flow hedges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recognized in profit or loss when the hedged cash flows affect earnings. The ineffective portion is recognized in profit or loss as loss on financial instruments, net. If the cash flow hedge relationship is terminated or exercised, or the hedge no longer meets the criteria for fair value hedge accounting, or the hedge designation is revoked, then hedge accounting is discontinued prospectively and the related amounts in OCI are reclassified into profit or loss when hedged cash flows occur.</w:t>
      </w:r>
    </w:p>
    <w:p>
      <w:pPr>
        <w:spacing w:after="0" w:line="19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Net investment hedges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When a derivative instrument or a non-derivative financial item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profit or loss. The amount recognized in OCI is reclassified to profit or loss as a reclassification adjustment when disposal of the foreign operation occurs.</w:t>
      </w:r>
    </w:p>
    <w:p>
      <w:pPr>
        <w:spacing w:after="0" w:line="17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3" w:name="page164"/>
    <w:bookmarkEnd w:id="1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5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3.6  Cash and due from banks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3.7  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Loans reported in the consolidated statement of financial position include:</w:t>
      </w:r>
    </w:p>
    <w:p>
      <w:pPr>
        <w:spacing w:after="0" w:line="225" w:lineRule="exact"/>
        <w:rPr>
          <w:rFonts w:ascii="Arial" w:cs="Arial" w:eastAsia="Arial" w:hAnsi="Arial"/>
          <w:sz w:val="18"/>
          <w:szCs w:val="18"/>
          <w:b w:val="1"/>
          <w:bCs w:val="1"/>
          <w:color w:val="auto"/>
        </w:rPr>
      </w:pPr>
    </w:p>
    <w:p>
      <w:pPr>
        <w:ind w:left="1300" w:hanging="320"/>
        <w:spacing w:after="0"/>
        <w:tabs>
          <w:tab w:leader="none" w:pos="1300" w:val="left"/>
        </w:tabs>
        <w:numPr>
          <w:ilvl w:val="1"/>
          <w:numId w:val="154"/>
        </w:numPr>
        <w:rPr>
          <w:rFonts w:ascii="Arial" w:cs="Arial" w:eastAsia="Arial" w:hAnsi="Arial"/>
          <w:sz w:val="18"/>
          <w:szCs w:val="18"/>
          <w:color w:val="auto"/>
        </w:rPr>
      </w:pPr>
      <w:r>
        <w:rPr>
          <w:rFonts w:ascii="Arial" w:cs="Arial" w:eastAsia="Arial" w:hAnsi="Arial"/>
          <w:sz w:val="18"/>
          <w:szCs w:val="18"/>
          <w:color w:val="auto"/>
        </w:rPr>
        <w:t>Loans at amortized cost</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1"/>
          <w:numId w:val="154"/>
        </w:numPr>
        <w:rPr>
          <w:rFonts w:ascii="Arial" w:cs="Arial" w:eastAsia="Arial" w:hAnsi="Arial"/>
          <w:sz w:val="18"/>
          <w:szCs w:val="18"/>
          <w:color w:val="auto"/>
        </w:rPr>
      </w:pPr>
      <w:r>
        <w:rPr>
          <w:rFonts w:ascii="Arial" w:cs="Arial" w:eastAsia="Arial" w:hAnsi="Arial"/>
          <w:sz w:val="18"/>
          <w:szCs w:val="18"/>
          <w:color w:val="auto"/>
        </w:rPr>
        <w:t>Loans measured at fair value through profit or loss</w:t>
      </w:r>
    </w:p>
    <w:p>
      <w:pPr>
        <w:spacing w:after="0" w:line="211"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Loans at amortized cost consider the principal outstanding amounts and interest receivable net of unearned interest, deferred fees and allowance for expected credit losses. The loans recognized and designated as hedged items in qualifying fair value hedging relationships, are measured at amortized cost adjusted for the hedge risk components associated to the hedging relationship. Purchased loans are recorded at acquisition cost. The difference between the outstanding amount and the acquisition cost of loans, premiums and discounts, is amortized over the life of the loan as an adjustment to the yield. All other costs related to acquisition of loans are also reflected as an adjustment to the yield and are expensed when incurred.</w:t>
      </w:r>
    </w:p>
    <w:p>
      <w:pPr>
        <w:spacing w:after="0" w:line="16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Loans measured at FVTPL arise as the result of the assessment of the financial instrument’s contractual terms and it is determined that the cash flows derived from the evaluated instrument do not meet with the SPPI criteria for its classification at amortized cost or at fair value through other comprehensive income.</w:t>
      </w:r>
    </w:p>
    <w:p>
      <w:pPr>
        <w:spacing w:after="0" w:line="180"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3.8</w:t>
      </w:r>
      <w:r>
        <w:rPr>
          <w:sz w:val="20"/>
          <w:szCs w:val="20"/>
          <w:color w:val="auto"/>
        </w:rPr>
        <w:tab/>
      </w:r>
      <w:r>
        <w:rPr>
          <w:rFonts w:ascii="Arial" w:cs="Arial" w:eastAsia="Arial" w:hAnsi="Arial"/>
          <w:sz w:val="15"/>
          <w:szCs w:val="15"/>
          <w:b w:val="1"/>
          <w:bCs w:val="1"/>
          <w:color w:val="auto"/>
        </w:rPr>
        <w:t>Securities and other financial assets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and other financial assets caption in the consolidated statement of financial position includes:</w:t>
      </w:r>
    </w:p>
    <w:p>
      <w:pPr>
        <w:spacing w:after="0" w:line="225" w:lineRule="exact"/>
        <w:rPr>
          <w:sz w:val="20"/>
          <w:szCs w:val="20"/>
          <w:color w:val="auto"/>
        </w:rPr>
      </w:pPr>
    </w:p>
    <w:p>
      <w:pPr>
        <w:ind w:left="1300" w:hanging="320"/>
        <w:spacing w:after="0" w:line="258" w:lineRule="auto"/>
        <w:tabs>
          <w:tab w:leader="none" w:pos="1300" w:val="left"/>
        </w:tabs>
        <w:numPr>
          <w:ilvl w:val="0"/>
          <w:numId w:val="155"/>
        </w:numPr>
        <w:rPr>
          <w:rFonts w:ascii="Arial" w:cs="Arial" w:eastAsia="Arial" w:hAnsi="Arial"/>
          <w:sz w:val="18"/>
          <w:szCs w:val="18"/>
          <w:color w:val="auto"/>
        </w:rPr>
      </w:pPr>
      <w:r>
        <w:rPr>
          <w:rFonts w:ascii="Arial" w:cs="Arial" w:eastAsia="Arial" w:hAnsi="Arial"/>
          <w:sz w:val="18"/>
          <w:szCs w:val="18"/>
          <w:color w:val="auto"/>
        </w:rPr>
        <w:t>Debt investment securities measured at amortized cost; these are initially measured at fair value plus incremental direct transaction costs, and subsequently at their amortized cost using the effective interest method;</w:t>
      </w:r>
    </w:p>
    <w:p>
      <w:pPr>
        <w:spacing w:after="0" w:line="1" w:lineRule="exact"/>
        <w:rPr>
          <w:rFonts w:ascii="Arial" w:cs="Arial" w:eastAsia="Arial" w:hAnsi="Arial"/>
          <w:sz w:val="18"/>
          <w:szCs w:val="18"/>
          <w:color w:val="auto"/>
        </w:rPr>
      </w:pPr>
    </w:p>
    <w:p>
      <w:pPr>
        <w:ind w:left="1300" w:hanging="320"/>
        <w:spacing w:after="0"/>
        <w:tabs>
          <w:tab w:leader="none" w:pos="1300" w:val="left"/>
        </w:tabs>
        <w:numPr>
          <w:ilvl w:val="0"/>
          <w:numId w:val="155"/>
        </w:numPr>
        <w:rPr>
          <w:rFonts w:ascii="Arial" w:cs="Arial" w:eastAsia="Arial" w:hAnsi="Arial"/>
          <w:sz w:val="18"/>
          <w:szCs w:val="18"/>
          <w:color w:val="auto"/>
        </w:rPr>
      </w:pPr>
      <w:r>
        <w:rPr>
          <w:rFonts w:ascii="Arial" w:cs="Arial" w:eastAsia="Arial" w:hAnsi="Arial"/>
          <w:sz w:val="18"/>
          <w:szCs w:val="18"/>
          <w:color w:val="auto"/>
        </w:rPr>
        <w:t>Debt and equity investment securities measured at FVOCI; and</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155"/>
        </w:numPr>
        <w:rPr>
          <w:rFonts w:ascii="Arial" w:cs="Arial" w:eastAsia="Arial" w:hAnsi="Arial"/>
          <w:sz w:val="18"/>
          <w:szCs w:val="18"/>
          <w:color w:val="auto"/>
        </w:rPr>
      </w:pPr>
      <w:r>
        <w:rPr>
          <w:rFonts w:ascii="Arial" w:cs="Arial" w:eastAsia="Arial" w:hAnsi="Arial"/>
          <w:sz w:val="18"/>
          <w:szCs w:val="18"/>
          <w:color w:val="auto"/>
        </w:rPr>
        <w:t>Debt investment securities measured at FVTPL</w:t>
      </w:r>
    </w:p>
    <w:p>
      <w:pPr>
        <w:spacing w:after="0" w:line="207" w:lineRule="exact"/>
        <w:rPr>
          <w:sz w:val="20"/>
          <w:szCs w:val="20"/>
          <w:color w:val="auto"/>
        </w:rPr>
      </w:pPr>
    </w:p>
    <w:p>
      <w:pPr>
        <w:ind w:left="340"/>
        <w:spacing w:after="0"/>
        <w:tabs>
          <w:tab w:leader="none" w:pos="720" w:val="left"/>
        </w:tabs>
        <w:rPr>
          <w:sz w:val="20"/>
          <w:szCs w:val="20"/>
          <w:color w:val="auto"/>
        </w:rPr>
      </w:pPr>
      <w:r>
        <w:rPr>
          <w:rFonts w:ascii="Arial" w:cs="Arial" w:eastAsia="Arial" w:hAnsi="Arial"/>
          <w:sz w:val="18"/>
          <w:szCs w:val="18"/>
          <w:b w:val="1"/>
          <w:bCs w:val="1"/>
          <w:color w:val="auto"/>
        </w:rPr>
        <w:t>3.9</w:t>
      </w:r>
      <w:r>
        <w:rPr>
          <w:sz w:val="20"/>
          <w:szCs w:val="20"/>
          <w:color w:val="auto"/>
        </w:rPr>
        <w:tab/>
      </w:r>
      <w:r>
        <w:rPr>
          <w:rFonts w:ascii="Arial" w:cs="Arial" w:eastAsia="Arial" w:hAnsi="Arial"/>
          <w:sz w:val="15"/>
          <w:szCs w:val="15"/>
          <w:b w:val="1"/>
          <w:bCs w:val="1"/>
          <w:color w:val="auto"/>
        </w:rPr>
        <w:t>Deposits, borrowings and repurchase agreements</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Liability deposits, borrowings and debt are accounted for at amortized cost, except for those designated as hedged items in qualifying fair value hedging relationships, which are measured at amortized cost adjusted for the hedge risk components associated to the hedging relationship.</w:t>
      </w:r>
    </w:p>
    <w:p>
      <w:pPr>
        <w:spacing w:after="0" w:line="146"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Repurchase agreements are transactions in which the Bank sells a security and simultaneously agrees to repurchase that security (or an asset that is substantially identical) at a fixed price on a future date. The Bank continues to recognize the securities in their entirety in the consolidated statement of financial position because it retains substantially all the risks and rewards of ownership. The cash consideration received is recognized as a financial asset and a financial liability is recognized for the obligation to pay the repurchase price.</w:t>
      </w:r>
    </w:p>
    <w:p>
      <w:pPr>
        <w:spacing w:after="0" w:line="17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Because in the repurchase agreements the Bank sells the contractual rights to the cash flows of the securities, it does not have the ability to use the transferred assets during the term of the arrangement.</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4" w:name="page165"/>
    <w:bookmarkEnd w:id="1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420" w:hanging="412"/>
        <w:spacing w:after="0"/>
        <w:tabs>
          <w:tab w:leader="none" w:pos="420" w:val="left"/>
        </w:tabs>
        <w:numPr>
          <w:ilvl w:val="0"/>
          <w:numId w:val="15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3.10 Loan commitments and financial guarantee contracts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Letters of credit, stand-by letters of credit and guarantees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9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Commitments to extend credit are binding legal agreements to lend to customers.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18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3.11 Leases</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At inception of a contract, the Bank assesses whether a contract is, or contains, a lease. A contract is, or contains, a lease if the contract conveys the right to control the use of an identified asset for a period of time in exchange for consideration. To assess whether a contract conveys the right to control the use of an identified asset, the Bank assesses whether:</w:t>
      </w:r>
    </w:p>
    <w:p>
      <w:pPr>
        <w:spacing w:after="0" w:line="184" w:lineRule="exact"/>
        <w:rPr>
          <w:sz w:val="20"/>
          <w:szCs w:val="20"/>
          <w:color w:val="auto"/>
        </w:rPr>
      </w:pPr>
    </w:p>
    <w:p>
      <w:pPr>
        <w:ind w:left="660" w:hanging="328"/>
        <w:spacing w:after="0" w:line="277" w:lineRule="auto"/>
        <w:tabs>
          <w:tab w:leader="none" w:pos="660" w:val="left"/>
        </w:tabs>
        <w:numPr>
          <w:ilvl w:val="0"/>
          <w:numId w:val="157"/>
        </w:numPr>
        <w:rPr>
          <w:rFonts w:ascii="Arial" w:cs="Arial" w:eastAsia="Arial" w:hAnsi="Arial"/>
          <w:sz w:val="18"/>
          <w:szCs w:val="18"/>
          <w:color w:val="auto"/>
        </w:rPr>
      </w:pPr>
      <w:r>
        <w:rPr>
          <w:rFonts w:ascii="Arial" w:cs="Arial" w:eastAsia="Arial" w:hAnsi="Arial"/>
          <w:sz w:val="18"/>
          <w:szCs w:val="18"/>
          <w:color w:val="auto"/>
        </w:rPr>
        <w:t>The contract involves the use of an identified asset –this may be specified explicitly or implicitly; and should be physically distinct or represent substantially all of the capacity of a physically distinct asset.</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157"/>
        </w:numPr>
        <w:rPr>
          <w:rFonts w:ascii="Arial" w:cs="Arial" w:eastAsia="Arial" w:hAnsi="Arial"/>
          <w:sz w:val="18"/>
          <w:szCs w:val="18"/>
          <w:color w:val="auto"/>
        </w:rPr>
      </w:pPr>
      <w:r>
        <w:rPr>
          <w:rFonts w:ascii="Arial" w:cs="Arial" w:eastAsia="Arial" w:hAnsi="Arial"/>
          <w:sz w:val="18"/>
          <w:szCs w:val="18"/>
          <w:color w:val="auto"/>
        </w:rPr>
        <w:t>The Bank has the right to obtain substantially all of the economic benefits from use of the asset throughout the period of use.</w:t>
      </w:r>
    </w:p>
    <w:p>
      <w:pPr>
        <w:spacing w:after="0" w:line="225" w:lineRule="exact"/>
        <w:rPr>
          <w:rFonts w:ascii="Arial" w:cs="Arial" w:eastAsia="Arial" w:hAnsi="Arial"/>
          <w:sz w:val="18"/>
          <w:szCs w:val="18"/>
          <w:color w:val="auto"/>
        </w:rPr>
      </w:pPr>
    </w:p>
    <w:p>
      <w:pPr>
        <w:jc w:val="both"/>
        <w:ind w:left="660" w:hanging="328"/>
        <w:spacing w:after="0" w:line="263" w:lineRule="auto"/>
        <w:tabs>
          <w:tab w:leader="none" w:pos="660" w:val="left"/>
        </w:tabs>
        <w:numPr>
          <w:ilvl w:val="0"/>
          <w:numId w:val="157"/>
        </w:numPr>
        <w:rPr>
          <w:rFonts w:ascii="Arial" w:cs="Arial" w:eastAsia="Arial" w:hAnsi="Arial"/>
          <w:sz w:val="18"/>
          <w:szCs w:val="18"/>
          <w:color w:val="auto"/>
        </w:rPr>
      </w:pPr>
      <w:r>
        <w:rPr>
          <w:rFonts w:ascii="Arial" w:cs="Arial" w:eastAsia="Arial" w:hAnsi="Arial"/>
          <w:sz w:val="18"/>
          <w:szCs w:val="18"/>
          <w:color w:val="auto"/>
        </w:rPr>
        <w:t>The Bank has the right to direct the use of the asset. The Bank has this right when it has the decision-making rights that are most relevant to changing how and for what purpose the asset is used. In rare cases where the decision about how and for what purpose the asset is used is predetermined, the Bank has the right to direct the use of the asset if either:</w:t>
      </w:r>
    </w:p>
    <w:p>
      <w:pPr>
        <w:spacing w:after="0" w:line="183" w:lineRule="exact"/>
        <w:rPr>
          <w:rFonts w:ascii="Arial" w:cs="Arial" w:eastAsia="Arial" w:hAnsi="Arial"/>
          <w:sz w:val="18"/>
          <w:szCs w:val="18"/>
          <w:color w:val="auto"/>
        </w:rPr>
      </w:pPr>
    </w:p>
    <w:p>
      <w:pPr>
        <w:ind w:left="1160" w:hanging="329"/>
        <w:spacing w:after="0"/>
        <w:tabs>
          <w:tab w:leader="none" w:pos="1160" w:val="left"/>
        </w:tabs>
        <w:numPr>
          <w:ilvl w:val="1"/>
          <w:numId w:val="157"/>
        </w:numPr>
        <w:rPr>
          <w:rFonts w:ascii="Arial" w:cs="Arial" w:eastAsia="Arial" w:hAnsi="Arial"/>
          <w:sz w:val="18"/>
          <w:szCs w:val="18"/>
          <w:color w:val="auto"/>
        </w:rPr>
      </w:pPr>
      <w:r>
        <w:rPr>
          <w:rFonts w:ascii="Arial" w:cs="Arial" w:eastAsia="Arial" w:hAnsi="Arial"/>
          <w:sz w:val="18"/>
          <w:szCs w:val="18"/>
          <w:color w:val="auto"/>
        </w:rPr>
        <w:t>The Bank has the right to operate the asset; or</w:t>
      </w:r>
    </w:p>
    <w:p>
      <w:pPr>
        <w:spacing w:after="0" w:line="23" w:lineRule="exact"/>
        <w:rPr>
          <w:rFonts w:ascii="Arial" w:cs="Arial" w:eastAsia="Arial" w:hAnsi="Arial"/>
          <w:sz w:val="18"/>
          <w:szCs w:val="18"/>
          <w:color w:val="auto"/>
        </w:rPr>
      </w:pPr>
    </w:p>
    <w:p>
      <w:pPr>
        <w:ind w:left="1160" w:hanging="329"/>
        <w:spacing w:after="0"/>
        <w:tabs>
          <w:tab w:leader="none" w:pos="1160" w:val="left"/>
        </w:tabs>
        <w:numPr>
          <w:ilvl w:val="1"/>
          <w:numId w:val="157"/>
        </w:numPr>
        <w:rPr>
          <w:rFonts w:ascii="Arial" w:cs="Arial" w:eastAsia="Arial" w:hAnsi="Arial"/>
          <w:sz w:val="18"/>
          <w:szCs w:val="18"/>
          <w:color w:val="auto"/>
        </w:rPr>
      </w:pPr>
      <w:r>
        <w:rPr>
          <w:rFonts w:ascii="Arial" w:cs="Arial" w:eastAsia="Arial" w:hAnsi="Arial"/>
          <w:sz w:val="18"/>
          <w:szCs w:val="18"/>
          <w:color w:val="auto"/>
        </w:rPr>
        <w:t>The Bank designed the asset in a way that predetermines how and for what purpose it will be used.</w:t>
      </w:r>
    </w:p>
    <w:p>
      <w:pPr>
        <w:spacing w:after="0" w:line="211"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At inception or on reassessment of a contract that contains a lease component, the Bank allocates the consideration in the contract to each lease component on the basis of their relative stand-alone prices. However, for lease agreements of office spaces in buildings in which the Bank is a lessee, it chose not to separate the components of the contract that do not correspond to the lease and to account for all of them under a single lease component.</w:t>
      </w:r>
    </w:p>
    <w:p>
      <w:pPr>
        <w:spacing w:after="0" w:line="14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details of the lease policy are described as follows:</w:t>
      </w:r>
    </w:p>
    <w:p>
      <w:pPr>
        <w:spacing w:after="0" w:line="225" w:lineRule="exact"/>
        <w:rPr>
          <w:sz w:val="20"/>
          <w:szCs w:val="20"/>
          <w:color w:val="auto"/>
        </w:rPr>
      </w:pPr>
    </w:p>
    <w:p>
      <w:pPr>
        <w:ind w:left="660" w:hanging="328"/>
        <w:spacing w:after="0"/>
        <w:tabs>
          <w:tab w:leader="none" w:pos="660" w:val="left"/>
        </w:tabs>
        <w:numPr>
          <w:ilvl w:val="0"/>
          <w:numId w:val="158"/>
        </w:numPr>
        <w:rPr>
          <w:rFonts w:ascii="Arial" w:cs="Arial" w:eastAsia="Arial" w:hAnsi="Arial"/>
          <w:sz w:val="18"/>
          <w:szCs w:val="18"/>
          <w:color w:val="auto"/>
        </w:rPr>
      </w:pPr>
      <w:r>
        <w:rPr>
          <w:rFonts w:ascii="Arial" w:cs="Arial" w:eastAsia="Arial" w:hAnsi="Arial"/>
          <w:sz w:val="18"/>
          <w:szCs w:val="18"/>
          <w:u w:val="single" w:color="auto"/>
          <w:color w:val="auto"/>
        </w:rPr>
        <w:t>Definition of a lease</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determines at the beginning of the contract if an agreement is or contains a lease according to IFRS 16. The Bank assesses if a contract is or contains a lease based on the definition of a lease.</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5" w:name="page166"/>
    <w:bookmarkEnd w:id="1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340" w:right="7660" w:hanging="332"/>
        <w:spacing w:after="0" w:line="503" w:lineRule="auto"/>
        <w:tabs>
          <w:tab w:leader="none" w:pos="340" w:val="left"/>
        </w:tabs>
        <w:numPr>
          <w:ilvl w:val="0"/>
          <w:numId w:val="159"/>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 3.11 Leases (continued)</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 xml:space="preserve">B.  </w:t>
      </w:r>
      <w:r>
        <w:rPr>
          <w:rFonts w:ascii="Arial" w:cs="Arial" w:eastAsia="Arial" w:hAnsi="Arial"/>
          <w:sz w:val="18"/>
          <w:szCs w:val="18"/>
          <w:u w:val="single" w:color="auto"/>
          <w:color w:val="auto"/>
        </w:rPr>
        <w:t>As a lessee</w:t>
      </w:r>
    </w:p>
    <w:p>
      <w:pPr>
        <w:spacing w:after="0" w:line="225"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The Bank recognizes right-of-use assets and lease liabilities for most leases. These leases are presented in the consolidated statement of financial position. Lease liabilities are measured at the present value of the lease payments, discounted at the Bank’s internal funding cost rate. The right-of-use assets are measured at their book value, by discounting total lease payments to present value using the Bank’s internal funding cost rate, for the weighted average term of the contract, adjusted for any prepayment, incremental cost, dismantling cost and accumulated depreciation.</w:t>
      </w:r>
    </w:p>
    <w:p>
      <w:pPr>
        <w:spacing w:after="0" w:line="15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right-of-use asset is subsequently depreciated using the straight-line method from the inception date until the end of the lease term. In addition, the right-of-use asset is periodically reduced by impairment losses, if applicable, and is adjusted for certain new measurements of the lease liability. The Bank presents its right of use assets in equipment and improvements to the leased property and the liability for lease in obligations and debt, net in the consolidated statement of financial position.</w:t>
      </w:r>
    </w:p>
    <w:p>
      <w:pPr>
        <w:spacing w:after="0" w:line="187" w:lineRule="exact"/>
        <w:rPr>
          <w:sz w:val="20"/>
          <w:szCs w:val="20"/>
          <w:color w:val="auto"/>
        </w:rPr>
      </w:pPr>
    </w:p>
    <w:p>
      <w:pPr>
        <w:ind w:left="660" w:hanging="328"/>
        <w:spacing w:after="0"/>
        <w:tabs>
          <w:tab w:leader="none" w:pos="660" w:val="left"/>
        </w:tabs>
        <w:numPr>
          <w:ilvl w:val="0"/>
          <w:numId w:val="160"/>
        </w:numPr>
        <w:rPr>
          <w:rFonts w:ascii="Arial" w:cs="Arial" w:eastAsia="Arial" w:hAnsi="Arial"/>
          <w:sz w:val="18"/>
          <w:szCs w:val="18"/>
          <w:color w:val="auto"/>
        </w:rPr>
      </w:pPr>
      <w:r>
        <w:rPr>
          <w:rFonts w:ascii="Arial" w:cs="Arial" w:eastAsia="Arial" w:hAnsi="Arial"/>
          <w:sz w:val="18"/>
          <w:szCs w:val="18"/>
          <w:u w:val="single" w:color="auto"/>
          <w:color w:val="auto"/>
        </w:rPr>
        <w:t>As a sublessor</w:t>
      </w:r>
    </w:p>
    <w:p>
      <w:pPr>
        <w:spacing w:after="0" w:line="225" w:lineRule="exact"/>
        <w:rPr>
          <w:sz w:val="20"/>
          <w:szCs w:val="20"/>
          <w:color w:val="auto"/>
        </w:rPr>
      </w:pPr>
    </w:p>
    <w:p>
      <w:pPr>
        <w:jc w:val="both"/>
        <w:ind w:left="400"/>
        <w:spacing w:after="0" w:line="263" w:lineRule="auto"/>
        <w:rPr>
          <w:sz w:val="20"/>
          <w:szCs w:val="20"/>
          <w:color w:val="auto"/>
        </w:rPr>
      </w:pPr>
      <w:r>
        <w:rPr>
          <w:rFonts w:ascii="Arial" w:cs="Arial" w:eastAsia="Arial" w:hAnsi="Arial"/>
          <w:sz w:val="18"/>
          <w:szCs w:val="18"/>
          <w:color w:val="auto"/>
        </w:rPr>
        <w:t>Sub-leases of assets for rights of use are classified as operating leases. The subleased portion is classified as investment property, which is subsequently measured by applying the cost model. Leases receivable are recognized as income in the consolidated statement of profit or loss in the period in which they are earned.</w:t>
      </w:r>
    </w:p>
    <w:p>
      <w:pPr>
        <w:spacing w:after="0" w:line="184"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applied IFRS 15 to revenue from contracts with customers to assign the consideration in the contract to each lease component and that is not a lease.</w:t>
      </w:r>
    </w:p>
    <w:p>
      <w:pPr>
        <w:spacing w:after="0" w:line="170" w:lineRule="exact"/>
        <w:rPr>
          <w:sz w:val="20"/>
          <w:szCs w:val="20"/>
          <w:color w:val="auto"/>
        </w:rPr>
      </w:pPr>
    </w:p>
    <w:p>
      <w:pPr>
        <w:ind w:left="660" w:hanging="328"/>
        <w:spacing w:after="0"/>
        <w:tabs>
          <w:tab w:leader="none" w:pos="660" w:val="left"/>
        </w:tabs>
        <w:numPr>
          <w:ilvl w:val="0"/>
          <w:numId w:val="161"/>
        </w:numPr>
        <w:rPr>
          <w:rFonts w:ascii="Arial" w:cs="Arial" w:eastAsia="Arial" w:hAnsi="Arial"/>
          <w:sz w:val="18"/>
          <w:szCs w:val="18"/>
          <w:color w:val="auto"/>
        </w:rPr>
      </w:pPr>
      <w:r>
        <w:rPr>
          <w:rFonts w:ascii="Arial" w:cs="Arial" w:eastAsia="Arial" w:hAnsi="Arial"/>
          <w:sz w:val="18"/>
          <w:szCs w:val="18"/>
          <w:u w:val="single" w:color="auto"/>
          <w:color w:val="auto"/>
        </w:rPr>
        <w:t>Investment properties - Right of use</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Rights-of-use assets that the Bank holds under sublease agreements for the purpose of obtaining lease income are classified as investment properties in the consolidated statement of financial position. These assets are measured at initial recognition using the same criteria used to recognize other rights-of-use assets. After initial recognition, the carrying amount of these assets is amortized on a straight-line basis over their life. The estimated useful life of these investment properties is closely related to the principal lease agreement.</w:t>
      </w:r>
    </w:p>
    <w:p>
      <w:pPr>
        <w:spacing w:after="0" w:line="16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3.12 Equipment and leasehold improvements</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Equipment and leasehold improvements are stated at cost excluding the costs of day–to–day maintenance, less accumulated depreciation and impairment losses. Changes in the expected useful life are accounted for by changing the amortization period or method, as appropriate, and treated as changes in accounting estimates.</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Depreciation is calculated using the straight–line method to write down the cost of assets and equipment to their residual values over their estimated useful lives. The estimated useful lives are as follows:</w:t>
      </w:r>
    </w:p>
    <w:p>
      <w:pPr>
        <w:spacing w:after="0" w:line="166" w:lineRule="exact"/>
        <w:rPr>
          <w:sz w:val="20"/>
          <w:szCs w:val="20"/>
          <w:color w:val="auto"/>
        </w:rPr>
      </w:pPr>
    </w:p>
    <w:tbl>
      <w:tblPr>
        <w:tblLayout w:type="fixed"/>
        <w:tblInd w:w="1180" w:type="dxa"/>
        <w:tblCellMar>
          <w:top w:w="0" w:type="dxa"/>
          <w:left w:w="0" w:type="dxa"/>
          <w:bottom w:w="0" w:type="dxa"/>
          <w:right w:w="0" w:type="dxa"/>
        </w:tblCellMar>
      </w:tblPr>
      <w:tr>
        <w:trPr>
          <w:trHeight w:val="234"/>
        </w:trPr>
        <w:tc>
          <w:tcPr>
            <w:tcW w:w="5140" w:type="dxa"/>
            <w:vAlign w:val="bottom"/>
            <w:vMerge w:val="restart"/>
          </w:tcPr>
          <w:p>
            <w:pPr>
              <w:spacing w:after="0"/>
              <w:rPr>
                <w:sz w:val="20"/>
                <w:szCs w:val="20"/>
                <w:color w:val="auto"/>
              </w:rPr>
            </w:pPr>
            <w:r>
              <w:rPr>
                <w:rFonts w:ascii="Arial" w:cs="Arial" w:eastAsia="Arial" w:hAnsi="Arial"/>
                <w:sz w:val="18"/>
                <w:szCs w:val="18"/>
                <w:color w:val="auto"/>
              </w:rPr>
              <w:t>Furniture and equipment</w:t>
            </w:r>
          </w:p>
        </w:tc>
        <w:tc>
          <w:tcPr>
            <w:tcW w:w="3800" w:type="dxa"/>
            <w:vAlign w:val="bottom"/>
            <w:tcBorders>
              <w:bottom w:val="single" w:sz="8" w:color="auto"/>
            </w:tcBorders>
          </w:tcPr>
          <w:p>
            <w:pPr>
              <w:jc w:val="center"/>
              <w:ind w:left="210"/>
              <w:spacing w:after="0"/>
              <w:rPr>
                <w:sz w:val="20"/>
                <w:szCs w:val="20"/>
                <w:color w:val="auto"/>
              </w:rPr>
            </w:pPr>
            <w:r>
              <w:rPr>
                <w:rFonts w:ascii="Arial" w:cs="Arial" w:eastAsia="Arial" w:hAnsi="Arial"/>
                <w:sz w:val="18"/>
                <w:szCs w:val="18"/>
                <w:b w:val="1"/>
                <w:bCs w:val="1"/>
                <w:color w:val="auto"/>
                <w:w w:val="89"/>
              </w:rPr>
              <w:t>Useful life in years</w:t>
            </w:r>
          </w:p>
        </w:tc>
        <w:tc>
          <w:tcPr>
            <w:tcW w:w="0" w:type="dxa"/>
            <w:vAlign w:val="bottom"/>
          </w:tcPr>
          <w:p>
            <w:pPr>
              <w:spacing w:after="0"/>
              <w:rPr>
                <w:sz w:val="1"/>
                <w:szCs w:val="1"/>
                <w:color w:val="auto"/>
              </w:rPr>
            </w:pPr>
          </w:p>
        </w:tc>
      </w:tr>
      <w:tr>
        <w:trPr>
          <w:trHeight w:val="195"/>
        </w:trPr>
        <w:tc>
          <w:tcPr>
            <w:tcW w:w="5140" w:type="dxa"/>
            <w:vAlign w:val="bottom"/>
            <w:vMerge w:val="continue"/>
          </w:tcPr>
          <w:p>
            <w:pPr>
              <w:spacing w:after="0"/>
              <w:rPr>
                <w:sz w:val="16"/>
                <w:szCs w:val="16"/>
                <w:color w:val="auto"/>
              </w:rPr>
            </w:pPr>
          </w:p>
        </w:tc>
        <w:tc>
          <w:tcPr>
            <w:tcW w:w="3800" w:type="dxa"/>
            <w:vAlign w:val="bottom"/>
          </w:tcPr>
          <w:p>
            <w:pPr>
              <w:jc w:val="center"/>
              <w:ind w:left="210"/>
              <w:spacing w:after="0" w:line="195" w:lineRule="exact"/>
              <w:rPr>
                <w:sz w:val="20"/>
                <w:szCs w:val="20"/>
                <w:color w:val="auto"/>
              </w:rPr>
            </w:pPr>
            <w:r>
              <w:rPr>
                <w:rFonts w:ascii="Arial" w:cs="Arial" w:eastAsia="Arial" w:hAnsi="Arial"/>
                <w:sz w:val="18"/>
                <w:szCs w:val="18"/>
                <w:color w:val="auto"/>
                <w:w w:val="87"/>
              </w:rPr>
              <w:t>3 to 5 years</w:t>
            </w:r>
          </w:p>
        </w:tc>
        <w:tc>
          <w:tcPr>
            <w:tcW w:w="0" w:type="dxa"/>
            <w:vAlign w:val="bottom"/>
          </w:tcPr>
          <w:p>
            <w:pPr>
              <w:spacing w:after="0"/>
              <w:rPr>
                <w:sz w:val="1"/>
                <w:szCs w:val="1"/>
                <w:color w:val="auto"/>
              </w:rPr>
            </w:pPr>
          </w:p>
        </w:tc>
      </w:tr>
      <w:tr>
        <w:trPr>
          <w:trHeight w:val="216"/>
        </w:trPr>
        <w:tc>
          <w:tcPr>
            <w:tcW w:w="5140" w:type="dxa"/>
            <w:vAlign w:val="bottom"/>
          </w:tcPr>
          <w:p>
            <w:pPr>
              <w:spacing w:after="0"/>
              <w:rPr>
                <w:sz w:val="20"/>
                <w:szCs w:val="20"/>
                <w:color w:val="auto"/>
              </w:rPr>
            </w:pPr>
            <w:r>
              <w:rPr>
                <w:rFonts w:ascii="Arial" w:cs="Arial" w:eastAsia="Arial" w:hAnsi="Arial"/>
                <w:sz w:val="18"/>
                <w:szCs w:val="18"/>
                <w:color w:val="auto"/>
              </w:rPr>
              <w:t>Hardware</w:t>
            </w:r>
          </w:p>
        </w:tc>
        <w:tc>
          <w:tcPr>
            <w:tcW w:w="3800" w:type="dxa"/>
            <w:vAlign w:val="bottom"/>
          </w:tcPr>
          <w:p>
            <w:pPr>
              <w:jc w:val="center"/>
              <w:ind w:left="210"/>
              <w:spacing w:after="0"/>
              <w:rPr>
                <w:sz w:val="20"/>
                <w:szCs w:val="20"/>
                <w:color w:val="auto"/>
              </w:rPr>
            </w:pPr>
            <w:r>
              <w:rPr>
                <w:rFonts w:ascii="Arial" w:cs="Arial" w:eastAsia="Arial" w:hAnsi="Arial"/>
                <w:sz w:val="18"/>
                <w:szCs w:val="18"/>
                <w:color w:val="auto"/>
                <w:w w:val="84"/>
              </w:rPr>
              <w:t>3 years</w:t>
            </w:r>
          </w:p>
        </w:tc>
        <w:tc>
          <w:tcPr>
            <w:tcW w:w="0" w:type="dxa"/>
            <w:vAlign w:val="bottom"/>
          </w:tcPr>
          <w:p>
            <w:pPr>
              <w:spacing w:after="0"/>
              <w:rPr>
                <w:sz w:val="1"/>
                <w:szCs w:val="1"/>
                <w:color w:val="auto"/>
              </w:rPr>
            </w:pPr>
          </w:p>
        </w:tc>
      </w:tr>
      <w:tr>
        <w:trPr>
          <w:trHeight w:val="216"/>
        </w:trPr>
        <w:tc>
          <w:tcPr>
            <w:tcW w:w="5140" w:type="dxa"/>
            <w:vAlign w:val="bottom"/>
          </w:tcPr>
          <w:p>
            <w:pPr>
              <w:spacing w:after="0"/>
              <w:rPr>
                <w:sz w:val="20"/>
                <w:szCs w:val="20"/>
                <w:color w:val="auto"/>
              </w:rPr>
            </w:pPr>
            <w:r>
              <w:rPr>
                <w:rFonts w:ascii="Arial" w:cs="Arial" w:eastAsia="Arial" w:hAnsi="Arial"/>
                <w:sz w:val="18"/>
                <w:szCs w:val="18"/>
                <w:color w:val="auto"/>
              </w:rPr>
              <w:t>Other equipment</w:t>
            </w:r>
          </w:p>
        </w:tc>
        <w:tc>
          <w:tcPr>
            <w:tcW w:w="3800" w:type="dxa"/>
            <w:vAlign w:val="bottom"/>
          </w:tcPr>
          <w:p>
            <w:pPr>
              <w:jc w:val="center"/>
              <w:ind w:left="210"/>
              <w:spacing w:after="0"/>
              <w:rPr>
                <w:sz w:val="20"/>
                <w:szCs w:val="20"/>
                <w:color w:val="auto"/>
              </w:rPr>
            </w:pPr>
            <w:r>
              <w:rPr>
                <w:rFonts w:ascii="Arial" w:cs="Arial" w:eastAsia="Arial" w:hAnsi="Arial"/>
                <w:sz w:val="18"/>
                <w:szCs w:val="18"/>
                <w:color w:val="auto"/>
                <w:w w:val="87"/>
              </w:rPr>
              <w:t>2 to 4 years</w:t>
            </w:r>
          </w:p>
        </w:tc>
        <w:tc>
          <w:tcPr>
            <w:tcW w:w="0" w:type="dxa"/>
            <w:vAlign w:val="bottom"/>
          </w:tcPr>
          <w:p>
            <w:pPr>
              <w:spacing w:after="0"/>
              <w:rPr>
                <w:sz w:val="1"/>
                <w:szCs w:val="1"/>
                <w:color w:val="auto"/>
              </w:rPr>
            </w:pPr>
          </w:p>
        </w:tc>
      </w:tr>
      <w:tr>
        <w:trPr>
          <w:trHeight w:val="230"/>
        </w:trPr>
        <w:tc>
          <w:tcPr>
            <w:tcW w:w="5140" w:type="dxa"/>
            <w:vAlign w:val="bottom"/>
          </w:tcPr>
          <w:p>
            <w:pPr>
              <w:spacing w:after="0"/>
              <w:rPr>
                <w:sz w:val="20"/>
                <w:szCs w:val="20"/>
                <w:color w:val="auto"/>
              </w:rPr>
            </w:pPr>
            <w:r>
              <w:rPr>
                <w:rFonts w:ascii="Arial" w:cs="Arial" w:eastAsia="Arial" w:hAnsi="Arial"/>
                <w:sz w:val="18"/>
                <w:szCs w:val="18"/>
                <w:color w:val="auto"/>
              </w:rPr>
              <w:t>Leasehold improvements</w:t>
            </w:r>
          </w:p>
        </w:tc>
        <w:tc>
          <w:tcPr>
            <w:tcW w:w="3800" w:type="dxa"/>
            <w:vAlign w:val="bottom"/>
          </w:tcPr>
          <w:p>
            <w:pPr>
              <w:jc w:val="center"/>
              <w:ind w:left="210"/>
              <w:spacing w:after="0"/>
              <w:rPr>
                <w:sz w:val="20"/>
                <w:szCs w:val="20"/>
                <w:color w:val="auto"/>
              </w:rPr>
            </w:pPr>
            <w:r>
              <w:rPr>
                <w:rFonts w:ascii="Arial" w:cs="Arial" w:eastAsia="Arial" w:hAnsi="Arial"/>
                <w:sz w:val="18"/>
                <w:szCs w:val="18"/>
                <w:color w:val="auto"/>
                <w:w w:val="89"/>
              </w:rPr>
              <w:t>3 to 15 years or up to the lease term</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Leasehold improvements, under operating leases are amortized on a straight-line basis calculated without exceeding the length of the respective lease contracts.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6" w:name="page167"/>
    <w:bookmarkEnd w:id="1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62"/>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3.12 Equipment and leasehold improvements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Equipment and leasehold improvements include right of use of assets arising from the lease policy. Regarding the recognition and subsequent measurement for lease contracts are set out in Note 3.11.</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Equipment and leasehold improvements are derecognized on disposal or when no future economic benefits are expected from their use. Any gain or loss arising on derecognition of the asset (calculated as the difference between the net disposal proceeds and the carrying amount of the asset) is recognized in other income or other expenses in profit or loss in the year that the asset is derecognized.</w:t>
      </w:r>
    </w:p>
    <w:p>
      <w:pPr>
        <w:spacing w:after="0" w:line="17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3.13 Investment property</w:t>
      </w:r>
    </w:p>
    <w:p>
      <w:pPr>
        <w:spacing w:after="0" w:line="229" w:lineRule="exact"/>
        <w:rPr>
          <w:rFonts w:ascii="Arial" w:cs="Arial" w:eastAsia="Arial" w:hAnsi="Arial"/>
          <w:sz w:val="18"/>
          <w:szCs w:val="18"/>
          <w:b w:val="1"/>
          <w:bCs w:val="1"/>
          <w:color w:val="auto"/>
        </w:rPr>
      </w:pPr>
    </w:p>
    <w:p>
      <w:pPr>
        <w:jc w:val="both"/>
        <w:ind w:left="32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Properties that are held with the intention of generating a return from rental, capital appreciation or both, as well as right-of-use assets recognized under IFRS 16 that the Bank holds under sublease agreements and that are not occupied by the Bank, are classified as investment properties in the consolidated statement of financial position and are initially measured at cost, including all transaction-related costs and, where applicable, costs associated with financing.</w:t>
      </w:r>
    </w:p>
    <w:p>
      <w:pPr>
        <w:spacing w:after="0" w:line="186" w:lineRule="exact"/>
        <w:rPr>
          <w:rFonts w:ascii="Arial" w:cs="Arial" w:eastAsia="Arial" w:hAnsi="Arial"/>
          <w:sz w:val="18"/>
          <w:szCs w:val="18"/>
          <w:b w:val="1"/>
          <w:bCs w:val="1"/>
          <w:color w:val="auto"/>
        </w:rPr>
      </w:pPr>
    </w:p>
    <w:p>
      <w:pPr>
        <w:ind w:left="3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After initial recognition, investment properties are measured at fair value, except for those investment properties – right of use recognized under IFRS 16 that the Bank holds under sublease agreements which are subsequently measured in accordance with IFRS 16.</w:t>
      </w:r>
    </w:p>
    <w:p>
      <w:pPr>
        <w:spacing w:after="0" w:line="170"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Fair value is based on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reporting date by professional appraisers who hold recognized and relevant professional qualifications and have recent experience in the location and category of the investment property being valued. These valuations form the basis for the carrying amounts in the consolidated financial statements.</w:t>
      </w:r>
    </w:p>
    <w:p>
      <w:pPr>
        <w:spacing w:after="0" w:line="18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fair value of investment property reflects, among other things, rental income from current leases and other assumptions market participants would make when pricing the property under current market conditions.</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Subsequent expenditure is capitalized to the asset’s carrying amount only when it is probable that future economic benefits associated with the expenditure will flow to the Bank and the cost of the item can be measured reliably.</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All other repairs and maintenance costs are expensed when incurred. When part of an investment property is replaced, the carrying amount of the replaced part is derecognized.</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Changes in fair value are recognized in profit or loss. Investment property is derecognized when disposed of.</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the Bank disposes of a property at fair value in an arm’s length transaction, the carrying value immediately prior to the sale is adjusted to the transaction price, and the adjustment is recorded in profit or loss as gain (loss) on non-financial assets.</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If an investment property becomes owner-occupied, it is reclassified as property, plant and equipment. Its fair value at the date of reclassification becomes its cost for subsequent accounting purposes.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7" w:name="page168"/>
    <w:bookmarkEnd w:id="16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6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3.14 Intangible assets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An intangible asset is recognized only when its cost can be measured reliably, and it is probable that the expected future economic benefits that are attributable to it will flow to the Bank.</w:t>
      </w:r>
    </w:p>
    <w:p>
      <w:pPr>
        <w:spacing w:after="0" w:line="170"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The useful lives of intangible assets are assessed to be either finite or indefinite. Intangible assets with finite useful lives are amortized using the straight-line method over the estimated useful lives of the assets.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profit or loss.</w:t>
      </w:r>
    </w:p>
    <w:p>
      <w:pPr>
        <w:spacing w:after="0" w:line="157"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Bank’s intangible assets include the cost of computer software. Amortization is calculated using the straight–line method to write down the cost of intangible assets to their residual values over their estimated useful lives of 5 years. Gains or losses arising from the derecognition of an intangible asset are determined by the Bank as the difference between proceeds from the sale or disposal and the net carrying amount of the intangible asset and recognized in profit or loss for the year in which the transaction occurs.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3.15 Impairment of non-financial assets</w:t>
      </w:r>
    </w:p>
    <w:p>
      <w:pPr>
        <w:spacing w:after="0" w:line="229" w:lineRule="exact"/>
        <w:rPr>
          <w:rFonts w:ascii="Arial" w:cs="Arial" w:eastAsia="Arial" w:hAnsi="Arial"/>
          <w:sz w:val="18"/>
          <w:szCs w:val="18"/>
          <w:b w:val="1"/>
          <w:bCs w:val="1"/>
          <w:color w:val="auto"/>
        </w:rPr>
      </w:pPr>
    </w:p>
    <w:p>
      <w:pPr>
        <w:jc w:val="both"/>
        <w:ind w:left="34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A non-financial asset is impaired when an entity will not be able to recover that asset’s carrying value, either through its use or sale. If circumstances arise which indicate that a non-financial asset might be impaired, a review should be undertaken of its cash generating abilities through use or sale. This review will produce an amount which should be compared with the asset’s carrying value, and if the carrying value is higher, the difference must be written off as impairment in profit or loss. On the other hand, if there is any indication that previously recognized impairment losses may no longer exist or may have decreased, the Bank makes an estimate of the recoverable amount. In that case, the carrying amount of the asset is increased to its recoverable amount. This increase cannot exceed the carrying amount that would have been determined, net of depreciation or amortization, had no impairment loss been recognized for the asset in prior years. Such reversal is recognized in profit or loss.</w:t>
      </w:r>
    </w:p>
    <w:p>
      <w:pPr>
        <w:spacing w:after="0" w:line="16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3.16 Provisions</w:t>
      </w:r>
    </w:p>
    <w:p>
      <w:pPr>
        <w:spacing w:after="0" w:line="229"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profit or loss, net of any reimbursement.</w:t>
      </w:r>
    </w:p>
    <w:p>
      <w:pPr>
        <w:spacing w:after="0" w:line="17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3.17 Share-based payments</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Compensation cost is based on the grant date fair value of both stock and options and is recognized over the requisite service period of the employee. The fair value of each option is estimated at the grant date using a binomial option-pricing model. When stocks options and restricted stock units vested are exercised, the Bank’s policy is to sale treasury stock.</w:t>
      </w:r>
    </w:p>
    <w:p>
      <w:pPr>
        <w:spacing w:after="0" w:line="179" w:lineRule="exact"/>
        <w:rPr>
          <w:rFonts w:ascii="Arial" w:cs="Arial" w:eastAsia="Arial" w:hAnsi="Arial"/>
          <w:sz w:val="18"/>
          <w:szCs w:val="18"/>
          <w:b w:val="1"/>
          <w:bCs w:val="1"/>
          <w:color w:val="auto"/>
        </w:rPr>
      </w:pPr>
    </w:p>
    <w:p>
      <w:pPr>
        <w:ind w:left="340" w:right="9980"/>
        <w:spacing w:after="0" w:line="532" w:lineRule="auto"/>
        <w:rPr>
          <w:rFonts w:ascii="Arial" w:cs="Arial" w:eastAsia="Arial" w:hAnsi="Arial"/>
          <w:sz w:val="18"/>
          <w:szCs w:val="18"/>
          <w:b w:val="1"/>
          <w:bCs w:val="1"/>
          <w:color w:val="auto"/>
        </w:rPr>
      </w:pPr>
      <w:r>
        <w:rPr>
          <w:rFonts w:ascii="Arial" w:cs="Arial" w:eastAsia="Arial" w:hAnsi="Arial"/>
          <w:sz w:val="17"/>
          <w:szCs w:val="17"/>
          <w:b w:val="1"/>
          <w:bCs w:val="1"/>
          <w:color w:val="auto"/>
        </w:rPr>
        <w:t xml:space="preserve">3.18 Equity </w:t>
      </w:r>
      <w:r>
        <w:rPr>
          <w:rFonts w:ascii="Arial" w:cs="Arial" w:eastAsia="Arial" w:hAnsi="Arial"/>
          <w:sz w:val="17"/>
          <w:szCs w:val="17"/>
          <w:u w:val="single" w:color="auto"/>
          <w:color w:val="auto"/>
        </w:rPr>
        <w:t>Reserves</w:t>
      </w:r>
    </w:p>
    <w:p>
      <w:pPr>
        <w:spacing w:after="0" w:line="1" w:lineRule="exact"/>
        <w:rPr>
          <w:sz w:val="20"/>
          <w:szCs w:val="20"/>
          <w:color w:val="auto"/>
        </w:rPr>
      </w:pPr>
    </w:p>
    <w:p>
      <w:pPr>
        <w:ind w:left="340" w:right="20"/>
        <w:spacing w:after="0" w:line="308" w:lineRule="auto"/>
        <w:rPr>
          <w:sz w:val="20"/>
          <w:szCs w:val="20"/>
          <w:color w:val="auto"/>
        </w:rPr>
      </w:pPr>
      <w:r>
        <w:rPr>
          <w:rFonts w:ascii="Arial" w:cs="Arial" w:eastAsia="Arial" w:hAnsi="Arial"/>
          <w:sz w:val="17"/>
          <w:szCs w:val="17"/>
          <w:color w:val="auto"/>
        </w:rPr>
        <w:t>Regulatory and capital reserves are established as appropriations from retained earnings and, as such, form part of retained earnings. Additions and reductions of regulatory and capital reserves require the approval of the Bank’s Board of Directors and the SBP, as applicable.</w:t>
      </w:r>
    </w:p>
    <w:p>
      <w:pPr>
        <w:spacing w:after="0" w:line="14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8" w:name="page169"/>
    <w:bookmarkEnd w:id="1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6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3.18 Equity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Other capital reserves, presented as other comprehensive income include:</w:t>
      </w:r>
    </w:p>
    <w:p>
      <w:pPr>
        <w:spacing w:after="0" w:line="225" w:lineRule="exact"/>
        <w:rPr>
          <w:rFonts w:ascii="Arial" w:cs="Arial" w:eastAsia="Arial" w:hAnsi="Arial"/>
          <w:sz w:val="18"/>
          <w:szCs w:val="18"/>
          <w:b w:val="1"/>
          <w:bCs w:val="1"/>
          <w:color w:val="auto"/>
        </w:rPr>
      </w:pPr>
    </w:p>
    <w:p>
      <w:pPr>
        <w:jc w:val="both"/>
        <w:ind w:left="1140" w:right="20" w:hanging="322"/>
        <w:spacing w:after="0" w:line="286" w:lineRule="auto"/>
        <w:tabs>
          <w:tab w:leader="none" w:pos="1140" w:val="left"/>
        </w:tabs>
        <w:numPr>
          <w:ilvl w:val="1"/>
          <w:numId w:val="164"/>
        </w:numPr>
        <w:rPr>
          <w:rFonts w:ascii="Arial" w:cs="Arial" w:eastAsia="Arial" w:hAnsi="Arial"/>
          <w:sz w:val="17"/>
          <w:szCs w:val="17"/>
          <w:color w:val="auto"/>
        </w:rPr>
      </w:pPr>
      <w:r>
        <w:rPr>
          <w:rFonts w:ascii="Arial" w:cs="Arial" w:eastAsia="Arial" w:hAnsi="Arial"/>
          <w:sz w:val="17"/>
          <w:szCs w:val="17"/>
          <w:u w:val="single" w:color="auto"/>
          <w:color w:val="auto"/>
        </w:rPr>
        <w:t>Translation reserve</w:t>
      </w:r>
      <w:r>
        <w:rPr>
          <w:rFonts w:ascii="Arial" w:cs="Arial" w:eastAsia="Arial" w:hAnsi="Arial"/>
          <w:sz w:val="17"/>
          <w:szCs w:val="17"/>
          <w:color w:val="auto"/>
        </w:rPr>
        <w:t>: The translation reserve comprises all foreign currency differences arising from the translation of the consolidated financial statements of foreign operations when the functional currency of the foreign operation is other than the US dollar, as well as the effective portion of any foreign currency differences arising from hedges of a net investment in a foreign operation.</w:t>
      </w:r>
    </w:p>
    <w:p>
      <w:pPr>
        <w:spacing w:after="0" w:line="165" w:lineRule="exact"/>
        <w:rPr>
          <w:rFonts w:ascii="Arial" w:cs="Arial" w:eastAsia="Arial" w:hAnsi="Arial"/>
          <w:sz w:val="17"/>
          <w:szCs w:val="17"/>
          <w:color w:val="auto"/>
        </w:rPr>
      </w:pPr>
    </w:p>
    <w:p>
      <w:pPr>
        <w:ind w:left="1140" w:hanging="322"/>
        <w:spacing w:after="0" w:line="308" w:lineRule="auto"/>
        <w:tabs>
          <w:tab w:leader="none" w:pos="1140" w:val="left"/>
        </w:tabs>
        <w:numPr>
          <w:ilvl w:val="1"/>
          <w:numId w:val="164"/>
        </w:numPr>
        <w:rPr>
          <w:rFonts w:ascii="Arial" w:cs="Arial" w:eastAsia="Arial" w:hAnsi="Arial"/>
          <w:sz w:val="17"/>
          <w:szCs w:val="17"/>
          <w:color w:val="auto"/>
        </w:rPr>
      </w:pPr>
      <w:r>
        <w:rPr>
          <w:rFonts w:ascii="Arial" w:cs="Arial" w:eastAsia="Arial" w:hAnsi="Arial"/>
          <w:sz w:val="17"/>
          <w:szCs w:val="17"/>
          <w:u w:val="single" w:color="auto"/>
          <w:color w:val="auto"/>
        </w:rPr>
        <w:t>Hedging reserve</w:t>
      </w:r>
      <w:r>
        <w:rPr>
          <w:rFonts w:ascii="Arial" w:cs="Arial" w:eastAsia="Arial" w:hAnsi="Arial"/>
          <w:sz w:val="17"/>
          <w:szCs w:val="17"/>
          <w:color w:val="auto"/>
        </w:rPr>
        <w:t>: The hedging reserve comprises the effective portion of the cumulative net change in the fair value of hedging instruments used in cash flow hedges pending subsequent recognition in profit or loss as the hedged cash flows affect profit or loss.</w:t>
      </w:r>
    </w:p>
    <w:p>
      <w:pPr>
        <w:spacing w:after="0" w:line="146" w:lineRule="exact"/>
        <w:rPr>
          <w:rFonts w:ascii="Arial" w:cs="Arial" w:eastAsia="Arial" w:hAnsi="Arial"/>
          <w:sz w:val="17"/>
          <w:szCs w:val="17"/>
          <w:color w:val="auto"/>
        </w:rPr>
      </w:pPr>
    </w:p>
    <w:p>
      <w:pPr>
        <w:ind w:left="1140" w:hanging="322"/>
        <w:spacing w:after="0" w:line="277" w:lineRule="auto"/>
        <w:tabs>
          <w:tab w:leader="none" w:pos="1140" w:val="left"/>
        </w:tabs>
        <w:numPr>
          <w:ilvl w:val="1"/>
          <w:numId w:val="164"/>
        </w:numPr>
        <w:rPr>
          <w:rFonts w:ascii="Arial" w:cs="Arial" w:eastAsia="Arial" w:hAnsi="Arial"/>
          <w:sz w:val="18"/>
          <w:szCs w:val="18"/>
          <w:color w:val="auto"/>
        </w:rPr>
      </w:pPr>
      <w:r>
        <w:rPr>
          <w:rFonts w:ascii="Arial" w:cs="Arial" w:eastAsia="Arial" w:hAnsi="Arial"/>
          <w:sz w:val="18"/>
          <w:szCs w:val="18"/>
          <w:u w:val="single" w:color="auto"/>
          <w:color w:val="auto"/>
        </w:rPr>
        <w:t>Fair value reserve</w:t>
      </w:r>
      <w:r>
        <w:rPr>
          <w:rFonts w:ascii="Arial" w:cs="Arial" w:eastAsia="Arial" w:hAnsi="Arial"/>
          <w:sz w:val="18"/>
          <w:szCs w:val="18"/>
          <w:color w:val="auto"/>
        </w:rPr>
        <w:t>: The fair value reserve comprises the cumulative net change in the fair value of investment securities measured at FVOCI, less the ECL allowance recognized in profit or loss.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Treasury stock and contracts on own shares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own equity instruments of the Bank which are acquired by it or by any of its subsidiaries (treasury stock) are deducted from equity and accounted for at weighted average cost. Consideration paid or received on the purchase, sale, issue or cancellation of the Bank’s own equity instruments is recognized directly in equity.</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6"/>
          <w:szCs w:val="16"/>
          <w:color w:val="auto"/>
        </w:rPr>
        <w:t>No gain or loss is recognized in profit or loss on the purchase, sale, issue or cancellation of own equity instruments, but is recognized directly in equity.</w:t>
      </w:r>
    </w:p>
    <w:p>
      <w:pPr>
        <w:spacing w:after="0" w:line="244"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3.19 Earnings per share</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w:t>
      </w:r>
    </w:p>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3.20 Taxes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Income taxes</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Current tax assets and liabilities for the current and prior years are measured at the amount expected to be recovered from or paid to the taxation authorities. Tax laws and regulations used to compute the amount are those that are enacted or substantively enacted by the reporting date.</w:t>
      </w:r>
    </w:p>
    <w:p>
      <w:pPr>
        <w:spacing w:after="0" w:line="124" w:lineRule="exact"/>
        <w:rPr>
          <w:sz w:val="20"/>
          <w:szCs w:val="20"/>
          <w:color w:val="auto"/>
        </w:rPr>
      </w:pPr>
    </w:p>
    <w:p>
      <w:pPr>
        <w:ind w:left="1140" w:hanging="322"/>
        <w:spacing w:after="0" w:line="258" w:lineRule="auto"/>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Representacao Ltda. is subject to income taxes in Brazil.</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Bladex Development Corp. is subject to income taxes in Panama.</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BLX Soluciones, S.A. de C.V., SOFOM, is subject to income taxes in Mexico.</w:t>
      </w:r>
    </w:p>
    <w:p>
      <w:pPr>
        <w:spacing w:after="0" w:line="9" w:lineRule="exact"/>
        <w:rPr>
          <w:rFonts w:ascii="Arial" w:cs="Arial" w:eastAsia="Arial" w:hAnsi="Arial"/>
          <w:sz w:val="18"/>
          <w:szCs w:val="18"/>
          <w:color w:val="auto"/>
        </w:rPr>
      </w:pPr>
    </w:p>
    <w:p>
      <w:pPr>
        <w:ind w:left="1140" w:right="20" w:hanging="322"/>
        <w:spacing w:after="0" w:line="260" w:lineRule="auto"/>
        <w:tabs>
          <w:tab w:leader="none" w:pos="1140" w:val="left"/>
        </w:tabs>
        <w:numPr>
          <w:ilvl w:val="0"/>
          <w:numId w:val="165"/>
        </w:numPr>
        <w:rPr>
          <w:rFonts w:ascii="Arial" w:cs="Arial" w:eastAsia="Arial" w:hAnsi="Arial"/>
          <w:sz w:val="18"/>
          <w:szCs w:val="18"/>
          <w:color w:val="auto"/>
        </w:rPr>
      </w:pPr>
      <w:r>
        <w:rPr>
          <w:rFonts w:ascii="Arial" w:cs="Arial" w:eastAsia="Arial" w:hAnsi="Arial"/>
          <w:sz w:val="18"/>
          <w:szCs w:val="18"/>
          <w:color w:val="auto"/>
        </w:rPr>
        <w:t>The New York Agency and Bladex Holdings, Inc. incorporated in USA are subject to federal and local taxation in USA based on the portion of income that is effectively connected with its operations in that country.</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Current and deferred tax</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current tax for the reporting date as well as for the deferred tax, result in a minimal amount, whereby the changes are presented in profit or loss as other operating expenses.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69" w:name="page170"/>
    <w:bookmarkEnd w:id="1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66"/>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3.20 Taxes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performes an annual assessment of laws and regulations in its different jurisdictions together with its tax experts to determine uncertainty regarding income tax treatments, concluding that there is no uncertainty about tax treatments applied in each tax legislation.</w:t>
      </w:r>
    </w:p>
    <w:p>
      <w:pPr>
        <w:spacing w:after="0" w:line="16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3.21 Segment reporting</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segment reporting is based on the following business segments: Commercial, which incorporates the Bank’s core business of financial intermediation and fee generating activities relating to the Bank’s commercial portfolio; and Treasury, which is responsible for the Bank’s funding and liquidity management, including its activities in investment securities, as well as management of the Bank’s interest rate, liquidity, price, and currency risks.</w:t>
      </w:r>
    </w:p>
    <w:p>
      <w:pPr>
        <w:spacing w:after="0" w:line="18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w:t>
      </w:r>
    </w:p>
    <w:p>
      <w:pPr>
        <w:spacing w:after="0" w:line="229" w:lineRule="exact"/>
        <w:rPr>
          <w:rFonts w:ascii="Arial" w:cs="Arial" w:eastAsia="Arial" w:hAnsi="Arial"/>
          <w:sz w:val="18"/>
          <w:szCs w:val="18"/>
          <w:b w:val="1"/>
          <w:bCs w:val="1"/>
          <w:color w:val="auto"/>
        </w:rPr>
      </w:pPr>
    </w:p>
    <w:p>
      <w:pPr>
        <w:ind w:left="34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preparation of the consolidated financial statements requires management to make estimates and use assumptions that affect the reported amounts of assets and liabilities and disclosure of contingent liabilities at the reporting date and the reported amounts of revenues and expenses during the year.</w:t>
      </w:r>
    </w:p>
    <w:p>
      <w:pPr>
        <w:spacing w:after="0" w:line="12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84" w:lineRule="exact"/>
        <w:rPr>
          <w:sz w:val="20"/>
          <w:szCs w:val="20"/>
          <w:color w:val="auto"/>
        </w:rPr>
      </w:pPr>
    </w:p>
    <w:p>
      <w:pPr>
        <w:ind w:left="660" w:hanging="328"/>
        <w:spacing w:after="0"/>
        <w:tabs>
          <w:tab w:leader="none" w:pos="660" w:val="left"/>
        </w:tabs>
        <w:numPr>
          <w:ilvl w:val="0"/>
          <w:numId w:val="167"/>
        </w:numPr>
        <w:rPr>
          <w:rFonts w:ascii="Arial" w:cs="Arial" w:eastAsia="Arial" w:hAnsi="Arial"/>
          <w:sz w:val="18"/>
          <w:szCs w:val="18"/>
          <w:color w:val="auto"/>
        </w:rPr>
      </w:pPr>
      <w:r>
        <w:rPr>
          <w:rFonts w:ascii="Arial" w:cs="Arial" w:eastAsia="Arial" w:hAnsi="Arial"/>
          <w:sz w:val="18"/>
          <w:szCs w:val="18"/>
          <w:u w:val="single" w:color="auto"/>
          <w:color w:val="auto"/>
        </w:rPr>
        <w:t>Judgments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the process of applying the Bank’s accounting policies, management has made the following judgments, which have the most significant effect on the amounts recognized in the consolidated financial statements: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Determining the reserve for expected credit losses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When establishing ECL, judgment is applied by management in order to assess the amount and opportunity of the future cash flows with the purpose of evaluating whether credit risk has significantly increased since initial recognition, taking into account the characteristics of the financial asset and the former patterns pre-established for similar financial assets. The changes in risk of default occurring within the next 12 months can be a reasonable approach of the changes in the risk measure according to the lifetime of the instrument. The Bank uses the changes in risk of default occurring within the next 12 months to determine if the credit risk has significantly increased since initial recognition, unless the circumstances indicate an assessment during the lifetime of the instrument is necessary.</w:t>
      </w:r>
    </w:p>
    <w:p>
      <w:pPr>
        <w:spacing w:after="0" w:line="192" w:lineRule="exact"/>
        <w:rPr>
          <w:sz w:val="20"/>
          <w:szCs w:val="20"/>
          <w:color w:val="auto"/>
        </w:rPr>
      </w:pPr>
    </w:p>
    <w:p>
      <w:pPr>
        <w:ind w:left="1300" w:hanging="320"/>
        <w:spacing w:after="0"/>
        <w:tabs>
          <w:tab w:leader="none" w:pos="1300" w:val="left"/>
        </w:tabs>
        <w:numPr>
          <w:ilvl w:val="0"/>
          <w:numId w:val="168"/>
        </w:numPr>
        <w:rPr>
          <w:rFonts w:ascii="Arial" w:cs="Arial" w:eastAsia="Arial" w:hAnsi="Arial"/>
          <w:sz w:val="18"/>
          <w:szCs w:val="18"/>
          <w:color w:val="auto"/>
        </w:rPr>
      </w:pPr>
      <w:r>
        <w:rPr>
          <w:rFonts w:ascii="Arial" w:cs="Arial" w:eastAsia="Arial" w:hAnsi="Arial"/>
          <w:sz w:val="18"/>
          <w:szCs w:val="18"/>
          <w:u w:val="single" w:color="auto"/>
          <w:color w:val="auto"/>
        </w:rPr>
        <w:t>Significant increase in credit risk</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For the financial assets in stage 1, ECL are measured as an allowance equal to 12-month ECL on stage 1 assets, or lifetime ECL assets on stage 2 or stage 3 assets. An asset moves to stage 2 when its credit risk has increased significantly since initial recognition. In assessing whether the credit risk of an asset has significantly increased the Bank takes into account reasonable and supportable forward-looking qualitative and quantitative information.</w:t>
      </w:r>
    </w:p>
    <w:p>
      <w:pPr>
        <w:spacing w:after="0" w:line="149" w:lineRule="exact"/>
        <w:rPr>
          <w:sz w:val="20"/>
          <w:szCs w:val="20"/>
          <w:color w:val="auto"/>
        </w:rPr>
      </w:pPr>
    </w:p>
    <w:p>
      <w:pPr>
        <w:ind w:left="1300" w:hanging="320"/>
        <w:spacing w:after="0"/>
        <w:tabs>
          <w:tab w:leader="none" w:pos="1300" w:val="left"/>
        </w:tabs>
        <w:numPr>
          <w:ilvl w:val="0"/>
          <w:numId w:val="169"/>
        </w:numPr>
        <w:rPr>
          <w:rFonts w:ascii="Arial" w:cs="Arial" w:eastAsia="Arial" w:hAnsi="Arial"/>
          <w:sz w:val="18"/>
          <w:szCs w:val="18"/>
          <w:color w:val="auto"/>
        </w:rPr>
      </w:pPr>
      <w:r>
        <w:rPr>
          <w:rFonts w:ascii="Arial" w:cs="Arial" w:eastAsia="Arial" w:hAnsi="Arial"/>
          <w:sz w:val="18"/>
          <w:szCs w:val="18"/>
          <w:u w:val="single" w:color="auto"/>
          <w:color w:val="auto"/>
        </w:rPr>
        <w:t>Establishing groups of assets with similar credit risk characteristics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When ECL are measured on a collective basis, the financial instruments are grouped on the basis of shared risk characteristics.</w:t>
      </w:r>
    </w:p>
    <w:p>
      <w:pPr>
        <w:spacing w:after="0" w:line="22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The Bank monitors the appropriateness of the credit risk characteristics on an ongoing basis to assess whether they continue to be similar. This is required in order to ensure that when credit risk characteristics change there is appropriate re-segmentation of the assets. This may result in new portfolios being created or assets moving to an existing portfolio that better reflects the similar credit risk characteristics of that group of assets. Re-segmentation of portfolios and movement between portfolios is more common when there is a significant increase in credit risk (or when that significant increase reverses) and so assets move from 12-month ECL to lifetime ECL, or vice versa, but it can also occur within portfolios that continue to be measured on the same basis of 12-month ECL or lifetime ECL but the amount of ECL changes because the credit risk of the portfolios differs.</w:t>
      </w:r>
    </w:p>
    <w:p>
      <w:pPr>
        <w:spacing w:after="0" w:line="1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70" w:name="page171"/>
    <w:bookmarkEnd w:id="1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70"/>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Determining the fair value on financial instruments</w:t>
      </w:r>
    </w:p>
    <w:p>
      <w:pPr>
        <w:spacing w:after="0" w:line="225" w:lineRule="exact"/>
        <w:rPr>
          <w:sz w:val="20"/>
          <w:szCs w:val="20"/>
          <w:color w:val="auto"/>
        </w:rPr>
      </w:pPr>
    </w:p>
    <w:p>
      <w:pPr>
        <w:ind w:left="980" w:hanging="324"/>
        <w:spacing w:after="0"/>
        <w:tabs>
          <w:tab w:leader="none" w:pos="980" w:val="left"/>
        </w:tabs>
        <w:numPr>
          <w:ilvl w:val="0"/>
          <w:numId w:val="171"/>
        </w:numPr>
        <w:rPr>
          <w:rFonts w:ascii="Arial" w:cs="Arial" w:eastAsia="Arial" w:hAnsi="Arial"/>
          <w:sz w:val="18"/>
          <w:szCs w:val="18"/>
          <w:color w:val="auto"/>
        </w:rPr>
      </w:pPr>
      <w:r>
        <w:rPr>
          <w:rFonts w:ascii="Arial" w:cs="Arial" w:eastAsia="Arial" w:hAnsi="Arial"/>
          <w:sz w:val="18"/>
          <w:szCs w:val="18"/>
          <w:u w:val="single" w:color="auto"/>
          <w:color w:val="auto"/>
        </w:rPr>
        <w:t>Models and assumptions used</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uses various models and assumptions in measuring fair value of financial assets as well as in estimating ECL. Judgment is applied in identifying the most appropriate model for each type of asset, as well as for determining the assumptions used in these models, including assumptions that relate to key drivers of credit risk.</w:t>
      </w:r>
    </w:p>
    <w:p>
      <w:pPr>
        <w:spacing w:after="0" w:line="184" w:lineRule="exact"/>
        <w:rPr>
          <w:sz w:val="20"/>
          <w:szCs w:val="20"/>
          <w:color w:val="auto"/>
        </w:rPr>
      </w:pPr>
    </w:p>
    <w:p>
      <w:pPr>
        <w:ind w:left="980" w:hanging="324"/>
        <w:spacing w:after="0"/>
        <w:tabs>
          <w:tab w:leader="none" w:pos="980" w:val="left"/>
        </w:tabs>
        <w:numPr>
          <w:ilvl w:val="0"/>
          <w:numId w:val="172"/>
        </w:numPr>
        <w:rPr>
          <w:rFonts w:ascii="Arial" w:cs="Arial" w:eastAsia="Arial" w:hAnsi="Arial"/>
          <w:sz w:val="18"/>
          <w:szCs w:val="18"/>
          <w:color w:val="auto"/>
        </w:rPr>
      </w:pPr>
      <w:r>
        <w:rPr>
          <w:rFonts w:ascii="Arial" w:cs="Arial" w:eastAsia="Arial" w:hAnsi="Arial"/>
          <w:sz w:val="18"/>
          <w:szCs w:val="18"/>
          <w:u w:val="single" w:color="auto"/>
          <w:color w:val="auto"/>
        </w:rPr>
        <w:t>Fair value measurement</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When the fair values of financial assets and financial liabilities recorded in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7.</w:t>
      </w:r>
    </w:p>
    <w:p>
      <w:pPr>
        <w:spacing w:after="0" w:line="17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Business model assessment</w:t>
      </w:r>
    </w:p>
    <w:p>
      <w:pPr>
        <w:spacing w:after="0" w:line="225"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Classification and measurement of financial assets depends on the results of the SPPI and the business model test. The Bank determines the business model at a level that reflects how groups of financial assets are managed together to achieve a particular business objective. This assessment includes judgment reflecting all relevant evidence including how the performance of the assets is evaluated and their performance is measured, and the risks that affect the performance of the assets and how they are managed. The Bank monitors financial assets measured at amortized cost or fair value through other comprehensive income that are derecognized prior to their maturity to understand the reason for their disposal and whether the reasons are consistent with the objective of the business for which the asset was held.</w:t>
      </w:r>
    </w:p>
    <w:p>
      <w:pPr>
        <w:spacing w:after="0" w:line="178" w:lineRule="exact"/>
        <w:rPr>
          <w:sz w:val="20"/>
          <w:szCs w:val="20"/>
          <w:color w:val="auto"/>
        </w:rPr>
      </w:pPr>
    </w:p>
    <w:p>
      <w:pPr>
        <w:ind w:left="660" w:hanging="328"/>
        <w:spacing w:after="0"/>
        <w:tabs>
          <w:tab w:leader="none" w:pos="660" w:val="left"/>
        </w:tabs>
        <w:numPr>
          <w:ilvl w:val="0"/>
          <w:numId w:val="173"/>
        </w:numPr>
        <w:rPr>
          <w:rFonts w:ascii="Arial" w:cs="Arial" w:eastAsia="Arial" w:hAnsi="Arial"/>
          <w:sz w:val="18"/>
          <w:szCs w:val="18"/>
          <w:color w:val="auto"/>
        </w:rPr>
      </w:pPr>
      <w:r>
        <w:rPr>
          <w:rFonts w:ascii="Arial" w:cs="Arial" w:eastAsia="Arial" w:hAnsi="Arial"/>
          <w:sz w:val="18"/>
          <w:szCs w:val="18"/>
          <w:u w:val="single" w:color="auto"/>
          <w:color w:val="auto"/>
        </w:rPr>
        <w:t>Estimates and assumptions</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8"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Going concern</w:t>
      </w:r>
    </w:p>
    <w:p>
      <w:pPr>
        <w:spacing w:after="0" w:line="225"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Therefore, the consolidated financial statements continue to be prepared on a going concern basis.</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Impairment losses on financial instruments at amortized cost</w:t>
      </w:r>
    </w:p>
    <w:p>
      <w:pPr>
        <w:spacing w:after="0" w:line="225"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 individually assesses all credit impaired loans at amortized cost at each reporting date to assess whether an impairment loss. Management’s judgment is required in the estimation of the amount and timing of future cash flows when determining the impairment loss. These estimates are based on assumptions about several factors and actual results that may vary, resulting in future changes to the allowance. Loans at amortized cost that do not give rise to credit impairment individually are assessed in groups of assets with similar risk characteristics. This is to determine whether a provision should be made due to incurred loss events for which there is objective evidence, but which effects are not yet evident.</w:t>
      </w:r>
    </w:p>
    <w:p>
      <w:pPr>
        <w:spacing w:after="0" w:line="16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71" w:name="page172"/>
    <w:bookmarkEnd w:id="1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74"/>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3.22 Judgments, estimates and significant accounting assumptions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collective assessment takes into account data from the loan portfolio (such as levels of arrears, credit utilization, loan-to-collateral ratios, etc.), and judgments on the effect of concentrations of risks and economic data (including levels of unemployment, real estate price indices, country risk and the performance of various individual groups).</w:t>
      </w:r>
    </w:p>
    <w:p>
      <w:pPr>
        <w:spacing w:after="0" w:line="179" w:lineRule="exact"/>
        <w:rPr>
          <w:rFonts w:ascii="Arial" w:cs="Arial" w:eastAsia="Arial" w:hAnsi="Arial"/>
          <w:sz w:val="18"/>
          <w:szCs w:val="18"/>
          <w:b w:val="1"/>
          <w:bCs w:val="1"/>
          <w:color w:val="auto"/>
        </w:rPr>
      </w:pPr>
    </w:p>
    <w:p>
      <w:pPr>
        <w:ind w:left="340" w:hanging="332"/>
        <w:spacing w:after="0"/>
        <w:tabs>
          <w:tab w:leader="none" w:pos="340" w:val="left"/>
        </w:tabs>
        <w:numPr>
          <w:ilvl w:val="0"/>
          <w:numId w:val="174"/>
        </w:numPr>
        <w:rPr>
          <w:rFonts w:ascii="Arial" w:cs="Arial" w:eastAsia="Arial" w:hAnsi="Arial"/>
          <w:sz w:val="18"/>
          <w:szCs w:val="18"/>
          <w:b w:val="1"/>
          <w:bCs w:val="1"/>
          <w:color w:val="auto"/>
        </w:rPr>
      </w:pPr>
      <w:r>
        <w:rPr>
          <w:rFonts w:ascii="Arial" w:cs="Arial" w:eastAsia="Arial" w:hAnsi="Arial"/>
          <w:sz w:val="18"/>
          <w:szCs w:val="18"/>
          <w:b w:val="1"/>
          <w:bCs w:val="1"/>
          <w:color w:val="auto"/>
        </w:rPr>
        <w:t>New accounting standards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  New accounting policies and amendments not yet adopted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September 2019, the International Accounting Standards Board (IASB) finalized Phase 1 of the IBOR Reform and issued the document Interest Rate Benchmark Reform (“the Reform”), which contains amendments to IFRS 9 and IFRS 7. These amendments are effective for annual periods beginning on or after 1 January 2020.</w:t>
      </w:r>
    </w:p>
    <w:p>
      <w:pPr>
        <w:spacing w:after="0" w:line="183"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August 2020, the IASB published the second phase of the project amendments to the Reform; this document contains exemptions and clarifications for the applicable financial instruments.</w:t>
      </w:r>
    </w:p>
    <w:p>
      <w:pPr>
        <w:spacing w:after="0" w:line="170" w:lineRule="exact"/>
        <w:rPr>
          <w:rFonts w:ascii="Arial" w:cs="Arial" w:eastAsia="Arial" w:hAnsi="Arial"/>
          <w:sz w:val="18"/>
          <w:szCs w:val="18"/>
          <w:b w:val="1"/>
          <w:bCs w:val="1"/>
          <w:color w:val="auto"/>
        </w:rPr>
      </w:pPr>
    </w:p>
    <w:p>
      <w:pPr>
        <w:ind w:left="340" w:right="7020"/>
        <w:spacing w:after="0" w:line="500" w:lineRule="auto"/>
        <w:rPr>
          <w:rFonts w:ascii="Arial" w:cs="Arial" w:eastAsia="Arial" w:hAnsi="Arial"/>
          <w:sz w:val="18"/>
          <w:szCs w:val="18"/>
          <w:b w:val="1"/>
          <w:bCs w:val="1"/>
          <w:color w:val="auto"/>
        </w:rPr>
      </w:pPr>
      <w:r>
        <w:rPr>
          <w:rFonts w:ascii="Arial" w:cs="Arial" w:eastAsia="Arial" w:hAnsi="Arial"/>
          <w:sz w:val="18"/>
          <w:szCs w:val="18"/>
          <w:i w:val="1"/>
          <w:iCs w:val="1"/>
          <w:color w:val="auto"/>
        </w:rPr>
        <w:t xml:space="preserve">Phase 2 of the Reference Interest Rate Reform Project </w:t>
      </w:r>
      <w:r>
        <w:rPr>
          <w:rFonts w:ascii="Arial" w:cs="Arial" w:eastAsia="Arial" w:hAnsi="Arial"/>
          <w:sz w:val="18"/>
          <w:szCs w:val="18"/>
          <w:color w:val="auto"/>
        </w:rPr>
        <w:t>This document contains:</w:t>
      </w:r>
    </w:p>
    <w:p>
      <w:pPr>
        <w:spacing w:after="0" w:line="1" w:lineRule="exact"/>
        <w:rPr>
          <w:rFonts w:ascii="Arial" w:cs="Arial" w:eastAsia="Arial" w:hAnsi="Arial"/>
          <w:sz w:val="18"/>
          <w:szCs w:val="18"/>
          <w:b w:val="1"/>
          <w:bCs w:val="1"/>
          <w:color w:val="auto"/>
        </w:rPr>
      </w:pPr>
    </w:p>
    <w:p>
      <w:pPr>
        <w:ind w:left="900" w:hanging="325"/>
        <w:spacing w:after="0"/>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Clarifications on changes in the basis used for determining contractual cash flows</w:t>
      </w:r>
    </w:p>
    <w:p>
      <w:pPr>
        <w:spacing w:after="0" w:line="23" w:lineRule="exact"/>
        <w:rPr>
          <w:rFonts w:ascii="Arial" w:cs="Arial" w:eastAsia="Arial" w:hAnsi="Arial"/>
          <w:sz w:val="18"/>
          <w:szCs w:val="18"/>
          <w:color w:val="auto"/>
        </w:rPr>
      </w:pPr>
    </w:p>
    <w:p>
      <w:pPr>
        <w:ind w:left="900" w:hanging="325"/>
        <w:spacing w:after="0" w:line="250" w:lineRule="auto"/>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Practical exemptions applicable to the existing criteria for re-estimating financial assets and liabilities at variable interest rates to account for modifications resulting from the Reform.</w:t>
      </w:r>
    </w:p>
    <w:p>
      <w:pPr>
        <w:ind w:left="900" w:hanging="325"/>
        <w:spacing w:after="0"/>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Practical exemptions allowing changes in the initial documentation of hedging relationships</w:t>
      </w:r>
    </w:p>
    <w:p>
      <w:pPr>
        <w:spacing w:after="0" w:line="9" w:lineRule="exact"/>
        <w:rPr>
          <w:rFonts w:ascii="Arial" w:cs="Arial" w:eastAsia="Arial" w:hAnsi="Arial"/>
          <w:sz w:val="18"/>
          <w:szCs w:val="18"/>
          <w:color w:val="auto"/>
        </w:rPr>
      </w:pPr>
    </w:p>
    <w:p>
      <w:pPr>
        <w:ind w:left="900" w:hanging="325"/>
        <w:spacing w:after="0" w:line="250" w:lineRule="auto"/>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Waivers for hedge groups of hedged items and interest rate risk portfolios when the items in the designated group are subject to the contractual amendments resulting from the Reform</w:t>
      </w:r>
    </w:p>
    <w:p>
      <w:pPr>
        <w:ind w:left="900" w:hanging="325"/>
        <w:spacing w:after="0" w:line="250" w:lineRule="auto"/>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Adds additional requirements when there are changes in the basis used to determine the contractual cash flows of the financial asset or liability that has given rise to the designation of a hedge</w:t>
      </w:r>
    </w:p>
    <w:p>
      <w:pPr>
        <w:ind w:left="900" w:hanging="325"/>
        <w:spacing w:after="0"/>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Provides temporary waiver in the designation of risk components</w:t>
      </w:r>
    </w:p>
    <w:p>
      <w:pPr>
        <w:spacing w:after="0" w:line="9" w:lineRule="exact"/>
        <w:rPr>
          <w:rFonts w:ascii="Arial" w:cs="Arial" w:eastAsia="Arial" w:hAnsi="Arial"/>
          <w:sz w:val="18"/>
          <w:szCs w:val="18"/>
          <w:color w:val="auto"/>
        </w:rPr>
      </w:pPr>
    </w:p>
    <w:p>
      <w:pPr>
        <w:ind w:left="900" w:hanging="325"/>
        <w:spacing w:after="0"/>
        <w:tabs>
          <w:tab w:leader="none" w:pos="900" w:val="left"/>
        </w:tabs>
        <w:numPr>
          <w:ilvl w:val="1"/>
          <w:numId w:val="174"/>
        </w:numPr>
        <w:rPr>
          <w:rFonts w:ascii="Arial" w:cs="Arial" w:eastAsia="Arial" w:hAnsi="Arial"/>
          <w:sz w:val="18"/>
          <w:szCs w:val="18"/>
          <w:color w:val="auto"/>
        </w:rPr>
      </w:pPr>
      <w:r>
        <w:rPr>
          <w:rFonts w:ascii="Arial" w:cs="Arial" w:eastAsia="Arial" w:hAnsi="Arial"/>
          <w:sz w:val="18"/>
          <w:szCs w:val="18"/>
          <w:color w:val="auto"/>
        </w:rPr>
        <w:t>New disclosure requirements are included in the financial statements</w:t>
      </w:r>
    </w:p>
    <w:p>
      <w:pPr>
        <w:spacing w:after="0" w:line="21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amendments issued in the second phase of the project are mandatory for annual periods beginning on or after 1 January 2021, and early adoption is permitted.</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31 December 2020, the Bank has not made the adoption of the reforms contained in phases 1 and 2 of the project amendments.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i w:val="1"/>
          <w:iCs w:val="1"/>
          <w:color w:val="auto"/>
        </w:rPr>
        <w:t>Managing interest rate benchmark reform and any risks arising due to reform</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Fundamental reform of significant interest rate benchmarks is being undertaken globally, including the replacement of interbank offered rates (IBORs) with alternative nearly risk-free rates. Due to the nature of its business, the Bank’s portfolio is mainly constituted of short-term fixed rate assets and liabilities. However, the Bank has exposures to IBORs (USD LIBOR only) on its financial instruments that will be replaced or reformed as part of these market-wide initiatives. There is uncertainty over the timing and the methods of transition. The Bank anticipates that IBOR Reform will impact its risk management and hedge accounting.</w:t>
      </w:r>
    </w:p>
    <w:p>
      <w:pPr>
        <w:spacing w:after="0" w:line="188"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Bank’s LIBOR Transition Steering Committee (LTSC) monitors and manages the transition to alternative rates. The Committee evaluates the extent to which contracts reference IBOR cash flows, whether such contracts need to be amended as a result of IBOR Reform and how to manage communication about IBOR reform with counterparties. The Committee reports to the Board of Directors and collaborates with other business functions as needed. It provides periodic reports to management on interest rate risk and risks arising from IBOR Reform.</w:t>
      </w:r>
    </w:p>
    <w:p>
      <w:pPr>
        <w:spacing w:after="0" w:line="17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72" w:name="page173"/>
    <w:bookmarkEnd w:id="1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175"/>
        </w:numPr>
        <w:rPr>
          <w:rFonts w:ascii="Arial" w:cs="Arial" w:eastAsia="Arial" w:hAnsi="Arial"/>
          <w:sz w:val="18"/>
          <w:szCs w:val="18"/>
          <w:b w:val="1"/>
          <w:bCs w:val="1"/>
          <w:color w:val="auto"/>
        </w:rPr>
      </w:pPr>
      <w:r>
        <w:rPr>
          <w:rFonts w:ascii="Arial" w:cs="Arial" w:eastAsia="Arial" w:hAnsi="Arial"/>
          <w:sz w:val="18"/>
          <w:szCs w:val="18"/>
          <w:b w:val="1"/>
          <w:bCs w:val="1"/>
          <w:color w:val="auto"/>
        </w:rPr>
        <w:t>New accounting standards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  New accounting policies and amendments not yet adopted (continued)</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Although USD LIBOR was planned to be discontinued by the end of 2021, consultations and possible regulatory changes are in progress. This may mean that certain USD LIBOR tenors may continue to be published until June 30, 2023.</w:t>
      </w:r>
    </w:p>
    <w:p>
      <w:pPr>
        <w:spacing w:after="0" w:line="170"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At the end of 2020, the Bank commenced amending existing loans and advances to corporate customer, including loan commitments. These amendments incorporate a fallback provision stating that the existing USD LIBOR benchmark rate will be replaced by SOFR (Secured Overnight Financing Rate) when USD LIBOR ceases to exist. The Bank plans to finish the process of amending contractual terms by the end of 2021.</w:t>
      </w:r>
    </w:p>
    <w:p>
      <w:pPr>
        <w:spacing w:after="0" w:line="165"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main risks to which the Bank is exposed as a result of IBOR reform are operational. Such operational risks include the renegotiation of loan contracts through bilateral negotiation with customers, updating of contractual terms, updating of systems that use USD LIBOR curves and revision of operational controls related to the Reform. Financial risk is predominantly limited to interest rate risk.</w:t>
      </w:r>
    </w:p>
    <w:p>
      <w:pPr>
        <w:spacing w:after="0" w:line="183" w:lineRule="exact"/>
        <w:rPr>
          <w:rFonts w:ascii="Arial" w:cs="Arial" w:eastAsia="Arial" w:hAnsi="Arial"/>
          <w:sz w:val="18"/>
          <w:szCs w:val="18"/>
          <w:b w:val="1"/>
          <w:bCs w:val="1"/>
          <w:color w:val="auto"/>
        </w:rPr>
      </w:pPr>
    </w:p>
    <w:p>
      <w:pPr>
        <w:ind w:left="340" w:right="6440"/>
        <w:spacing w:after="0" w:line="500" w:lineRule="auto"/>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 xml:space="preserve">Non-derivative financial instruments and loan commitments </w:t>
      </w:r>
      <w:r>
        <w:rPr>
          <w:rFonts w:ascii="Arial" w:cs="Arial" w:eastAsia="Arial" w:hAnsi="Arial"/>
          <w:sz w:val="18"/>
          <w:szCs w:val="18"/>
          <w:b w:val="1"/>
          <w:bCs w:val="1"/>
          <w:color w:val="auto"/>
        </w:rPr>
        <w:t>Quantitative Information</w:t>
      </w:r>
    </w:p>
    <w:p>
      <w:pPr>
        <w:spacing w:after="0" w:line="1"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Disaggregated information by financial instruments that have yet to transition to an alternative benchmark rate as at the end of the reporting period December 31, 2020 is the following. The information presented is the remaining exposure as at each reporting period.</w:t>
      </w:r>
    </w:p>
    <w:p>
      <w:pPr>
        <w:spacing w:after="0" w:line="170"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5660" w:type="dxa"/>
            <w:vAlign w:val="bottom"/>
          </w:tcPr>
          <w:p>
            <w:pPr>
              <w:spacing w:after="0"/>
              <w:rPr>
                <w:sz w:val="18"/>
                <w:szCs w:val="18"/>
                <w:color w:val="auto"/>
              </w:rPr>
            </w:pPr>
          </w:p>
        </w:tc>
        <w:tc>
          <w:tcPr>
            <w:tcW w:w="1540" w:type="dxa"/>
            <w:vAlign w:val="bottom"/>
            <w:gridSpan w:val="2"/>
          </w:tcPr>
          <w:p>
            <w:pPr>
              <w:jc w:val="center"/>
              <w:ind w:right="240"/>
              <w:spacing w:after="0"/>
              <w:rPr>
                <w:sz w:val="20"/>
                <w:szCs w:val="20"/>
                <w:color w:val="auto"/>
              </w:rPr>
            </w:pPr>
            <w:r>
              <w:rPr>
                <w:rFonts w:ascii="Arial" w:cs="Arial" w:eastAsia="Arial" w:hAnsi="Arial"/>
                <w:sz w:val="18"/>
                <w:szCs w:val="18"/>
                <w:color w:val="auto"/>
                <w:w w:val="96"/>
              </w:rPr>
              <w:t>USD LIBOR</w:t>
            </w:r>
          </w:p>
        </w:tc>
        <w:tc>
          <w:tcPr>
            <w:tcW w:w="1500" w:type="dxa"/>
            <w:vAlign w:val="bottom"/>
            <w:gridSpan w:val="2"/>
          </w:tcPr>
          <w:p>
            <w:pPr>
              <w:ind w:left="140"/>
              <w:spacing w:after="0"/>
              <w:rPr>
                <w:sz w:val="20"/>
                <w:szCs w:val="20"/>
                <w:color w:val="auto"/>
              </w:rPr>
            </w:pPr>
            <w:r>
              <w:rPr>
                <w:rFonts w:ascii="Arial" w:cs="Arial" w:eastAsia="Arial" w:hAnsi="Arial"/>
                <w:sz w:val="18"/>
                <w:szCs w:val="18"/>
                <w:color w:val="auto"/>
              </w:rPr>
              <w:t>USD LIBOR</w:t>
            </w:r>
          </w:p>
        </w:tc>
        <w:tc>
          <w:tcPr>
            <w:tcW w:w="1400" w:type="dxa"/>
            <w:vAlign w:val="bottom"/>
            <w:gridSpan w:val="2"/>
          </w:tcPr>
          <w:p>
            <w:pPr>
              <w:jc w:val="center"/>
              <w:ind w:right="180"/>
              <w:spacing w:after="0"/>
              <w:rPr>
                <w:sz w:val="20"/>
                <w:szCs w:val="20"/>
                <w:color w:val="auto"/>
              </w:rPr>
            </w:pPr>
            <w:r>
              <w:rPr>
                <w:rFonts w:ascii="Arial" w:cs="Arial" w:eastAsia="Arial" w:hAnsi="Arial"/>
                <w:sz w:val="18"/>
                <w:szCs w:val="18"/>
                <w:color w:val="auto"/>
                <w:w w:val="96"/>
              </w:rPr>
              <w:t>USD LIBOR</w:t>
            </w:r>
          </w:p>
        </w:tc>
      </w:tr>
      <w:tr>
        <w:trPr>
          <w:trHeight w:val="216"/>
        </w:trPr>
        <w:tc>
          <w:tcPr>
            <w:tcW w:w="5660" w:type="dxa"/>
            <w:vAlign w:val="bottom"/>
          </w:tcPr>
          <w:p>
            <w:pPr>
              <w:spacing w:after="0"/>
              <w:rPr>
                <w:sz w:val="18"/>
                <w:szCs w:val="18"/>
                <w:color w:val="auto"/>
              </w:rPr>
            </w:pP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color w:val="auto"/>
                <w:w w:val="88"/>
              </w:rPr>
              <w:t>as of December</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color w:val="auto"/>
                <w:w w:val="88"/>
              </w:rPr>
              <w:t>as of December</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color w:val="auto"/>
                <w:w w:val="86"/>
              </w:rPr>
              <w:t>as of June</w:t>
            </w:r>
          </w:p>
        </w:tc>
      </w:tr>
      <w:tr>
        <w:trPr>
          <w:trHeight w:val="230"/>
        </w:trPr>
        <w:tc>
          <w:tcPr>
            <w:tcW w:w="5660" w:type="dxa"/>
            <w:vAlign w:val="bottom"/>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31, 2021</w:t>
            </w:r>
          </w:p>
        </w:tc>
        <w:tc>
          <w:tcPr>
            <w:tcW w:w="220" w:type="dxa"/>
            <w:vAlign w:val="bottom"/>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1"/>
              </w:rPr>
              <w:t>31, 2022</w:t>
            </w:r>
          </w:p>
        </w:tc>
        <w:tc>
          <w:tcPr>
            <w:tcW w:w="180" w:type="dxa"/>
            <w:vAlign w:val="bottom"/>
          </w:tcPr>
          <w:p>
            <w:pPr>
              <w:spacing w:after="0"/>
              <w:rPr>
                <w:sz w:val="20"/>
                <w:szCs w:val="20"/>
                <w:color w:val="auto"/>
              </w:rPr>
            </w:pPr>
          </w:p>
        </w:tc>
        <w:tc>
          <w:tcPr>
            <w:tcW w:w="13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8"/>
              </w:rPr>
              <w:t>30, 2023</w:t>
            </w:r>
          </w:p>
        </w:tc>
        <w:tc>
          <w:tcPr>
            <w:tcW w:w="100" w:type="dxa"/>
            <w:vAlign w:val="bottom"/>
          </w:tcPr>
          <w:p>
            <w:pPr>
              <w:spacing w:after="0"/>
              <w:rPr>
                <w:sz w:val="20"/>
                <w:szCs w:val="20"/>
                <w:color w:val="auto"/>
              </w:rPr>
            </w:pPr>
          </w:p>
        </w:tc>
      </w:tr>
      <w:tr>
        <w:trPr>
          <w:trHeight w:val="195"/>
        </w:trPr>
        <w:tc>
          <w:tcPr>
            <w:tcW w:w="5660" w:type="dxa"/>
            <w:vAlign w:val="bottom"/>
          </w:tcPr>
          <w:p>
            <w:pPr>
              <w:spacing w:after="0"/>
              <w:rPr>
                <w:sz w:val="16"/>
                <w:szCs w:val="16"/>
                <w:color w:val="auto"/>
              </w:rPr>
            </w:pPr>
          </w:p>
        </w:tc>
        <w:tc>
          <w:tcPr>
            <w:tcW w:w="1320" w:type="dxa"/>
            <w:vAlign w:val="bottom"/>
          </w:tcPr>
          <w:p>
            <w:pPr>
              <w:jc w:val="center"/>
              <w:spacing w:after="0" w:line="195" w:lineRule="exact"/>
              <w:rPr>
                <w:sz w:val="20"/>
                <w:szCs w:val="20"/>
                <w:color w:val="auto"/>
              </w:rPr>
            </w:pPr>
            <w:r>
              <w:rPr>
                <w:rFonts w:ascii="Arial" w:cs="Arial" w:eastAsia="Arial" w:hAnsi="Arial"/>
                <w:sz w:val="18"/>
                <w:szCs w:val="18"/>
                <w:color w:val="auto"/>
                <w:w w:val="94"/>
              </w:rPr>
              <w:t>(Notional in US$</w:t>
            </w:r>
          </w:p>
        </w:tc>
        <w:tc>
          <w:tcPr>
            <w:tcW w:w="220" w:type="dxa"/>
            <w:vAlign w:val="bottom"/>
          </w:tcPr>
          <w:p>
            <w:pPr>
              <w:spacing w:after="0"/>
              <w:rPr>
                <w:sz w:val="16"/>
                <w:szCs w:val="16"/>
                <w:color w:val="auto"/>
              </w:rPr>
            </w:pPr>
          </w:p>
        </w:tc>
        <w:tc>
          <w:tcPr>
            <w:tcW w:w="1320" w:type="dxa"/>
            <w:vAlign w:val="bottom"/>
          </w:tcPr>
          <w:p>
            <w:pPr>
              <w:jc w:val="center"/>
              <w:spacing w:after="0" w:line="195" w:lineRule="exact"/>
              <w:rPr>
                <w:sz w:val="20"/>
                <w:szCs w:val="20"/>
                <w:color w:val="auto"/>
              </w:rPr>
            </w:pPr>
            <w:r>
              <w:rPr>
                <w:rFonts w:ascii="Arial" w:cs="Arial" w:eastAsia="Arial" w:hAnsi="Arial"/>
                <w:sz w:val="18"/>
                <w:szCs w:val="18"/>
                <w:color w:val="auto"/>
                <w:w w:val="94"/>
              </w:rPr>
              <w:t>(Notional in US$</w:t>
            </w:r>
          </w:p>
        </w:tc>
        <w:tc>
          <w:tcPr>
            <w:tcW w:w="180" w:type="dxa"/>
            <w:vAlign w:val="bottom"/>
          </w:tcPr>
          <w:p>
            <w:pPr>
              <w:spacing w:after="0"/>
              <w:rPr>
                <w:sz w:val="16"/>
                <w:szCs w:val="16"/>
                <w:color w:val="auto"/>
              </w:rPr>
            </w:pPr>
          </w:p>
        </w:tc>
        <w:tc>
          <w:tcPr>
            <w:tcW w:w="1300" w:type="dxa"/>
            <w:vAlign w:val="bottom"/>
          </w:tcPr>
          <w:p>
            <w:pPr>
              <w:jc w:val="center"/>
              <w:spacing w:after="0" w:line="195" w:lineRule="exact"/>
              <w:rPr>
                <w:sz w:val="20"/>
                <w:szCs w:val="20"/>
                <w:color w:val="auto"/>
              </w:rPr>
            </w:pPr>
            <w:r>
              <w:rPr>
                <w:rFonts w:ascii="Arial" w:cs="Arial" w:eastAsia="Arial" w:hAnsi="Arial"/>
                <w:sz w:val="18"/>
                <w:szCs w:val="18"/>
                <w:color w:val="auto"/>
                <w:w w:val="94"/>
              </w:rPr>
              <w:t>(Notional in US$</w:t>
            </w:r>
          </w:p>
        </w:tc>
        <w:tc>
          <w:tcPr>
            <w:tcW w:w="100" w:type="dxa"/>
            <w:vAlign w:val="bottom"/>
          </w:tcPr>
          <w:p>
            <w:pPr>
              <w:spacing w:after="0"/>
              <w:rPr>
                <w:sz w:val="16"/>
                <w:szCs w:val="16"/>
                <w:color w:val="auto"/>
              </w:rPr>
            </w:pPr>
          </w:p>
        </w:tc>
      </w:tr>
      <w:tr>
        <w:trPr>
          <w:trHeight w:val="237"/>
        </w:trPr>
        <w:tc>
          <w:tcPr>
            <w:tcW w:w="5660" w:type="dxa"/>
            <w:vAlign w:val="bottom"/>
          </w:tcPr>
          <w:p>
            <w:pPr>
              <w:spacing w:after="0"/>
              <w:rPr>
                <w:sz w:val="20"/>
                <w:szCs w:val="20"/>
                <w:color w:val="auto"/>
              </w:rPr>
            </w:pP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i w:val="1"/>
                <w:iCs w:val="1"/>
                <w:color w:val="auto"/>
                <w:w w:val="87"/>
              </w:rPr>
              <w:t>thousands</w:t>
            </w:r>
            <w:r>
              <w:rPr>
                <w:rFonts w:ascii="Arial" w:cs="Arial" w:eastAsia="Arial" w:hAnsi="Arial"/>
                <w:sz w:val="18"/>
                <w:szCs w:val="18"/>
                <w:color w:val="auto"/>
                <w:w w:val="87"/>
              </w:rPr>
              <w:t>)</w:t>
            </w:r>
          </w:p>
        </w:tc>
        <w:tc>
          <w:tcPr>
            <w:tcW w:w="1500" w:type="dxa"/>
            <w:vAlign w:val="bottom"/>
            <w:gridSpan w:val="2"/>
          </w:tcPr>
          <w:p>
            <w:pPr>
              <w:jc w:val="center"/>
              <w:ind w:right="180"/>
              <w:spacing w:after="0"/>
              <w:rPr>
                <w:sz w:val="20"/>
                <w:szCs w:val="20"/>
                <w:color w:val="auto"/>
              </w:rPr>
            </w:pPr>
            <w:r>
              <w:rPr>
                <w:rFonts w:ascii="Arial" w:cs="Arial" w:eastAsia="Arial" w:hAnsi="Arial"/>
                <w:sz w:val="18"/>
                <w:szCs w:val="18"/>
                <w:i w:val="1"/>
                <w:iCs w:val="1"/>
                <w:color w:val="auto"/>
                <w:w w:val="89"/>
              </w:rPr>
              <w:t>thousands</w:t>
            </w:r>
            <w:r>
              <w:rPr>
                <w:rFonts w:ascii="Arial" w:cs="Arial" w:eastAsia="Arial" w:hAnsi="Arial"/>
                <w:sz w:val="18"/>
                <w:szCs w:val="18"/>
                <w:color w:val="auto"/>
                <w:w w:val="89"/>
              </w:rPr>
              <w:t>)</w:t>
            </w:r>
          </w:p>
        </w:tc>
        <w:tc>
          <w:tcPr>
            <w:tcW w:w="1400" w:type="dxa"/>
            <w:vAlign w:val="bottom"/>
            <w:gridSpan w:val="2"/>
          </w:tcPr>
          <w:p>
            <w:pPr>
              <w:jc w:val="center"/>
              <w:ind w:right="100"/>
              <w:spacing w:after="0"/>
              <w:rPr>
                <w:sz w:val="20"/>
                <w:szCs w:val="20"/>
                <w:color w:val="auto"/>
              </w:rPr>
            </w:pPr>
            <w:r>
              <w:rPr>
                <w:rFonts w:ascii="Arial" w:cs="Arial" w:eastAsia="Arial" w:hAnsi="Arial"/>
                <w:sz w:val="18"/>
                <w:szCs w:val="18"/>
                <w:i w:val="1"/>
                <w:iCs w:val="1"/>
                <w:color w:val="auto"/>
                <w:w w:val="87"/>
              </w:rPr>
              <w:t>thousands</w:t>
            </w:r>
            <w:r>
              <w:rPr>
                <w:rFonts w:ascii="Arial" w:cs="Arial" w:eastAsia="Arial" w:hAnsi="Arial"/>
                <w:sz w:val="18"/>
                <w:szCs w:val="18"/>
                <w:color w:val="auto"/>
                <w:w w:val="87"/>
              </w:rPr>
              <w:t>)</w:t>
            </w:r>
          </w:p>
        </w:tc>
      </w:tr>
      <w:tr>
        <w:trPr>
          <w:trHeight w:val="223"/>
        </w:trPr>
        <w:tc>
          <w:tcPr>
            <w:tcW w:w="56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Non-derivative financial assets</w:t>
            </w:r>
          </w:p>
        </w:tc>
        <w:tc>
          <w:tcPr>
            <w:tcW w:w="13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16"/>
        </w:trPr>
        <w:tc>
          <w:tcPr>
            <w:tcW w:w="5660" w:type="dxa"/>
            <w:vAlign w:val="bottom"/>
          </w:tcPr>
          <w:p>
            <w:pPr>
              <w:spacing w:after="0"/>
              <w:rPr>
                <w:sz w:val="20"/>
                <w:szCs w:val="20"/>
                <w:color w:val="auto"/>
              </w:rPr>
            </w:pPr>
            <w:r>
              <w:rPr>
                <w:rFonts w:ascii="Arial" w:cs="Arial" w:eastAsia="Arial" w:hAnsi="Arial"/>
                <w:sz w:val="18"/>
                <w:szCs w:val="18"/>
                <w:color w:val="auto"/>
              </w:rPr>
              <w:t>Loans</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1,034, 252</w:t>
            </w:r>
          </w:p>
        </w:tc>
        <w:tc>
          <w:tcPr>
            <w:tcW w:w="1500" w:type="dxa"/>
            <w:vAlign w:val="bottom"/>
            <w:gridSpan w:val="2"/>
          </w:tcPr>
          <w:p>
            <w:pPr>
              <w:jc w:val="right"/>
              <w:ind w:right="180"/>
              <w:spacing w:after="0"/>
              <w:rPr>
                <w:sz w:val="20"/>
                <w:szCs w:val="20"/>
                <w:color w:val="auto"/>
              </w:rPr>
            </w:pPr>
            <w:r>
              <w:rPr>
                <w:rFonts w:ascii="Arial" w:cs="Arial" w:eastAsia="Arial" w:hAnsi="Arial"/>
                <w:sz w:val="18"/>
                <w:szCs w:val="18"/>
                <w:color w:val="auto"/>
              </w:rPr>
              <w:t>473,643</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416,833</w:t>
            </w:r>
          </w:p>
        </w:tc>
      </w:tr>
      <w:tr>
        <w:trPr>
          <w:trHeight w:val="216"/>
        </w:trPr>
        <w:tc>
          <w:tcPr>
            <w:tcW w:w="566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660" w:type="dxa"/>
            <w:vAlign w:val="bottom"/>
          </w:tcPr>
          <w:p>
            <w:pPr>
              <w:spacing w:after="0"/>
              <w:rPr>
                <w:sz w:val="20"/>
                <w:szCs w:val="20"/>
                <w:color w:val="auto"/>
              </w:rPr>
            </w:pPr>
            <w:r>
              <w:rPr>
                <w:rFonts w:ascii="Arial" w:cs="Arial" w:eastAsia="Arial" w:hAnsi="Arial"/>
                <w:sz w:val="18"/>
                <w:szCs w:val="18"/>
                <w:b w:val="1"/>
                <w:bCs w:val="1"/>
                <w:color w:val="auto"/>
              </w:rPr>
              <w:t>Non-derivative financial liabilities</w:t>
            </w: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60" w:type="dxa"/>
            <w:vAlign w:val="bottom"/>
            <w:shd w:val="clear" w:color="auto" w:fill="CCEEFF"/>
          </w:tcPr>
          <w:p>
            <w:pPr>
              <w:spacing w:after="0"/>
              <w:rPr>
                <w:sz w:val="20"/>
                <w:szCs w:val="20"/>
                <w:color w:val="auto"/>
              </w:rPr>
            </w:pPr>
            <w:r>
              <w:rPr>
                <w:rFonts w:ascii="Arial" w:cs="Arial" w:eastAsia="Arial" w:hAnsi="Arial"/>
                <w:sz w:val="18"/>
                <w:szCs w:val="18"/>
                <w:color w:val="auto"/>
              </w:rPr>
              <w:t>Borrowings</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222,500</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62,500</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12,500</w:t>
            </w:r>
          </w:p>
        </w:tc>
      </w:tr>
      <w:tr>
        <w:trPr>
          <w:trHeight w:val="216"/>
        </w:trPr>
        <w:tc>
          <w:tcPr>
            <w:tcW w:w="566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5660" w:type="dxa"/>
            <w:vAlign w:val="bottom"/>
            <w:shd w:val="clear" w:color="auto" w:fill="CCEEFF"/>
          </w:tcPr>
          <w:p>
            <w:pPr>
              <w:spacing w:after="0"/>
              <w:rPr>
                <w:sz w:val="20"/>
                <w:szCs w:val="20"/>
                <w:color w:val="auto"/>
              </w:rPr>
            </w:pPr>
            <w:r>
              <w:rPr>
                <w:rFonts w:ascii="Arial" w:cs="Arial" w:eastAsia="Arial" w:hAnsi="Arial"/>
                <w:sz w:val="18"/>
                <w:szCs w:val="18"/>
                <w:color w:val="auto"/>
              </w:rPr>
              <w:t>Loan commitments</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63,333</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60,000</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10,000</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has USD LIBOR exposures on floating-rate loans and advances to customers and loan commitments.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73" w:name="page174"/>
    <w:bookmarkEnd w:id="17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76"/>
        </w:numPr>
        <w:rPr>
          <w:rFonts w:ascii="Arial" w:cs="Arial" w:eastAsia="Arial" w:hAnsi="Arial"/>
          <w:sz w:val="18"/>
          <w:szCs w:val="18"/>
          <w:b w:val="1"/>
          <w:bCs w:val="1"/>
          <w:color w:val="auto"/>
        </w:rPr>
      </w:pPr>
      <w:r>
        <w:rPr>
          <w:rFonts w:ascii="Arial" w:cs="Arial" w:eastAsia="Arial" w:hAnsi="Arial"/>
          <w:sz w:val="18"/>
          <w:szCs w:val="18"/>
          <w:b w:val="1"/>
          <w:bCs w:val="1"/>
          <w:color w:val="auto"/>
        </w:rPr>
        <w:t>New accounting standards (continued)</w:t>
      </w:r>
    </w:p>
    <w:p>
      <w:pPr>
        <w:spacing w:after="0" w:line="225" w:lineRule="exact"/>
        <w:rPr>
          <w:rFonts w:ascii="Arial" w:cs="Arial" w:eastAsia="Arial" w:hAnsi="Arial"/>
          <w:sz w:val="18"/>
          <w:szCs w:val="18"/>
          <w:b w:val="1"/>
          <w:bCs w:val="1"/>
          <w:color w:val="auto"/>
        </w:rPr>
      </w:pPr>
    </w:p>
    <w:p>
      <w:pPr>
        <w:ind w:left="340" w:right="5220"/>
        <w:spacing w:after="0" w:line="56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4.1 New accounting policies and amendments not yet adopted (continued) </w:t>
      </w:r>
      <w:r>
        <w:rPr>
          <w:rFonts w:ascii="Arial" w:cs="Arial" w:eastAsia="Arial" w:hAnsi="Arial"/>
          <w:sz w:val="16"/>
          <w:szCs w:val="16"/>
          <w:b w:val="1"/>
          <w:bCs w:val="1"/>
          <w:i w:val="1"/>
          <w:iCs w:val="1"/>
          <w:color w:val="auto"/>
        </w:rPr>
        <w:t>Derivatives held for risk management and hedge accounting</w:t>
      </w: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Bank's derivative instruments are governed by ISDA's 2006 definitions. ISDA has reviewed its definitions in light of IBOR Reform and issued an IBOR fallbacks supplement on October 23, 2020. This sets out how the amendments to new alternative benchmark rates (e.g., SOFR) in the 2006 ISDA definitions will be accomplished. The effect of the supplement is to create fallback provisions in derivatives that describe what floating rates will apply on the permanent discontinuation of certain key IBORs or in ISDA declaring a non-representative determination of an IBOR.</w:t>
      </w:r>
    </w:p>
    <w:p>
      <w:pPr>
        <w:spacing w:after="0" w:line="171"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The Bank plans to adhere to the protocol to implement the fallbacks to derivative contracts that were entered into before the effective date of the supplement. If derivative counterparties also adhere to the protocol, then new fallbacks will be automatically implemented in existing derivative contracts on the later of when the supplement becomes effective or both counterparties adhere to the protocol. From that date, all new derivatives that reference the ISDA definitions will also include the fallbacks. Consequently, the Bank is monitoring whether its counterparties will also adhere to the protocol and, if there are counterparties that will not, then the Bank plans to negotiate with them bilaterally about inclusion of new fallback clauses.</w:t>
      </w:r>
    </w:p>
    <w:p>
      <w:pPr>
        <w:spacing w:after="0" w:line="16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of December 31, 2020, the Bank has not amended its derivatives instruments with its counterparties.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i w:val="1"/>
          <w:iCs w:val="1"/>
          <w:color w:val="auto"/>
        </w:rPr>
        <w:t>Hedge Accounting</w:t>
      </w:r>
    </w:p>
    <w:p>
      <w:pPr>
        <w:spacing w:after="0" w:line="225"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has evaluated the extent to which its fair value and cash flow hedging relationships are subject to uncertainty driven by IBOR Reform as at the reporting date. The Bank's hedged items and hedging instruments continue to be indexed to USD LIBOR benchmark rates. These USD LIBOR benchmark rates are quoted each day and IBOR cash flows are exchanged with its counterparties as usual.</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has very limited cash flow hedging relationships with USD LIBOR risks extending beyond the anticipated revised cessation date for USD LIBOR. Exposure to USD LIBOR designated in a cash flow hedging relationship at 31 December 2020 is a nominal amount of $20 million attributable to the interest rate swap hedging USD LIBOR cash flows on the Bank's USD liabilities maturing in 2023.</w:t>
      </w:r>
    </w:p>
    <w:p>
      <w:pPr>
        <w:spacing w:after="0" w:line="183"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expects that SOFR will replace USD LIBOR, but there is uncertainty over the timing and amount of the replacement rate cash flows. Such uncertainty may impact the hedging relationship – e.g., its effectiveness assessment and highly probable assessment. For these assessments, the Bank assumes that the hedged benchmark interest rate, the cash flows of the hedged item and/or the hedging instrument will not be altered as a result of IBOR Reform.</w:t>
      </w:r>
    </w:p>
    <w:p>
      <w:pPr>
        <w:spacing w:after="0" w:line="18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a hedging relationship impacted by uncertainty about IBOR Reform has not been highly effective throughout the financial reporting period, then the Bank will evaluate whether the hedge is expected to be highly effective prospectively and whether the effectiveness of the hedging relationship can be reliably measured. The hedging relationship will not be discontinued as long as it meets all criteria for hedge accounting, with the exception of the requirement that the hedge was actually highly effective.</w:t>
      </w:r>
    </w:p>
    <w:p>
      <w:pPr>
        <w:spacing w:after="0" w:line="186"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Hedging relationships impacted by uncertainty about IBOR Reform may experience ineffectiveness attributable to market participants' expectations of when the shift from the existing IBOR benchmark rate to an alternative benchmark interest rate will occur. This transition may occur at different times for the hedged item and the hedging instrument, which may lead to hedge ineffectiveness. The Bank has measured its hedging instruments indexed to IBORs using available quoted market rates for IBOR-based instruments of the same tenor and similar maturity and has measured the cumulative change in the present value of hedged cash flows attributable to changes in IBOR on a similar basis.</w:t>
      </w:r>
    </w:p>
    <w:p>
      <w:pPr>
        <w:spacing w:after="0" w:line="17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74" w:name="page175"/>
    <w:bookmarkEnd w:id="17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77"/>
        </w:numPr>
        <w:rPr>
          <w:rFonts w:ascii="Arial" w:cs="Arial" w:eastAsia="Arial" w:hAnsi="Arial"/>
          <w:sz w:val="18"/>
          <w:szCs w:val="18"/>
          <w:b w:val="1"/>
          <w:bCs w:val="1"/>
          <w:color w:val="auto"/>
        </w:rPr>
      </w:pPr>
      <w:r>
        <w:rPr>
          <w:rFonts w:ascii="Arial" w:cs="Arial" w:eastAsia="Arial" w:hAnsi="Arial"/>
          <w:sz w:val="18"/>
          <w:szCs w:val="18"/>
          <w:b w:val="1"/>
          <w:bCs w:val="1"/>
          <w:color w:val="auto"/>
        </w:rPr>
        <w:t>New accounting standards (continued)</w:t>
      </w:r>
    </w:p>
    <w:p>
      <w:pPr>
        <w:spacing w:after="0" w:line="225" w:lineRule="exact"/>
        <w:rPr>
          <w:rFonts w:ascii="Arial" w:cs="Arial" w:eastAsia="Arial" w:hAnsi="Arial"/>
          <w:sz w:val="18"/>
          <w:szCs w:val="18"/>
          <w:b w:val="1"/>
          <w:bCs w:val="1"/>
          <w:color w:val="auto"/>
        </w:rPr>
      </w:pPr>
    </w:p>
    <w:p>
      <w:pPr>
        <w:ind w:left="340" w:right="522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4.1 New accounting policies and amendments not yet adopted (continued) </w:t>
      </w:r>
      <w:r>
        <w:rPr>
          <w:rFonts w:ascii="Arial" w:cs="Arial" w:eastAsia="Arial" w:hAnsi="Arial"/>
          <w:sz w:val="18"/>
          <w:szCs w:val="18"/>
          <w:b w:val="1"/>
          <w:bCs w:val="1"/>
          <w:i w:val="1"/>
          <w:iCs w:val="1"/>
          <w:color w:val="auto"/>
        </w:rPr>
        <w:t>Hedge Accounting (continued)</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When the uncertainty arising from IBOR reform no longer exists, the Bank will cease to apply the assumptions that the hedged benchmark interest rate, the cash flows of the hedged item and/or hedging instrument will not be altered as a result of IBOR Reform. At that time, the Bank will also remeasure the cumulative changes in the hedged cash flows and the hedging instrument based on new alternative benchmark rates – i.e., SOFR. For the purpose of remeasuring the cumulative changes in the hedged cash flows, the Bank will amend the terms of the hypothetical derivative to reflect the changes required by IBOR Reform in the hedged item.</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Quantitative Information</w:t>
      </w:r>
    </w:p>
    <w:p>
      <w:pPr>
        <w:spacing w:after="0" w:line="229"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Disaggregated information by derivative financial instruments that have yet to transition to an alternative benchmark rate as at the end of the reporting period December 31, 2020 is the following. The information presented is the remaining notional amount as at each reporting period.</w:t>
      </w:r>
    </w:p>
    <w:p>
      <w:pPr>
        <w:spacing w:after="0" w:line="14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500" w:type="dxa"/>
            <w:vAlign w:val="bottom"/>
          </w:tcPr>
          <w:p>
            <w:pPr>
              <w:spacing w:after="0"/>
              <w:rPr>
                <w:sz w:val="18"/>
                <w:szCs w:val="18"/>
                <w:color w:val="auto"/>
              </w:rPr>
            </w:pPr>
          </w:p>
        </w:tc>
        <w:tc>
          <w:tcPr>
            <w:tcW w:w="1720" w:type="dxa"/>
            <w:vAlign w:val="bottom"/>
            <w:gridSpan w:val="2"/>
          </w:tcPr>
          <w:p>
            <w:pPr>
              <w:jc w:val="center"/>
              <w:ind w:right="220"/>
              <w:spacing w:after="0"/>
              <w:rPr>
                <w:sz w:val="20"/>
                <w:szCs w:val="20"/>
                <w:color w:val="auto"/>
              </w:rPr>
            </w:pPr>
            <w:r>
              <w:rPr>
                <w:rFonts w:ascii="Arial" w:cs="Arial" w:eastAsia="Arial" w:hAnsi="Arial"/>
                <w:sz w:val="18"/>
                <w:szCs w:val="18"/>
                <w:color w:val="auto"/>
                <w:w w:val="96"/>
              </w:rPr>
              <w:t>USD LIBOR</w:t>
            </w:r>
          </w:p>
        </w:tc>
        <w:tc>
          <w:tcPr>
            <w:tcW w:w="1720" w:type="dxa"/>
            <w:vAlign w:val="bottom"/>
            <w:gridSpan w:val="2"/>
          </w:tcPr>
          <w:p>
            <w:pPr>
              <w:jc w:val="center"/>
              <w:ind w:right="200"/>
              <w:spacing w:after="0"/>
              <w:rPr>
                <w:sz w:val="20"/>
                <w:szCs w:val="20"/>
                <w:color w:val="auto"/>
              </w:rPr>
            </w:pPr>
            <w:r>
              <w:rPr>
                <w:rFonts w:ascii="Arial" w:cs="Arial" w:eastAsia="Arial" w:hAnsi="Arial"/>
                <w:sz w:val="18"/>
                <w:szCs w:val="18"/>
                <w:color w:val="auto"/>
                <w:w w:val="98"/>
              </w:rPr>
              <w:t>USD LIBOR</w:t>
            </w:r>
          </w:p>
        </w:tc>
        <w:tc>
          <w:tcPr>
            <w:tcW w:w="1620" w:type="dxa"/>
            <w:vAlign w:val="bottom"/>
            <w:gridSpan w:val="2"/>
          </w:tcPr>
          <w:p>
            <w:pPr>
              <w:jc w:val="center"/>
              <w:ind w:right="120"/>
              <w:spacing w:after="0"/>
              <w:rPr>
                <w:sz w:val="20"/>
                <w:szCs w:val="20"/>
                <w:color w:val="auto"/>
              </w:rPr>
            </w:pPr>
            <w:r>
              <w:rPr>
                <w:rFonts w:ascii="Arial" w:cs="Arial" w:eastAsia="Arial" w:hAnsi="Arial"/>
                <w:sz w:val="18"/>
                <w:szCs w:val="18"/>
                <w:color w:val="auto"/>
                <w:w w:val="96"/>
              </w:rPr>
              <w:t>USD LIBOR</w:t>
            </w:r>
          </w:p>
        </w:tc>
      </w:tr>
      <w:tr>
        <w:trPr>
          <w:trHeight w:val="216"/>
        </w:trPr>
        <w:tc>
          <w:tcPr>
            <w:tcW w:w="4500" w:type="dxa"/>
            <w:vAlign w:val="bottom"/>
          </w:tcPr>
          <w:p>
            <w:pPr>
              <w:spacing w:after="0"/>
              <w:rPr>
                <w:sz w:val="18"/>
                <w:szCs w:val="18"/>
                <w:color w:val="auto"/>
              </w:rPr>
            </w:pPr>
          </w:p>
        </w:tc>
        <w:tc>
          <w:tcPr>
            <w:tcW w:w="1720" w:type="dxa"/>
            <w:vAlign w:val="bottom"/>
            <w:gridSpan w:val="2"/>
          </w:tcPr>
          <w:p>
            <w:pPr>
              <w:jc w:val="center"/>
              <w:ind w:right="180"/>
              <w:spacing w:after="0"/>
              <w:rPr>
                <w:sz w:val="20"/>
                <w:szCs w:val="20"/>
                <w:color w:val="auto"/>
              </w:rPr>
            </w:pPr>
            <w:r>
              <w:rPr>
                <w:rFonts w:ascii="Arial" w:cs="Arial" w:eastAsia="Arial" w:hAnsi="Arial"/>
                <w:sz w:val="18"/>
                <w:szCs w:val="18"/>
                <w:color w:val="auto"/>
                <w:w w:val="87"/>
              </w:rPr>
              <w:t>as at December 31,</w:t>
            </w:r>
          </w:p>
        </w:tc>
        <w:tc>
          <w:tcPr>
            <w:tcW w:w="1720" w:type="dxa"/>
            <w:vAlign w:val="bottom"/>
            <w:gridSpan w:val="2"/>
          </w:tcPr>
          <w:p>
            <w:pPr>
              <w:jc w:val="center"/>
              <w:ind w:right="180"/>
              <w:spacing w:after="0"/>
              <w:rPr>
                <w:sz w:val="20"/>
                <w:szCs w:val="20"/>
                <w:color w:val="auto"/>
              </w:rPr>
            </w:pPr>
            <w:r>
              <w:rPr>
                <w:rFonts w:ascii="Arial" w:cs="Arial" w:eastAsia="Arial" w:hAnsi="Arial"/>
                <w:sz w:val="18"/>
                <w:szCs w:val="18"/>
                <w:color w:val="auto"/>
                <w:w w:val="87"/>
              </w:rPr>
              <w:t>as at December 31,</w:t>
            </w:r>
          </w:p>
        </w:tc>
        <w:tc>
          <w:tcPr>
            <w:tcW w:w="1620" w:type="dxa"/>
            <w:vAlign w:val="bottom"/>
            <w:gridSpan w:val="2"/>
          </w:tcPr>
          <w:p>
            <w:pPr>
              <w:jc w:val="center"/>
              <w:ind w:right="160"/>
              <w:spacing w:after="0"/>
              <w:rPr>
                <w:sz w:val="20"/>
                <w:szCs w:val="20"/>
                <w:color w:val="auto"/>
              </w:rPr>
            </w:pPr>
            <w:r>
              <w:rPr>
                <w:rFonts w:ascii="Arial" w:cs="Arial" w:eastAsia="Arial" w:hAnsi="Arial"/>
                <w:sz w:val="18"/>
                <w:szCs w:val="18"/>
                <w:color w:val="auto"/>
                <w:w w:val="86"/>
              </w:rPr>
              <w:t>as at June 30,</w:t>
            </w:r>
          </w:p>
        </w:tc>
      </w:tr>
      <w:tr>
        <w:trPr>
          <w:trHeight w:val="230"/>
        </w:trPr>
        <w:tc>
          <w:tcPr>
            <w:tcW w:w="4500" w:type="dxa"/>
            <w:vAlign w:val="bottom"/>
          </w:tcPr>
          <w:p>
            <w:pPr>
              <w:spacing w:after="0"/>
              <w:rPr>
                <w:sz w:val="20"/>
                <w:szCs w:val="20"/>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2021</w:t>
            </w:r>
          </w:p>
        </w:tc>
        <w:tc>
          <w:tcPr>
            <w:tcW w:w="200" w:type="dxa"/>
            <w:vAlign w:val="bottom"/>
          </w:tcPr>
          <w:p>
            <w:pPr>
              <w:spacing w:after="0"/>
              <w:rPr>
                <w:sz w:val="20"/>
                <w:szCs w:val="20"/>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2021</w:t>
            </w:r>
          </w:p>
        </w:tc>
        <w:tc>
          <w:tcPr>
            <w:tcW w:w="200" w:type="dxa"/>
            <w:vAlign w:val="bottom"/>
          </w:tcPr>
          <w:p>
            <w:pPr>
              <w:spacing w:after="0"/>
              <w:rPr>
                <w:sz w:val="20"/>
                <w:szCs w:val="20"/>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9"/>
              </w:rPr>
              <w:t>2023</w:t>
            </w:r>
          </w:p>
        </w:tc>
        <w:tc>
          <w:tcPr>
            <w:tcW w:w="100" w:type="dxa"/>
            <w:vAlign w:val="bottom"/>
          </w:tcPr>
          <w:p>
            <w:pPr>
              <w:spacing w:after="0"/>
              <w:rPr>
                <w:sz w:val="20"/>
                <w:szCs w:val="20"/>
                <w:color w:val="auto"/>
              </w:rPr>
            </w:pPr>
          </w:p>
        </w:tc>
      </w:tr>
      <w:tr>
        <w:trPr>
          <w:trHeight w:val="195"/>
        </w:trPr>
        <w:tc>
          <w:tcPr>
            <w:tcW w:w="4500" w:type="dxa"/>
            <w:vAlign w:val="bottom"/>
          </w:tcPr>
          <w:p>
            <w:pPr>
              <w:spacing w:after="0"/>
              <w:rPr>
                <w:sz w:val="16"/>
                <w:szCs w:val="16"/>
                <w:color w:val="auto"/>
              </w:rPr>
            </w:pPr>
          </w:p>
        </w:tc>
        <w:tc>
          <w:tcPr>
            <w:tcW w:w="1520" w:type="dxa"/>
            <w:vAlign w:val="bottom"/>
          </w:tcPr>
          <w:p>
            <w:pPr>
              <w:jc w:val="center"/>
              <w:spacing w:after="0" w:line="195" w:lineRule="exact"/>
              <w:rPr>
                <w:sz w:val="20"/>
                <w:szCs w:val="20"/>
                <w:color w:val="auto"/>
              </w:rPr>
            </w:pPr>
            <w:r>
              <w:rPr>
                <w:rFonts w:ascii="Arial" w:cs="Arial" w:eastAsia="Arial" w:hAnsi="Arial"/>
                <w:sz w:val="18"/>
                <w:szCs w:val="18"/>
                <w:color w:val="auto"/>
                <w:w w:val="94"/>
              </w:rPr>
              <w:t>(Notional</w:t>
            </w:r>
          </w:p>
        </w:tc>
        <w:tc>
          <w:tcPr>
            <w:tcW w:w="200" w:type="dxa"/>
            <w:vAlign w:val="bottom"/>
          </w:tcPr>
          <w:p>
            <w:pPr>
              <w:spacing w:after="0"/>
              <w:rPr>
                <w:sz w:val="16"/>
                <w:szCs w:val="16"/>
                <w:color w:val="auto"/>
              </w:rPr>
            </w:pPr>
          </w:p>
        </w:tc>
        <w:tc>
          <w:tcPr>
            <w:tcW w:w="1520" w:type="dxa"/>
            <w:vAlign w:val="bottom"/>
          </w:tcPr>
          <w:p>
            <w:pPr>
              <w:jc w:val="center"/>
              <w:spacing w:after="0" w:line="195" w:lineRule="exact"/>
              <w:rPr>
                <w:sz w:val="20"/>
                <w:szCs w:val="20"/>
                <w:color w:val="auto"/>
              </w:rPr>
            </w:pPr>
            <w:r>
              <w:rPr>
                <w:rFonts w:ascii="Arial" w:cs="Arial" w:eastAsia="Arial" w:hAnsi="Arial"/>
                <w:sz w:val="18"/>
                <w:szCs w:val="18"/>
                <w:color w:val="auto"/>
                <w:w w:val="94"/>
              </w:rPr>
              <w:t>(Notional</w:t>
            </w:r>
          </w:p>
        </w:tc>
        <w:tc>
          <w:tcPr>
            <w:tcW w:w="200" w:type="dxa"/>
            <w:vAlign w:val="bottom"/>
          </w:tcPr>
          <w:p>
            <w:pPr>
              <w:spacing w:after="0"/>
              <w:rPr>
                <w:sz w:val="16"/>
                <w:szCs w:val="16"/>
                <w:color w:val="auto"/>
              </w:rPr>
            </w:pPr>
          </w:p>
        </w:tc>
        <w:tc>
          <w:tcPr>
            <w:tcW w:w="1520" w:type="dxa"/>
            <w:vAlign w:val="bottom"/>
          </w:tcPr>
          <w:p>
            <w:pPr>
              <w:jc w:val="center"/>
              <w:spacing w:after="0" w:line="195" w:lineRule="exact"/>
              <w:rPr>
                <w:sz w:val="20"/>
                <w:szCs w:val="20"/>
                <w:color w:val="auto"/>
              </w:rPr>
            </w:pPr>
            <w:r>
              <w:rPr>
                <w:rFonts w:ascii="Arial" w:cs="Arial" w:eastAsia="Arial" w:hAnsi="Arial"/>
                <w:sz w:val="18"/>
                <w:szCs w:val="18"/>
                <w:color w:val="auto"/>
                <w:w w:val="97"/>
              </w:rPr>
              <w:t>(Notional</w:t>
            </w:r>
          </w:p>
        </w:tc>
        <w:tc>
          <w:tcPr>
            <w:tcW w:w="100" w:type="dxa"/>
            <w:vAlign w:val="bottom"/>
          </w:tcPr>
          <w:p>
            <w:pPr>
              <w:spacing w:after="0"/>
              <w:rPr>
                <w:sz w:val="16"/>
                <w:szCs w:val="16"/>
                <w:color w:val="auto"/>
              </w:rPr>
            </w:pPr>
          </w:p>
        </w:tc>
      </w:tr>
      <w:tr>
        <w:trPr>
          <w:trHeight w:val="237"/>
        </w:trPr>
        <w:tc>
          <w:tcPr>
            <w:tcW w:w="4500" w:type="dxa"/>
            <w:vAlign w:val="bottom"/>
          </w:tcPr>
          <w:p>
            <w:pPr>
              <w:spacing w:after="0"/>
              <w:rPr>
                <w:sz w:val="20"/>
                <w:szCs w:val="20"/>
                <w:color w:val="auto"/>
              </w:rPr>
            </w:pPr>
          </w:p>
        </w:tc>
        <w:tc>
          <w:tcPr>
            <w:tcW w:w="1720" w:type="dxa"/>
            <w:vAlign w:val="bottom"/>
            <w:gridSpan w:val="2"/>
          </w:tcPr>
          <w:p>
            <w:pPr>
              <w:jc w:val="center"/>
              <w:ind w:right="180"/>
              <w:spacing w:after="0"/>
              <w:rPr>
                <w:sz w:val="20"/>
                <w:szCs w:val="20"/>
                <w:color w:val="auto"/>
              </w:rPr>
            </w:pPr>
            <w:r>
              <w:rPr>
                <w:rFonts w:ascii="Arial" w:cs="Arial" w:eastAsia="Arial" w:hAnsi="Arial"/>
                <w:sz w:val="18"/>
                <w:szCs w:val="18"/>
                <w:color w:val="auto"/>
                <w:w w:val="92"/>
              </w:rPr>
              <w:t>US$,000)</w:t>
            </w:r>
          </w:p>
        </w:tc>
        <w:tc>
          <w:tcPr>
            <w:tcW w:w="1720" w:type="dxa"/>
            <w:vAlign w:val="bottom"/>
            <w:gridSpan w:val="2"/>
          </w:tcPr>
          <w:p>
            <w:pPr>
              <w:jc w:val="center"/>
              <w:ind w:right="200"/>
              <w:spacing w:after="0"/>
              <w:rPr>
                <w:sz w:val="20"/>
                <w:szCs w:val="20"/>
                <w:color w:val="auto"/>
              </w:rPr>
            </w:pPr>
            <w:r>
              <w:rPr>
                <w:rFonts w:ascii="Arial" w:cs="Arial" w:eastAsia="Arial" w:hAnsi="Arial"/>
                <w:sz w:val="18"/>
                <w:szCs w:val="18"/>
                <w:color w:val="auto"/>
                <w:w w:val="89"/>
              </w:rPr>
              <w:t>US$,000)</w:t>
            </w:r>
          </w:p>
        </w:tc>
        <w:tc>
          <w:tcPr>
            <w:tcW w:w="162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US$,000 )</w:t>
            </w:r>
          </w:p>
        </w:tc>
      </w:tr>
      <w:tr>
        <w:trPr>
          <w:trHeight w:val="223"/>
        </w:trPr>
        <w:tc>
          <w:tcPr>
            <w:tcW w:w="45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Derivatives held for risk management</w:t>
            </w:r>
          </w:p>
        </w:tc>
        <w:tc>
          <w:tcPr>
            <w:tcW w:w="15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16"/>
        </w:trPr>
        <w:tc>
          <w:tcPr>
            <w:tcW w:w="450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720" w:type="dxa"/>
            <w:vAlign w:val="bottom"/>
            <w:gridSpan w:val="2"/>
          </w:tcPr>
          <w:p>
            <w:pPr>
              <w:jc w:val="right"/>
              <w:ind w:right="200"/>
              <w:spacing w:after="0"/>
              <w:rPr>
                <w:sz w:val="20"/>
                <w:szCs w:val="20"/>
                <w:color w:val="auto"/>
              </w:rPr>
            </w:pPr>
            <w:r>
              <w:rPr>
                <w:rFonts w:ascii="Arial" w:cs="Arial" w:eastAsia="Arial" w:hAnsi="Arial"/>
                <w:sz w:val="18"/>
                <w:szCs w:val="18"/>
                <w:color w:val="auto"/>
              </w:rPr>
              <w:t>3,006</w:t>
            </w:r>
          </w:p>
        </w:tc>
        <w:tc>
          <w:tcPr>
            <w:tcW w:w="1720" w:type="dxa"/>
            <w:vAlign w:val="bottom"/>
            <w:gridSpan w:val="2"/>
          </w:tcPr>
          <w:p>
            <w:pPr>
              <w:jc w:val="right"/>
              <w:ind w:right="200"/>
              <w:spacing w:after="0"/>
              <w:rPr>
                <w:sz w:val="20"/>
                <w:szCs w:val="20"/>
                <w:color w:val="auto"/>
              </w:rPr>
            </w:pPr>
            <w:r>
              <w:rPr>
                <w:rFonts w:ascii="Arial" w:cs="Arial" w:eastAsia="Arial" w:hAnsi="Arial"/>
                <w:sz w:val="18"/>
                <w:szCs w:val="18"/>
                <w:color w:val="auto"/>
              </w:rPr>
              <w:t>1,937</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450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7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400,414</w:t>
            </w:r>
          </w:p>
        </w:tc>
        <w:tc>
          <w:tcPr>
            <w:tcW w:w="17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88,768</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68,768</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Leasing Reform IFRS 16</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In May 2020, the IASB published the document “Rental Lease concessions related to COVID-19", which contains amendments to IFRS 16 Leases effective as of June 1, 2020, in order to provide relief to the lessee with respect to the rental concessions granted as a result of the events of COVID-19, where in the existing event the lessee must re-measure the responsibility of the lease using a revised discount rate.</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At the reporting date, the Bank has not modified nor received concessions in the lease agreements entered into with third parties.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75" w:name="page176"/>
    <w:bookmarkEnd w:id="17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7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21" w:lineRule="exact"/>
        <w:rPr>
          <w:sz w:val="20"/>
          <w:szCs w:val="20"/>
          <w:color w:val="auto"/>
        </w:rPr>
      </w:pPr>
    </w:p>
    <w:p>
      <w:pPr>
        <w:ind w:left="660" w:hanging="328"/>
        <w:spacing w:after="0"/>
        <w:tabs>
          <w:tab w:leader="none" w:pos="660" w:val="left"/>
        </w:tabs>
        <w:numPr>
          <w:ilvl w:val="0"/>
          <w:numId w:val="179"/>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   Credit quality analysis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 Explanation of the terms ‘Stage 1’, ‘Stage 2’ and ‘Stage 3’ is included in Note 3.4 (J).</w:t>
      </w:r>
    </w:p>
    <w:p>
      <w:pPr>
        <w:spacing w:after="0" w:line="187"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Bank’s Management has not made any adjustment to the methodology and key inputs used to determine the PD and LGD parameters produced by the model, after assessing the impact in the economic sectors caused by the pandemic COVID-19 (as set out in Note 6).</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250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r>
      <w:tr>
        <w:trPr>
          <w:trHeight w:val="453"/>
        </w:trPr>
        <w:tc>
          <w:tcPr>
            <w:tcW w:w="340" w:type="dxa"/>
            <w:vAlign w:val="bottom"/>
          </w:tcPr>
          <w:p>
            <w:pPr>
              <w:spacing w:after="0"/>
              <w:rPr>
                <w:sz w:val="24"/>
                <w:szCs w:val="24"/>
                <w:color w:val="auto"/>
              </w:rPr>
            </w:pPr>
          </w:p>
        </w:tc>
        <w:tc>
          <w:tcPr>
            <w:tcW w:w="1700" w:type="dxa"/>
            <w:vAlign w:val="bottom"/>
            <w:tcBorders>
              <w:top w:val="single" w:sz="8" w:color="auto"/>
            </w:tcBorders>
          </w:tcPr>
          <w:p>
            <w:pPr>
              <w:spacing w:after="0"/>
              <w:rPr>
                <w:sz w:val="24"/>
                <w:szCs w:val="24"/>
                <w:color w:val="auto"/>
              </w:rPr>
            </w:pPr>
          </w:p>
        </w:tc>
        <w:tc>
          <w:tcPr>
            <w:tcW w:w="8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4"/>
          </w:tcPr>
          <w:p>
            <w:pPr>
              <w:ind w:left="40"/>
              <w:spacing w:after="0"/>
              <w:rPr>
                <w:sz w:val="20"/>
                <w:szCs w:val="20"/>
                <w:color w:val="auto"/>
              </w:rPr>
            </w:pPr>
            <w:r>
              <w:rPr>
                <w:rFonts w:ascii="Arial" w:cs="Arial" w:eastAsia="Arial" w:hAnsi="Arial"/>
                <w:sz w:val="18"/>
                <w:szCs w:val="18"/>
                <w:b w:val="1"/>
                <w:bCs w:val="1"/>
                <w:color w:val="auto"/>
                <w:w w:val="98"/>
              </w:rPr>
              <w:t>December 31, 2020</w:t>
            </w:r>
          </w:p>
        </w:tc>
        <w:tc>
          <w:tcPr>
            <w:tcW w:w="12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7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320" w:type="dxa"/>
            <w:vAlign w:val="bottom"/>
            <w:gridSpan w:val="2"/>
          </w:tcPr>
          <w:p>
            <w:pPr>
              <w:ind w:left="180"/>
              <w:spacing w:after="0"/>
              <w:rPr>
                <w:sz w:val="20"/>
                <w:szCs w:val="20"/>
                <w:color w:val="auto"/>
              </w:rPr>
            </w:pPr>
            <w:r>
              <w:rPr>
                <w:rFonts w:ascii="Arial" w:cs="Arial" w:eastAsia="Arial" w:hAnsi="Arial"/>
                <w:sz w:val="18"/>
                <w:szCs w:val="18"/>
                <w:b w:val="1"/>
                <w:bCs w:val="1"/>
                <w:color w:val="auto"/>
              </w:rPr>
              <w:t>PD Ranges</w:t>
            </w:r>
          </w:p>
        </w:tc>
        <w:tc>
          <w:tcPr>
            <w:tcW w:w="120" w:type="dxa"/>
            <w:vAlign w:val="bottom"/>
          </w:tcPr>
          <w:p>
            <w:pPr>
              <w:spacing w:after="0"/>
              <w:rPr>
                <w:sz w:val="19"/>
                <w:szCs w:val="19"/>
                <w:color w:val="auto"/>
              </w:rPr>
            </w:pPr>
          </w:p>
        </w:tc>
        <w:tc>
          <w:tcPr>
            <w:tcW w:w="1540" w:type="dxa"/>
            <w:vAlign w:val="bottom"/>
            <w:gridSpan w:val="3"/>
          </w:tcPr>
          <w:p>
            <w:pPr>
              <w:ind w:left="280"/>
              <w:spacing w:after="0"/>
              <w:rPr>
                <w:sz w:val="20"/>
                <w:szCs w:val="20"/>
                <w:color w:val="auto"/>
              </w:rPr>
            </w:pPr>
            <w:r>
              <w:rPr>
                <w:rFonts w:ascii="Arial" w:cs="Arial" w:eastAsia="Arial" w:hAnsi="Arial"/>
                <w:sz w:val="18"/>
                <w:szCs w:val="18"/>
                <w:b w:val="1"/>
                <w:bCs w:val="1"/>
                <w:color w:val="auto"/>
              </w:rPr>
              <w:t>Stage 1</w:t>
            </w:r>
          </w:p>
        </w:tc>
        <w:tc>
          <w:tcPr>
            <w:tcW w:w="1200" w:type="dxa"/>
            <w:vAlign w:val="bottom"/>
          </w:tcPr>
          <w:p>
            <w:pPr>
              <w:jc w:val="right"/>
              <w:ind w:right="290"/>
              <w:spacing w:after="0"/>
              <w:rPr>
                <w:sz w:val="20"/>
                <w:szCs w:val="20"/>
                <w:color w:val="auto"/>
              </w:rPr>
            </w:pPr>
            <w:r>
              <w:rPr>
                <w:rFonts w:ascii="Arial" w:cs="Arial" w:eastAsia="Arial" w:hAnsi="Arial"/>
                <w:sz w:val="18"/>
                <w:szCs w:val="18"/>
                <w:b w:val="1"/>
                <w:bCs w:val="1"/>
                <w:color w:val="auto"/>
              </w:rPr>
              <w:t>Stage 2</w:t>
            </w:r>
          </w:p>
        </w:tc>
        <w:tc>
          <w:tcPr>
            <w:tcW w:w="300" w:type="dxa"/>
            <w:vAlign w:val="bottom"/>
            <w:gridSpan w:val="2"/>
          </w:tcPr>
          <w:p>
            <w:pPr>
              <w:spacing w:after="0"/>
              <w:rPr>
                <w:sz w:val="19"/>
                <w:szCs w:val="19"/>
                <w:color w:val="auto"/>
              </w:rPr>
            </w:pPr>
          </w:p>
        </w:tc>
        <w:tc>
          <w:tcPr>
            <w:tcW w:w="1480" w:type="dxa"/>
            <w:vAlign w:val="bottom"/>
            <w:gridSpan w:val="3"/>
          </w:tcPr>
          <w:p>
            <w:pPr>
              <w:ind w:left="28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Total</w:t>
            </w:r>
          </w:p>
        </w:tc>
        <w:tc>
          <w:tcPr>
            <w:tcW w:w="1140" w:type="dxa"/>
            <w:vAlign w:val="bottom"/>
          </w:tcPr>
          <w:p>
            <w:pPr>
              <w:spacing w:after="0"/>
              <w:rPr>
                <w:sz w:val="19"/>
                <w:szCs w:val="19"/>
                <w:color w:val="auto"/>
              </w:rPr>
            </w:pPr>
          </w:p>
        </w:tc>
      </w:tr>
      <w:tr>
        <w:trPr>
          <w:trHeight w:val="209"/>
        </w:trPr>
        <w:tc>
          <w:tcPr>
            <w:tcW w:w="28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2840" w:type="dxa"/>
            <w:vAlign w:val="bottom"/>
            <w:gridSpan w:val="3"/>
          </w:tcPr>
          <w:p>
            <w:pPr>
              <w:spacing w:after="0"/>
              <w:rPr>
                <w:sz w:val="20"/>
                <w:szCs w:val="20"/>
                <w:color w:val="auto"/>
              </w:rPr>
            </w:pPr>
            <w:r>
              <w:rPr>
                <w:rFonts w:ascii="Arial" w:cs="Arial" w:eastAsia="Arial" w:hAnsi="Arial"/>
                <w:sz w:val="18"/>
                <w:szCs w:val="18"/>
                <w:color w:val="auto"/>
              </w:rPr>
              <w:t>Grades 5 - 6</w:t>
            </w:r>
          </w:p>
        </w:tc>
        <w:tc>
          <w:tcPr>
            <w:tcW w:w="122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100" w:type="dxa"/>
            <w:vAlign w:val="bottom"/>
          </w:tcPr>
          <w:p>
            <w:pPr>
              <w:spacing w:after="0"/>
              <w:rPr>
                <w:sz w:val="18"/>
                <w:szCs w:val="18"/>
                <w:color w:val="auto"/>
              </w:rPr>
            </w:pP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1,928,142</w:t>
            </w:r>
          </w:p>
        </w:tc>
        <w:tc>
          <w:tcPr>
            <w:tcW w:w="1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167,996</w:t>
            </w:r>
          </w:p>
        </w:tc>
        <w:tc>
          <w:tcPr>
            <w:tcW w:w="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2,096,138</w:t>
            </w:r>
          </w:p>
        </w:tc>
        <w:tc>
          <w:tcPr>
            <w:tcW w:w="1140" w:type="dxa"/>
            <w:vAlign w:val="bottom"/>
          </w:tcPr>
          <w:p>
            <w:pPr>
              <w:spacing w:after="0"/>
              <w:rPr>
                <w:sz w:val="18"/>
                <w:szCs w:val="18"/>
                <w:color w:val="auto"/>
              </w:rPr>
            </w:pPr>
          </w:p>
        </w:tc>
      </w:tr>
      <w:tr>
        <w:trPr>
          <w:trHeight w:val="216"/>
        </w:trPr>
        <w:tc>
          <w:tcPr>
            <w:tcW w:w="2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Grades 7 - 8</w:t>
            </w:r>
          </w:p>
        </w:tc>
        <w:tc>
          <w:tcPr>
            <w:tcW w:w="12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3.96 - 30.67</w:t>
            </w:r>
          </w:p>
        </w:tc>
        <w:tc>
          <w:tcPr>
            <w:tcW w:w="100" w:type="dxa"/>
            <w:vAlign w:val="bottom"/>
            <w:shd w:val="clear" w:color="auto" w:fill="CCEEFF"/>
          </w:tcPr>
          <w:p>
            <w:pPr>
              <w:spacing w:after="0"/>
              <w:rPr>
                <w:sz w:val="18"/>
                <w:szCs w:val="18"/>
                <w:color w:val="auto"/>
              </w:rPr>
            </w:pP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102,532</w:t>
            </w:r>
          </w:p>
        </w:tc>
        <w:tc>
          <w:tcPr>
            <w:tcW w:w="1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119,340</w:t>
            </w: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10,593</w:t>
            </w: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232,465</w:t>
            </w:r>
          </w:p>
        </w:tc>
        <w:tc>
          <w:tcPr>
            <w:tcW w:w="1140" w:type="dxa"/>
            <w:vAlign w:val="bottom"/>
          </w:tcPr>
          <w:p>
            <w:pPr>
              <w:spacing w:after="0"/>
              <w:rPr>
                <w:sz w:val="18"/>
                <w:szCs w:val="18"/>
                <w:color w:val="auto"/>
              </w:rPr>
            </w:pPr>
          </w:p>
        </w:tc>
      </w:tr>
      <w:tr>
        <w:trPr>
          <w:trHeight w:val="230"/>
        </w:trPr>
        <w:tc>
          <w:tcPr>
            <w:tcW w:w="2840" w:type="dxa"/>
            <w:vAlign w:val="bottom"/>
            <w:gridSpan w:val="3"/>
          </w:tcPr>
          <w:p>
            <w:pPr>
              <w:spacing w:after="0"/>
              <w:rPr>
                <w:sz w:val="20"/>
                <w:szCs w:val="20"/>
                <w:color w:val="auto"/>
              </w:rPr>
            </w:pPr>
            <w:r>
              <w:rPr>
                <w:rFonts w:ascii="Arial" w:cs="Arial" w:eastAsia="Arial" w:hAnsi="Arial"/>
                <w:sz w:val="18"/>
                <w:szCs w:val="18"/>
                <w:color w:val="auto"/>
              </w:rPr>
              <w:t>Grades 9 - 10</w:t>
            </w:r>
          </w:p>
        </w:tc>
        <w:tc>
          <w:tcPr>
            <w:tcW w:w="1220" w:type="dxa"/>
            <w:vAlign w:val="bottom"/>
          </w:tcPr>
          <w:p>
            <w:pPr>
              <w:jc w:val="center"/>
              <w:spacing w:after="0"/>
              <w:rPr>
                <w:sz w:val="20"/>
                <w:szCs w:val="20"/>
                <w:color w:val="auto"/>
              </w:rPr>
            </w:pPr>
            <w:r>
              <w:rPr>
                <w:rFonts w:ascii="Arial" w:cs="Arial" w:eastAsia="Arial" w:hAnsi="Arial"/>
                <w:sz w:val="18"/>
                <w:szCs w:val="18"/>
                <w:color w:val="auto"/>
                <w:w w:val="89"/>
              </w:rPr>
              <w:t>30.68 - 100</w:t>
            </w:r>
          </w:p>
        </w:tc>
        <w:tc>
          <w:tcPr>
            <w:tcW w:w="100" w:type="dxa"/>
            <w:vAlign w:val="bottom"/>
          </w:tcPr>
          <w:p>
            <w:pPr>
              <w:spacing w:after="0"/>
              <w:rPr>
                <w:sz w:val="19"/>
                <w:szCs w:val="19"/>
                <w:color w:val="auto"/>
              </w:rPr>
            </w:pP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140" w:type="dxa"/>
            <w:vAlign w:val="bottom"/>
          </w:tcPr>
          <w:p>
            <w:pPr>
              <w:spacing w:after="0"/>
              <w:rPr>
                <w:sz w:val="19"/>
                <w:szCs w:val="19"/>
                <w:color w:val="auto"/>
              </w:rPr>
            </w:pPr>
          </w:p>
        </w:tc>
      </w:tr>
      <w:tr>
        <w:trPr>
          <w:trHeight w:val="210"/>
        </w:trPr>
        <w:tc>
          <w:tcPr>
            <w:tcW w:w="34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4,613,468</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287,336</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r>
      <w:tr>
        <w:trPr>
          <w:trHeight w:val="229"/>
        </w:trPr>
        <w:tc>
          <w:tcPr>
            <w:tcW w:w="2840" w:type="dxa"/>
            <w:vAlign w:val="bottom"/>
            <w:gridSpan w:val="3"/>
          </w:tcPr>
          <w:p>
            <w:pPr>
              <w:spacing w:after="0"/>
              <w:rPr>
                <w:sz w:val="20"/>
                <w:szCs w:val="20"/>
                <w:color w:val="auto"/>
              </w:rPr>
            </w:pPr>
            <w:r>
              <w:rPr>
                <w:rFonts w:ascii="Arial" w:cs="Arial" w:eastAsia="Arial" w:hAnsi="Arial"/>
                <w:sz w:val="18"/>
                <w:szCs w:val="18"/>
                <w:color w:val="auto"/>
              </w:rPr>
              <w:t>Loss allowance</w:t>
            </w: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(16,661)</w:t>
            </w:r>
          </w:p>
        </w:tc>
        <w:tc>
          <w:tcPr>
            <w:tcW w:w="120" w:type="dxa"/>
            <w:vAlign w:val="bottom"/>
          </w:tcPr>
          <w:p>
            <w:pPr>
              <w:spacing w:after="0"/>
              <w:rPr>
                <w:sz w:val="19"/>
                <w:szCs w:val="19"/>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(19,916)</w:t>
            </w:r>
          </w:p>
        </w:tc>
        <w:tc>
          <w:tcPr>
            <w:tcW w:w="80" w:type="dxa"/>
            <w:vAlign w:val="bottom"/>
          </w:tcPr>
          <w:p>
            <w:pPr>
              <w:spacing w:after="0"/>
              <w:rPr>
                <w:sz w:val="19"/>
                <w:szCs w:val="19"/>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(4,588)</w:t>
            </w:r>
          </w:p>
        </w:tc>
        <w:tc>
          <w:tcPr>
            <w:tcW w:w="80" w:type="dxa"/>
            <w:vAlign w:val="bottom"/>
          </w:tcPr>
          <w:p>
            <w:pPr>
              <w:spacing w:after="0"/>
              <w:rPr>
                <w:sz w:val="19"/>
                <w:szCs w:val="19"/>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(41,165)</w:t>
            </w:r>
          </w:p>
        </w:tc>
        <w:tc>
          <w:tcPr>
            <w:tcW w:w="1140" w:type="dxa"/>
            <w:vAlign w:val="bottom"/>
          </w:tcPr>
          <w:p>
            <w:pPr>
              <w:spacing w:after="0"/>
              <w:rPr>
                <w:sz w:val="19"/>
                <w:szCs w:val="19"/>
                <w:color w:val="auto"/>
              </w:rPr>
            </w:pPr>
          </w:p>
        </w:tc>
      </w:tr>
      <w:tr>
        <w:trPr>
          <w:trHeight w:val="223"/>
        </w:trPr>
        <w:tc>
          <w:tcPr>
            <w:tcW w:w="28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4,596,807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267,420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4,870,232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4"/>
          </w:tcPr>
          <w:p>
            <w:pPr>
              <w:ind w:left="40"/>
              <w:spacing w:after="0"/>
              <w:rPr>
                <w:sz w:val="20"/>
                <w:szCs w:val="20"/>
                <w:color w:val="auto"/>
              </w:rPr>
            </w:pPr>
            <w:r>
              <w:rPr>
                <w:rFonts w:ascii="Arial" w:cs="Arial" w:eastAsia="Arial" w:hAnsi="Arial"/>
                <w:sz w:val="18"/>
                <w:szCs w:val="18"/>
                <w:b w:val="1"/>
                <w:bCs w:val="1"/>
                <w:color w:val="auto"/>
                <w:w w:val="98"/>
              </w:rPr>
              <w:t>December 31, 2019</w:t>
            </w:r>
          </w:p>
        </w:tc>
        <w:tc>
          <w:tcPr>
            <w:tcW w:w="12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4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17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1320" w:type="dxa"/>
            <w:vAlign w:val="bottom"/>
            <w:gridSpan w:val="2"/>
          </w:tcPr>
          <w:p>
            <w:pPr>
              <w:ind w:left="180"/>
              <w:spacing w:after="0"/>
              <w:rPr>
                <w:sz w:val="20"/>
                <w:szCs w:val="20"/>
                <w:color w:val="auto"/>
              </w:rPr>
            </w:pPr>
            <w:r>
              <w:rPr>
                <w:rFonts w:ascii="Arial" w:cs="Arial" w:eastAsia="Arial" w:hAnsi="Arial"/>
                <w:sz w:val="18"/>
                <w:szCs w:val="18"/>
                <w:b w:val="1"/>
                <w:bCs w:val="1"/>
                <w:color w:val="auto"/>
              </w:rPr>
              <w:t>PD Ranges</w:t>
            </w:r>
          </w:p>
        </w:tc>
        <w:tc>
          <w:tcPr>
            <w:tcW w:w="120" w:type="dxa"/>
            <w:vAlign w:val="bottom"/>
          </w:tcPr>
          <w:p>
            <w:pPr>
              <w:spacing w:after="0"/>
              <w:rPr>
                <w:sz w:val="19"/>
                <w:szCs w:val="19"/>
                <w:color w:val="auto"/>
              </w:rPr>
            </w:pPr>
          </w:p>
        </w:tc>
        <w:tc>
          <w:tcPr>
            <w:tcW w:w="1540" w:type="dxa"/>
            <w:vAlign w:val="bottom"/>
            <w:gridSpan w:val="3"/>
          </w:tcPr>
          <w:p>
            <w:pPr>
              <w:ind w:left="320"/>
              <w:spacing w:after="0"/>
              <w:rPr>
                <w:sz w:val="20"/>
                <w:szCs w:val="20"/>
                <w:color w:val="auto"/>
              </w:rPr>
            </w:pPr>
            <w:r>
              <w:rPr>
                <w:rFonts w:ascii="Arial" w:cs="Arial" w:eastAsia="Arial" w:hAnsi="Arial"/>
                <w:sz w:val="18"/>
                <w:szCs w:val="18"/>
                <w:b w:val="1"/>
                <w:bCs w:val="1"/>
                <w:color w:val="auto"/>
              </w:rPr>
              <w:t>Stage 1</w:t>
            </w:r>
          </w:p>
        </w:tc>
        <w:tc>
          <w:tcPr>
            <w:tcW w:w="1200" w:type="dxa"/>
            <w:vAlign w:val="bottom"/>
          </w:tcPr>
          <w:p>
            <w:pPr>
              <w:jc w:val="right"/>
              <w:ind w:right="230"/>
              <w:spacing w:after="0"/>
              <w:rPr>
                <w:sz w:val="20"/>
                <w:szCs w:val="20"/>
                <w:color w:val="auto"/>
              </w:rPr>
            </w:pPr>
            <w:r>
              <w:rPr>
                <w:rFonts w:ascii="Arial" w:cs="Arial" w:eastAsia="Arial" w:hAnsi="Arial"/>
                <w:sz w:val="18"/>
                <w:szCs w:val="18"/>
                <w:b w:val="1"/>
                <w:bCs w:val="1"/>
                <w:color w:val="auto"/>
              </w:rPr>
              <w:t>Stage 2</w:t>
            </w:r>
          </w:p>
        </w:tc>
        <w:tc>
          <w:tcPr>
            <w:tcW w:w="300" w:type="dxa"/>
            <w:vAlign w:val="bottom"/>
            <w:gridSpan w:val="2"/>
          </w:tcPr>
          <w:p>
            <w:pPr>
              <w:spacing w:after="0"/>
              <w:rPr>
                <w:sz w:val="19"/>
                <w:szCs w:val="19"/>
                <w:color w:val="auto"/>
              </w:rPr>
            </w:pPr>
          </w:p>
        </w:tc>
        <w:tc>
          <w:tcPr>
            <w:tcW w:w="1480" w:type="dxa"/>
            <w:vAlign w:val="bottom"/>
            <w:gridSpan w:val="3"/>
          </w:tcPr>
          <w:p>
            <w:pPr>
              <w:ind w:left="320"/>
              <w:spacing w:after="0"/>
              <w:rPr>
                <w:sz w:val="20"/>
                <w:szCs w:val="20"/>
                <w:color w:val="auto"/>
              </w:rPr>
            </w:pPr>
            <w:r>
              <w:rPr>
                <w:rFonts w:ascii="Arial" w:cs="Arial" w:eastAsia="Arial" w:hAnsi="Arial"/>
                <w:sz w:val="18"/>
                <w:szCs w:val="18"/>
                <w:b w:val="1"/>
                <w:bCs w:val="1"/>
                <w:color w:val="auto"/>
              </w:rPr>
              <w:t>Stage 3</w:t>
            </w:r>
          </w:p>
        </w:tc>
        <w:tc>
          <w:tcPr>
            <w:tcW w:w="13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140" w:type="dxa"/>
            <w:vAlign w:val="bottom"/>
          </w:tcPr>
          <w:p>
            <w:pPr>
              <w:spacing w:after="0"/>
              <w:rPr>
                <w:sz w:val="19"/>
                <w:szCs w:val="19"/>
                <w:color w:val="auto"/>
              </w:rPr>
            </w:pPr>
          </w:p>
        </w:tc>
      </w:tr>
      <w:tr>
        <w:trPr>
          <w:trHeight w:val="210"/>
        </w:trPr>
        <w:tc>
          <w:tcPr>
            <w:tcW w:w="28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2,928,401</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2,928,401</w:t>
            </w: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2840" w:type="dxa"/>
            <w:vAlign w:val="bottom"/>
            <w:gridSpan w:val="3"/>
          </w:tcPr>
          <w:p>
            <w:pPr>
              <w:spacing w:after="0"/>
              <w:rPr>
                <w:sz w:val="20"/>
                <w:szCs w:val="20"/>
                <w:color w:val="auto"/>
              </w:rPr>
            </w:pPr>
            <w:r>
              <w:rPr>
                <w:rFonts w:ascii="Arial" w:cs="Arial" w:eastAsia="Arial" w:hAnsi="Arial"/>
                <w:sz w:val="18"/>
                <w:szCs w:val="18"/>
                <w:color w:val="auto"/>
              </w:rPr>
              <w:t>Grades 5 - 6</w:t>
            </w:r>
          </w:p>
        </w:tc>
        <w:tc>
          <w:tcPr>
            <w:tcW w:w="122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100" w:type="dxa"/>
            <w:vAlign w:val="bottom"/>
          </w:tcPr>
          <w:p>
            <w:pPr>
              <w:spacing w:after="0"/>
              <w:rPr>
                <w:sz w:val="18"/>
                <w:szCs w:val="18"/>
                <w:color w:val="auto"/>
              </w:rPr>
            </w:pP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2,330,150</w:t>
            </w:r>
          </w:p>
        </w:tc>
        <w:tc>
          <w:tcPr>
            <w:tcW w:w="120" w:type="dxa"/>
            <w:vAlign w:val="bottom"/>
          </w:tcPr>
          <w:p>
            <w:pPr>
              <w:spacing w:after="0"/>
              <w:rPr>
                <w:sz w:val="18"/>
                <w:szCs w:val="18"/>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85,173</w:t>
            </w:r>
          </w:p>
        </w:tc>
        <w:tc>
          <w:tcPr>
            <w:tcW w:w="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2,415,323</w:t>
            </w:r>
          </w:p>
        </w:tc>
        <w:tc>
          <w:tcPr>
            <w:tcW w:w="1140" w:type="dxa"/>
            <w:vAlign w:val="bottom"/>
          </w:tcPr>
          <w:p>
            <w:pPr>
              <w:spacing w:after="0"/>
              <w:rPr>
                <w:sz w:val="18"/>
                <w:szCs w:val="18"/>
                <w:color w:val="auto"/>
              </w:rPr>
            </w:pPr>
          </w:p>
        </w:tc>
      </w:tr>
      <w:tr>
        <w:trPr>
          <w:trHeight w:val="216"/>
        </w:trPr>
        <w:tc>
          <w:tcPr>
            <w:tcW w:w="2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Grades 7 - 8</w:t>
            </w:r>
          </w:p>
        </w:tc>
        <w:tc>
          <w:tcPr>
            <w:tcW w:w="12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3.96 - 30.67</w:t>
            </w:r>
          </w:p>
        </w:tc>
        <w:tc>
          <w:tcPr>
            <w:tcW w:w="100" w:type="dxa"/>
            <w:vAlign w:val="bottom"/>
            <w:shd w:val="clear" w:color="auto" w:fill="CCEEFF"/>
          </w:tcPr>
          <w:p>
            <w:pPr>
              <w:spacing w:after="0"/>
              <w:rPr>
                <w:sz w:val="18"/>
                <w:szCs w:val="18"/>
                <w:color w:val="auto"/>
              </w:rPr>
            </w:pP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343,606</w:t>
            </w:r>
          </w:p>
        </w:tc>
        <w:tc>
          <w:tcPr>
            <w:tcW w:w="1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143,822</w:t>
            </w:r>
          </w:p>
        </w:tc>
        <w:tc>
          <w:tcPr>
            <w:tcW w:w="8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487,428</w:t>
            </w:r>
          </w:p>
        </w:tc>
        <w:tc>
          <w:tcPr>
            <w:tcW w:w="1140" w:type="dxa"/>
            <w:vAlign w:val="bottom"/>
          </w:tcPr>
          <w:p>
            <w:pPr>
              <w:spacing w:after="0"/>
              <w:rPr>
                <w:sz w:val="18"/>
                <w:szCs w:val="18"/>
                <w:color w:val="auto"/>
              </w:rPr>
            </w:pPr>
          </w:p>
        </w:tc>
      </w:tr>
      <w:tr>
        <w:trPr>
          <w:trHeight w:val="230"/>
        </w:trPr>
        <w:tc>
          <w:tcPr>
            <w:tcW w:w="2840" w:type="dxa"/>
            <w:vAlign w:val="bottom"/>
            <w:gridSpan w:val="3"/>
          </w:tcPr>
          <w:p>
            <w:pPr>
              <w:spacing w:after="0"/>
              <w:rPr>
                <w:sz w:val="20"/>
                <w:szCs w:val="20"/>
                <w:color w:val="auto"/>
              </w:rPr>
            </w:pPr>
            <w:r>
              <w:rPr>
                <w:rFonts w:ascii="Arial" w:cs="Arial" w:eastAsia="Arial" w:hAnsi="Arial"/>
                <w:sz w:val="18"/>
                <w:szCs w:val="18"/>
                <w:color w:val="auto"/>
              </w:rPr>
              <w:t>Grades 9 - 10</w:t>
            </w:r>
          </w:p>
        </w:tc>
        <w:tc>
          <w:tcPr>
            <w:tcW w:w="1220" w:type="dxa"/>
            <w:vAlign w:val="bottom"/>
          </w:tcPr>
          <w:p>
            <w:pPr>
              <w:jc w:val="center"/>
              <w:spacing w:after="0"/>
              <w:rPr>
                <w:sz w:val="20"/>
                <w:szCs w:val="20"/>
                <w:color w:val="auto"/>
              </w:rPr>
            </w:pPr>
            <w:r>
              <w:rPr>
                <w:rFonts w:ascii="Arial" w:cs="Arial" w:eastAsia="Arial" w:hAnsi="Arial"/>
                <w:sz w:val="18"/>
                <w:szCs w:val="18"/>
                <w:color w:val="auto"/>
                <w:w w:val="89"/>
              </w:rPr>
              <w:t>30.68 - 100</w:t>
            </w:r>
          </w:p>
        </w:tc>
        <w:tc>
          <w:tcPr>
            <w:tcW w:w="100" w:type="dxa"/>
            <w:vAlign w:val="bottom"/>
          </w:tcPr>
          <w:p>
            <w:pPr>
              <w:spacing w:after="0"/>
              <w:rPr>
                <w:sz w:val="19"/>
                <w:szCs w:val="19"/>
                <w:color w:val="auto"/>
              </w:rPr>
            </w:pPr>
          </w:p>
        </w:tc>
        <w:tc>
          <w:tcPr>
            <w:tcW w:w="15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61,845</w:t>
            </w:r>
          </w:p>
        </w:tc>
        <w:tc>
          <w:tcPr>
            <w:tcW w:w="80" w:type="dxa"/>
            <w:vAlign w:val="bottom"/>
          </w:tcPr>
          <w:p>
            <w:pPr>
              <w:spacing w:after="0"/>
              <w:rPr>
                <w:sz w:val="19"/>
                <w:szCs w:val="19"/>
                <w:color w:val="auto"/>
              </w:rPr>
            </w:pPr>
          </w:p>
        </w:tc>
        <w:tc>
          <w:tcPr>
            <w:tcW w:w="1300" w:type="dxa"/>
            <w:vAlign w:val="bottom"/>
            <w:gridSpan w:val="2"/>
          </w:tcPr>
          <w:p>
            <w:pPr>
              <w:jc w:val="right"/>
              <w:ind w:right="80"/>
              <w:spacing w:after="0"/>
              <w:rPr>
                <w:sz w:val="20"/>
                <w:szCs w:val="20"/>
                <w:color w:val="auto"/>
              </w:rPr>
            </w:pPr>
            <w:r>
              <w:rPr>
                <w:rFonts w:ascii="Arial" w:cs="Arial" w:eastAsia="Arial" w:hAnsi="Arial"/>
                <w:sz w:val="18"/>
                <w:szCs w:val="18"/>
                <w:color w:val="auto"/>
              </w:rPr>
              <w:t>61,845</w:t>
            </w:r>
          </w:p>
        </w:tc>
        <w:tc>
          <w:tcPr>
            <w:tcW w:w="1140" w:type="dxa"/>
            <w:vAlign w:val="bottom"/>
          </w:tcPr>
          <w:p>
            <w:pPr>
              <w:spacing w:after="0"/>
              <w:rPr>
                <w:sz w:val="19"/>
                <w:szCs w:val="19"/>
                <w:color w:val="auto"/>
              </w:rPr>
            </w:pPr>
          </w:p>
        </w:tc>
      </w:tr>
      <w:tr>
        <w:trPr>
          <w:trHeight w:val="210"/>
        </w:trPr>
        <w:tc>
          <w:tcPr>
            <w:tcW w:w="34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CCEEFF"/>
            </w:tcBorders>
            <w:shd w:val="clear" w:color="auto" w:fill="CCEEFF"/>
          </w:tcPr>
          <w:p>
            <w:pPr>
              <w:spacing w:after="0"/>
              <w:rPr>
                <w:sz w:val="18"/>
                <w:szCs w:val="18"/>
                <w:color w:val="auto"/>
              </w:rPr>
            </w:pPr>
          </w:p>
        </w:tc>
        <w:tc>
          <w:tcPr>
            <w:tcW w:w="8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5,602,157</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228,995</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5,892,997</w:t>
            </w:r>
          </w:p>
        </w:tc>
        <w:tc>
          <w:tcPr>
            <w:tcW w:w="80" w:type="dxa"/>
            <w:vAlign w:val="bottom"/>
            <w:tcBorders>
              <w:top w:val="single" w:sz="8" w:color="CCEEFF"/>
            </w:tcBorders>
            <w:shd w:val="clear" w:color="auto" w:fill="CCEEFF"/>
          </w:tcPr>
          <w:p>
            <w:pPr>
              <w:spacing w:after="0"/>
              <w:rPr>
                <w:sz w:val="18"/>
                <w:szCs w:val="18"/>
                <w:color w:val="auto"/>
              </w:rPr>
            </w:pPr>
          </w:p>
        </w:tc>
        <w:tc>
          <w:tcPr>
            <w:tcW w:w="1140" w:type="dxa"/>
            <w:vAlign w:val="bottom"/>
          </w:tcPr>
          <w:p>
            <w:pPr>
              <w:spacing w:after="0"/>
              <w:rPr>
                <w:sz w:val="18"/>
                <w:szCs w:val="18"/>
                <w:color w:val="auto"/>
              </w:rPr>
            </w:pPr>
          </w:p>
        </w:tc>
      </w:tr>
      <w:tr>
        <w:trPr>
          <w:trHeight w:val="230"/>
        </w:trPr>
        <w:tc>
          <w:tcPr>
            <w:tcW w:w="2840" w:type="dxa"/>
            <w:vAlign w:val="bottom"/>
            <w:gridSpan w:val="3"/>
          </w:tcPr>
          <w:p>
            <w:pPr>
              <w:spacing w:after="0"/>
              <w:rPr>
                <w:sz w:val="20"/>
                <w:szCs w:val="20"/>
                <w:color w:val="auto"/>
              </w:rPr>
            </w:pPr>
            <w:r>
              <w:rPr>
                <w:rFonts w:ascii="Arial" w:cs="Arial" w:eastAsia="Arial" w:hAnsi="Arial"/>
                <w:sz w:val="18"/>
                <w:szCs w:val="18"/>
                <w:color w:val="auto"/>
              </w:rPr>
              <w:t>Loss allowance</w:t>
            </w: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40" w:type="dxa"/>
            <w:vAlign w:val="bottom"/>
            <w:gridSpan w:val="3"/>
          </w:tcPr>
          <w:p>
            <w:pPr>
              <w:jc w:val="right"/>
              <w:ind w:right="160"/>
              <w:spacing w:after="0"/>
              <w:rPr>
                <w:sz w:val="20"/>
                <w:szCs w:val="20"/>
                <w:color w:val="auto"/>
              </w:rPr>
            </w:pPr>
            <w:r>
              <w:rPr>
                <w:rFonts w:ascii="Arial" w:cs="Arial" w:eastAsia="Arial" w:hAnsi="Arial"/>
                <w:sz w:val="18"/>
                <w:szCs w:val="18"/>
                <w:color w:val="auto"/>
              </w:rPr>
              <w:t>(28,892)</w:t>
            </w:r>
          </w:p>
        </w:tc>
        <w:tc>
          <w:tcPr>
            <w:tcW w:w="120" w:type="dxa"/>
            <w:vAlign w:val="bottom"/>
          </w:tcPr>
          <w:p>
            <w:pPr>
              <w:spacing w:after="0"/>
              <w:rPr>
                <w:sz w:val="19"/>
                <w:szCs w:val="19"/>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(15,842)</w:t>
            </w:r>
          </w:p>
        </w:tc>
        <w:tc>
          <w:tcPr>
            <w:tcW w:w="80" w:type="dxa"/>
            <w:vAlign w:val="bottom"/>
          </w:tcPr>
          <w:p>
            <w:pPr>
              <w:spacing w:after="0"/>
              <w:rPr>
                <w:sz w:val="19"/>
                <w:szCs w:val="19"/>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(54,573)</w:t>
            </w:r>
          </w:p>
        </w:tc>
        <w:tc>
          <w:tcPr>
            <w:tcW w:w="80" w:type="dxa"/>
            <w:vAlign w:val="bottom"/>
          </w:tcPr>
          <w:p>
            <w:pPr>
              <w:spacing w:after="0"/>
              <w:rPr>
                <w:sz w:val="19"/>
                <w:szCs w:val="19"/>
                <w:color w:val="auto"/>
              </w:rPr>
            </w:pP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(99,307)</w:t>
            </w:r>
          </w:p>
        </w:tc>
        <w:tc>
          <w:tcPr>
            <w:tcW w:w="1140" w:type="dxa"/>
            <w:vAlign w:val="bottom"/>
          </w:tcPr>
          <w:p>
            <w:pPr>
              <w:spacing w:after="0"/>
              <w:rPr>
                <w:sz w:val="19"/>
                <w:szCs w:val="19"/>
                <w:color w:val="auto"/>
              </w:rPr>
            </w:pPr>
          </w:p>
        </w:tc>
      </w:tr>
      <w:tr>
        <w:trPr>
          <w:trHeight w:val="223"/>
        </w:trPr>
        <w:tc>
          <w:tcPr>
            <w:tcW w:w="28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5,573,265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213,153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7,272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5,793,690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40" w:type="dxa"/>
            <w:vAlign w:val="bottom"/>
            <w:gridSpan w:val="2"/>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ind w:left="1180"/>
              <w:spacing w:after="0"/>
              <w:rPr>
                <w:sz w:val="20"/>
                <w:szCs w:val="20"/>
                <w:color w:val="auto"/>
              </w:rPr>
            </w:pPr>
            <w:r>
              <w:rPr>
                <w:rFonts w:ascii="Arial" w:cs="Arial" w:eastAsia="Arial" w:hAnsi="Arial"/>
                <w:sz w:val="18"/>
                <w:szCs w:val="18"/>
                <w:color w:val="auto"/>
                <w:w w:val="91"/>
              </w:rPr>
              <w:t>F-40</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176" w:name="page177"/>
    <w:bookmarkEnd w:id="17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guarantees issued and customers’ liabilities under acceptances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8"/>
                <w:szCs w:val="18"/>
                <w:b w:val="1"/>
                <w:bCs w:val="1"/>
                <w:color w:val="auto"/>
                <w:w w:val="90"/>
              </w:rPr>
              <w:t>December 31, 2020</w:t>
            </w:r>
          </w:p>
        </w:tc>
        <w:tc>
          <w:tcPr>
            <w:tcW w:w="130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580" w:type="dxa"/>
            <w:vAlign w:val="bottom"/>
          </w:tcPr>
          <w:p>
            <w:pPr>
              <w:spacing w:after="0"/>
              <w:rPr>
                <w:sz w:val="17"/>
                <w:szCs w:val="17"/>
                <w:color w:val="auto"/>
              </w:rPr>
            </w:pPr>
          </w:p>
        </w:tc>
        <w:tc>
          <w:tcPr>
            <w:tcW w:w="2640" w:type="dxa"/>
            <w:vAlign w:val="bottom"/>
          </w:tcPr>
          <w:p>
            <w:pPr>
              <w:spacing w:after="0"/>
              <w:rPr>
                <w:sz w:val="17"/>
                <w:szCs w:val="17"/>
                <w:color w:val="auto"/>
              </w:rPr>
            </w:pPr>
          </w:p>
        </w:tc>
        <w:tc>
          <w:tcPr>
            <w:tcW w:w="1320" w:type="dxa"/>
            <w:vAlign w:val="bottom"/>
          </w:tcPr>
          <w:p>
            <w:pPr>
              <w:jc w:val="center"/>
              <w:spacing w:after="0" w:line="205" w:lineRule="exact"/>
              <w:rPr>
                <w:sz w:val="20"/>
                <w:szCs w:val="20"/>
                <w:color w:val="auto"/>
              </w:rPr>
            </w:pPr>
            <w:r>
              <w:rPr>
                <w:rFonts w:ascii="Arial" w:cs="Arial" w:eastAsia="Arial" w:hAnsi="Arial"/>
                <w:sz w:val="18"/>
                <w:szCs w:val="18"/>
                <w:b w:val="1"/>
                <w:bCs w:val="1"/>
                <w:color w:val="auto"/>
                <w:w w:val="91"/>
              </w:rPr>
              <w:t>12-month PD</w:t>
            </w:r>
          </w:p>
        </w:tc>
        <w:tc>
          <w:tcPr>
            <w:tcW w:w="2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8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1320" w:type="dxa"/>
            <w:vAlign w:val="bottom"/>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20" w:type="dxa"/>
            <w:vAlign w:val="bottom"/>
          </w:tcPr>
          <w:p>
            <w:pPr>
              <w:spacing w:after="0"/>
              <w:rPr>
                <w:sz w:val="20"/>
                <w:szCs w:val="20"/>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1</w:t>
            </w:r>
          </w:p>
        </w:tc>
        <w:tc>
          <w:tcPr>
            <w:tcW w:w="15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2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Commitments and contingencies</w:t>
            </w: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1 - 4</w:t>
            </w:r>
          </w:p>
        </w:tc>
        <w:tc>
          <w:tcPr>
            <w:tcW w:w="1320" w:type="dxa"/>
            <w:vAlign w:val="bottom"/>
          </w:tcPr>
          <w:p>
            <w:pPr>
              <w:jc w:val="center"/>
              <w:ind w:left="10"/>
              <w:spacing w:after="0"/>
              <w:rPr>
                <w:sz w:val="20"/>
                <w:szCs w:val="20"/>
                <w:color w:val="auto"/>
              </w:rPr>
            </w:pPr>
            <w:r>
              <w:rPr>
                <w:rFonts w:ascii="Arial" w:cs="Arial" w:eastAsia="Arial" w:hAnsi="Arial"/>
                <w:sz w:val="18"/>
                <w:szCs w:val="18"/>
                <w:color w:val="auto"/>
                <w:w w:val="90"/>
              </w:rPr>
              <w:t>0.03 - 0.74</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245,927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245,927</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32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0"/>
              </w:rPr>
              <w:t>0.75 - 3.95</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198,638</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38,446</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237,084</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7 - 8</w:t>
            </w:r>
          </w:p>
        </w:tc>
        <w:tc>
          <w:tcPr>
            <w:tcW w:w="1320" w:type="dxa"/>
            <w:vAlign w:val="bottom"/>
          </w:tcPr>
          <w:p>
            <w:pPr>
              <w:jc w:val="center"/>
              <w:ind w:left="30"/>
              <w:spacing w:after="0"/>
              <w:rPr>
                <w:sz w:val="20"/>
                <w:szCs w:val="20"/>
                <w:color w:val="auto"/>
              </w:rPr>
            </w:pPr>
            <w:r>
              <w:rPr>
                <w:rFonts w:ascii="Arial" w:cs="Arial" w:eastAsia="Arial" w:hAnsi="Arial"/>
                <w:sz w:val="18"/>
                <w:szCs w:val="18"/>
                <w:color w:val="auto"/>
                <w:w w:val="91"/>
              </w:rPr>
              <w:t>3.96 - 30.67</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81,887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81,887</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264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526,452</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564,898</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60" w:type="dxa"/>
            <w:vAlign w:val="bottom"/>
            <w:gridSpan w:val="2"/>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Customers' liabilities under acceptances</w:t>
            </w: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1 - 4</w:t>
            </w:r>
          </w:p>
        </w:tc>
        <w:tc>
          <w:tcPr>
            <w:tcW w:w="1320" w:type="dxa"/>
            <w:vAlign w:val="bottom"/>
          </w:tcPr>
          <w:p>
            <w:pPr>
              <w:jc w:val="center"/>
              <w:ind w:left="10"/>
              <w:spacing w:after="0"/>
              <w:rPr>
                <w:sz w:val="20"/>
                <w:szCs w:val="20"/>
                <w:color w:val="auto"/>
              </w:rPr>
            </w:pPr>
            <w:r>
              <w:rPr>
                <w:rFonts w:ascii="Arial" w:cs="Arial" w:eastAsia="Arial" w:hAnsi="Arial"/>
                <w:sz w:val="18"/>
                <w:szCs w:val="18"/>
                <w:color w:val="auto"/>
                <w:w w:val="90"/>
              </w:rPr>
              <w:t>0.03 - 0.74</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1,498</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1,498</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32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0"/>
              </w:rPr>
              <w:t>0.75 - 3.95</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723</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723</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7 - 8</w:t>
            </w:r>
          </w:p>
        </w:tc>
        <w:tc>
          <w:tcPr>
            <w:tcW w:w="1320" w:type="dxa"/>
            <w:vAlign w:val="bottom"/>
          </w:tcPr>
          <w:p>
            <w:pPr>
              <w:jc w:val="center"/>
              <w:ind w:left="30"/>
              <w:spacing w:after="0"/>
              <w:rPr>
                <w:sz w:val="20"/>
                <w:szCs w:val="20"/>
                <w:color w:val="auto"/>
              </w:rPr>
            </w:pPr>
            <w:r>
              <w:rPr>
                <w:rFonts w:ascii="Arial" w:cs="Arial" w:eastAsia="Arial" w:hAnsi="Arial"/>
                <w:sz w:val="18"/>
                <w:szCs w:val="18"/>
                <w:color w:val="auto"/>
                <w:w w:val="91"/>
              </w:rPr>
              <w:t>3.96 - 30.67</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72,145</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72,145</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264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80" w:type="dxa"/>
            <w:vAlign w:val="bottom"/>
          </w:tcPr>
          <w:p>
            <w:pPr>
              <w:spacing w:after="0"/>
              <w:rPr>
                <w:sz w:val="18"/>
                <w:szCs w:val="18"/>
                <w:color w:val="auto"/>
              </w:rPr>
            </w:pPr>
          </w:p>
        </w:tc>
        <w:tc>
          <w:tcPr>
            <w:tcW w:w="264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b w:val="1"/>
                <w:bCs w:val="1"/>
                <w:color w:val="auto"/>
              </w:rPr>
              <w:t>600,818</w:t>
            </w:r>
          </w:p>
        </w:tc>
        <w:tc>
          <w:tcPr>
            <w:tcW w:w="22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38,446</w:t>
            </w:r>
          </w:p>
        </w:tc>
        <w:tc>
          <w:tcPr>
            <w:tcW w:w="20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639,264</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320" w:type="dxa"/>
            <w:vAlign w:val="bottom"/>
            <w:shd w:val="clear" w:color="auto" w:fill="CCEEFF"/>
          </w:tcPr>
          <w:p>
            <w:pPr>
              <w:spacing w:after="0"/>
              <w:rPr>
                <w:sz w:val="19"/>
                <w:szCs w:val="19"/>
                <w:color w:val="auto"/>
              </w:rPr>
            </w:pPr>
          </w:p>
        </w:tc>
        <w:tc>
          <w:tcPr>
            <w:tcW w:w="176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(2,426)</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(478)</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(2,904)</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Total</w:t>
            </w:r>
          </w:p>
        </w:tc>
        <w:tc>
          <w:tcPr>
            <w:tcW w:w="13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598,392</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37,968</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636,360</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80" w:type="dxa"/>
            <w:vAlign w:val="bottom"/>
          </w:tcPr>
          <w:p>
            <w:pPr>
              <w:spacing w:after="0"/>
              <w:rPr>
                <w:sz w:val="24"/>
                <w:szCs w:val="24"/>
                <w:color w:val="auto"/>
              </w:rPr>
            </w:pPr>
          </w:p>
        </w:tc>
        <w:tc>
          <w:tcPr>
            <w:tcW w:w="264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8"/>
                <w:szCs w:val="18"/>
                <w:b w:val="1"/>
                <w:bCs w:val="1"/>
                <w:color w:val="auto"/>
                <w:w w:val="90"/>
              </w:rPr>
              <w:t>December 31, 2019</w:t>
            </w:r>
          </w:p>
        </w:tc>
        <w:tc>
          <w:tcPr>
            <w:tcW w:w="13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80" w:type="dxa"/>
            <w:vAlign w:val="bottom"/>
          </w:tcPr>
          <w:p>
            <w:pPr>
              <w:spacing w:after="0"/>
              <w:rPr>
                <w:sz w:val="16"/>
                <w:szCs w:val="16"/>
                <w:color w:val="auto"/>
              </w:rPr>
            </w:pPr>
          </w:p>
        </w:tc>
        <w:tc>
          <w:tcPr>
            <w:tcW w:w="2640" w:type="dxa"/>
            <w:vAlign w:val="bottom"/>
          </w:tcPr>
          <w:p>
            <w:pPr>
              <w:spacing w:after="0"/>
              <w:rPr>
                <w:sz w:val="16"/>
                <w:szCs w:val="16"/>
                <w:color w:val="auto"/>
              </w:rPr>
            </w:pPr>
          </w:p>
        </w:tc>
        <w:tc>
          <w:tcPr>
            <w:tcW w:w="13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1"/>
              </w:rPr>
              <w:t>12-month PD</w:t>
            </w: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580" w:type="dxa"/>
            <w:vAlign w:val="bottom"/>
          </w:tcPr>
          <w:p>
            <w:pPr>
              <w:spacing w:after="0"/>
              <w:rPr>
                <w:sz w:val="20"/>
                <w:szCs w:val="20"/>
                <w:color w:val="auto"/>
              </w:rPr>
            </w:pPr>
          </w:p>
        </w:tc>
        <w:tc>
          <w:tcPr>
            <w:tcW w:w="2640" w:type="dxa"/>
            <w:vAlign w:val="bottom"/>
          </w:tcPr>
          <w:p>
            <w:pPr>
              <w:spacing w:after="0"/>
              <w:rPr>
                <w:sz w:val="20"/>
                <w:szCs w:val="20"/>
                <w:color w:val="auto"/>
              </w:rPr>
            </w:pPr>
          </w:p>
        </w:tc>
        <w:tc>
          <w:tcPr>
            <w:tcW w:w="1320" w:type="dxa"/>
            <w:vAlign w:val="bottom"/>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20" w:type="dxa"/>
            <w:vAlign w:val="bottom"/>
          </w:tcPr>
          <w:p>
            <w:pPr>
              <w:spacing w:after="0"/>
              <w:rPr>
                <w:sz w:val="20"/>
                <w:szCs w:val="20"/>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1</w:t>
            </w:r>
          </w:p>
        </w:tc>
        <w:tc>
          <w:tcPr>
            <w:tcW w:w="15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2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Commitments and contingencies</w:t>
            </w: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1 - 4</w:t>
            </w:r>
          </w:p>
        </w:tc>
        <w:tc>
          <w:tcPr>
            <w:tcW w:w="1320" w:type="dxa"/>
            <w:vAlign w:val="bottom"/>
          </w:tcPr>
          <w:p>
            <w:pPr>
              <w:jc w:val="center"/>
              <w:ind w:left="10"/>
              <w:spacing w:after="0"/>
              <w:rPr>
                <w:sz w:val="20"/>
                <w:szCs w:val="20"/>
                <w:color w:val="auto"/>
              </w:rPr>
            </w:pPr>
            <w:r>
              <w:rPr>
                <w:rFonts w:ascii="Arial" w:cs="Arial" w:eastAsia="Arial" w:hAnsi="Arial"/>
                <w:sz w:val="18"/>
                <w:szCs w:val="18"/>
                <w:color w:val="auto"/>
                <w:w w:val="90"/>
              </w:rPr>
              <w:t>0.03 - 0.74</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153,874</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153,874</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32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0"/>
              </w:rPr>
              <w:t>0.75 - 3.95</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150,631</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27,446</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178,077</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7 - 8</w:t>
            </w:r>
          </w:p>
        </w:tc>
        <w:tc>
          <w:tcPr>
            <w:tcW w:w="1320" w:type="dxa"/>
            <w:vAlign w:val="bottom"/>
          </w:tcPr>
          <w:p>
            <w:pPr>
              <w:jc w:val="center"/>
              <w:ind w:left="30"/>
              <w:spacing w:after="0"/>
              <w:rPr>
                <w:sz w:val="20"/>
                <w:szCs w:val="20"/>
                <w:color w:val="auto"/>
              </w:rPr>
            </w:pPr>
            <w:r>
              <w:rPr>
                <w:rFonts w:ascii="Arial" w:cs="Arial" w:eastAsia="Arial" w:hAnsi="Arial"/>
                <w:sz w:val="18"/>
                <w:szCs w:val="18"/>
                <w:color w:val="auto"/>
                <w:w w:val="91"/>
              </w:rPr>
              <w:t>4.13 - 30.43</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161,421</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161,421</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264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465,926</w:t>
            </w: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27,446</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493,372</w:t>
            </w: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60" w:type="dxa"/>
            <w:vAlign w:val="bottom"/>
            <w:gridSpan w:val="2"/>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Customers' liabilities under acceptances</w:t>
            </w: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1 - 4</w:t>
            </w:r>
          </w:p>
        </w:tc>
        <w:tc>
          <w:tcPr>
            <w:tcW w:w="1320" w:type="dxa"/>
            <w:vAlign w:val="bottom"/>
          </w:tcPr>
          <w:p>
            <w:pPr>
              <w:jc w:val="center"/>
              <w:ind w:left="10"/>
              <w:spacing w:after="0"/>
              <w:rPr>
                <w:sz w:val="20"/>
                <w:szCs w:val="20"/>
                <w:color w:val="auto"/>
              </w:rPr>
            </w:pPr>
            <w:r>
              <w:rPr>
                <w:rFonts w:ascii="Arial" w:cs="Arial" w:eastAsia="Arial" w:hAnsi="Arial"/>
                <w:sz w:val="18"/>
                <w:szCs w:val="18"/>
                <w:color w:val="auto"/>
                <w:w w:val="90"/>
              </w:rPr>
              <w:t>0.03 - 0.74</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13,367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13,367</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320" w:type="dxa"/>
            <w:vAlign w:val="bottom"/>
            <w:shd w:val="clear" w:color="auto" w:fill="CCEEFF"/>
          </w:tcPr>
          <w:p>
            <w:pPr>
              <w:jc w:val="center"/>
              <w:ind w:left="10"/>
              <w:spacing w:after="0"/>
              <w:rPr>
                <w:sz w:val="20"/>
                <w:szCs w:val="20"/>
                <w:color w:val="auto"/>
              </w:rPr>
            </w:pPr>
            <w:r>
              <w:rPr>
                <w:rFonts w:ascii="Arial" w:cs="Arial" w:eastAsia="Arial" w:hAnsi="Arial"/>
                <w:sz w:val="18"/>
                <w:szCs w:val="18"/>
                <w:color w:val="auto"/>
                <w:w w:val="90"/>
              </w:rPr>
              <w:t>0.75 - 3.95</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5,491</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5,491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80" w:type="dxa"/>
            <w:vAlign w:val="bottom"/>
          </w:tcPr>
          <w:p>
            <w:pPr>
              <w:spacing w:after="0"/>
              <w:rPr>
                <w:sz w:val="19"/>
                <w:szCs w:val="19"/>
                <w:color w:val="auto"/>
              </w:rPr>
            </w:pPr>
          </w:p>
        </w:tc>
        <w:tc>
          <w:tcPr>
            <w:tcW w:w="2640" w:type="dxa"/>
            <w:vAlign w:val="bottom"/>
          </w:tcPr>
          <w:p>
            <w:pPr>
              <w:spacing w:after="0"/>
              <w:rPr>
                <w:sz w:val="20"/>
                <w:szCs w:val="20"/>
                <w:color w:val="auto"/>
              </w:rPr>
            </w:pPr>
            <w:r>
              <w:rPr>
                <w:rFonts w:ascii="Arial" w:cs="Arial" w:eastAsia="Arial" w:hAnsi="Arial"/>
                <w:sz w:val="18"/>
                <w:szCs w:val="18"/>
                <w:color w:val="auto"/>
              </w:rPr>
              <w:t>Grades 7 - 8</w:t>
            </w:r>
          </w:p>
        </w:tc>
        <w:tc>
          <w:tcPr>
            <w:tcW w:w="1320" w:type="dxa"/>
            <w:vAlign w:val="bottom"/>
          </w:tcPr>
          <w:p>
            <w:pPr>
              <w:jc w:val="center"/>
              <w:ind w:left="30"/>
              <w:spacing w:after="0"/>
              <w:rPr>
                <w:sz w:val="20"/>
                <w:szCs w:val="20"/>
                <w:color w:val="auto"/>
              </w:rPr>
            </w:pPr>
            <w:r>
              <w:rPr>
                <w:rFonts w:ascii="Arial" w:cs="Arial" w:eastAsia="Arial" w:hAnsi="Arial"/>
                <w:sz w:val="18"/>
                <w:szCs w:val="18"/>
                <w:color w:val="auto"/>
                <w:w w:val="91"/>
              </w:rPr>
              <w:t>4.13 - 30.43</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96,824</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96,824</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264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115,682</w:t>
            </w:r>
          </w:p>
        </w:tc>
        <w:tc>
          <w:tcPr>
            <w:tcW w:w="22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115,682</w:t>
            </w:r>
          </w:p>
        </w:tc>
        <w:tc>
          <w:tcPr>
            <w:tcW w:w="100" w:type="dxa"/>
            <w:vAlign w:val="bottom"/>
            <w:tcBorders>
              <w:top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264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b w:val="1"/>
                <w:bCs w:val="1"/>
                <w:color w:val="auto"/>
              </w:rPr>
              <w:t>581,608</w:t>
            </w:r>
          </w:p>
        </w:tc>
        <w:tc>
          <w:tcPr>
            <w:tcW w:w="22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27,446</w:t>
            </w:r>
          </w:p>
        </w:tc>
        <w:tc>
          <w:tcPr>
            <w:tcW w:w="20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609,054</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19"/>
                <w:szCs w:val="19"/>
                <w:color w:val="auto"/>
              </w:rPr>
            </w:pPr>
          </w:p>
        </w:tc>
        <w:tc>
          <w:tcPr>
            <w:tcW w:w="2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3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(2,683)</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(361)</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(3,044)</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2640" w:type="dxa"/>
            <w:vAlign w:val="bottom"/>
            <w:vMerge w:val="restart"/>
          </w:tcPr>
          <w:p>
            <w:pPr>
              <w:spacing w:after="0"/>
              <w:rPr>
                <w:sz w:val="20"/>
                <w:szCs w:val="20"/>
                <w:color w:val="auto"/>
              </w:rPr>
            </w:pPr>
            <w:r>
              <w:rPr>
                <w:rFonts w:ascii="Arial" w:cs="Arial" w:eastAsia="Arial" w:hAnsi="Arial"/>
                <w:sz w:val="18"/>
                <w:szCs w:val="18"/>
                <w:color w:val="auto"/>
              </w:rPr>
              <w:t>Total</w:t>
            </w:r>
          </w:p>
        </w:tc>
        <w:tc>
          <w:tcPr>
            <w:tcW w:w="1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shd w:val="clear" w:color="auto" w:fill="000000"/>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13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580" w:type="dxa"/>
            <w:vAlign w:val="bottom"/>
          </w:tcPr>
          <w:p>
            <w:pPr>
              <w:spacing w:after="0"/>
              <w:rPr>
                <w:sz w:val="21"/>
                <w:szCs w:val="21"/>
                <w:color w:val="auto"/>
              </w:rPr>
            </w:pPr>
          </w:p>
        </w:tc>
        <w:tc>
          <w:tcPr>
            <w:tcW w:w="2640" w:type="dxa"/>
            <w:vAlign w:val="bottom"/>
            <w:vMerge w:val="continue"/>
          </w:tcPr>
          <w:p>
            <w:pPr>
              <w:spacing w:after="0"/>
              <w:rPr>
                <w:sz w:val="21"/>
                <w:szCs w:val="21"/>
                <w:color w:val="auto"/>
              </w:rPr>
            </w:pPr>
          </w:p>
        </w:tc>
        <w:tc>
          <w:tcPr>
            <w:tcW w:w="132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5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578,925</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27,085</w:t>
            </w: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vMerge w:val="continue"/>
          </w:tcPr>
          <w:p>
            <w:pPr>
              <w:spacing w:after="0"/>
              <w:rPr>
                <w:sz w:val="21"/>
                <w:szCs w:val="21"/>
                <w:color w:val="auto"/>
              </w:rPr>
            </w:pPr>
          </w:p>
        </w:tc>
        <w:tc>
          <w:tcPr>
            <w:tcW w:w="14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606,010</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264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58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ind w:right="500"/>
              <w:spacing w:after="0"/>
              <w:rPr>
                <w:sz w:val="20"/>
                <w:szCs w:val="20"/>
                <w:color w:val="auto"/>
              </w:rPr>
            </w:pPr>
            <w:r>
              <w:rPr>
                <w:rFonts w:ascii="Arial" w:cs="Arial" w:eastAsia="Arial" w:hAnsi="Arial"/>
                <w:sz w:val="18"/>
                <w:szCs w:val="18"/>
                <w:color w:val="auto"/>
              </w:rPr>
              <w:t>F-41</w:t>
            </w:r>
          </w:p>
        </w:tc>
        <w:tc>
          <w:tcPr>
            <w:tcW w:w="1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77" w:name="page178"/>
    <w:bookmarkEnd w:id="17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0" w:type="dxa"/>
            <w:vAlign w:val="bottom"/>
            <w:gridSpan w:val="4"/>
          </w:tcPr>
          <w:p>
            <w:pPr>
              <w:jc w:val="right"/>
              <w:ind w:right="1080"/>
              <w:spacing w:after="0"/>
              <w:rPr>
                <w:sz w:val="20"/>
                <w:szCs w:val="20"/>
                <w:color w:val="auto"/>
              </w:rPr>
            </w:pPr>
            <w:r>
              <w:rPr>
                <w:rFonts w:ascii="Arial" w:cs="Arial" w:eastAsia="Arial" w:hAnsi="Arial"/>
                <w:sz w:val="18"/>
                <w:szCs w:val="18"/>
                <w:b w:val="1"/>
                <w:bCs w:val="1"/>
                <w:color w:val="auto"/>
                <w:w w:val="94"/>
              </w:rPr>
              <w:t>5.  Financial risk (continued)</w:t>
            </w: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340" w:type="dxa"/>
            <w:vAlign w:val="bottom"/>
          </w:tcPr>
          <w:p>
            <w:pPr>
              <w:spacing w:after="0"/>
              <w:rPr>
                <w:sz w:val="24"/>
                <w:szCs w:val="24"/>
                <w:color w:val="auto"/>
              </w:rPr>
            </w:pPr>
          </w:p>
        </w:tc>
        <w:tc>
          <w:tcPr>
            <w:tcW w:w="3060" w:type="dxa"/>
            <w:vAlign w:val="bottom"/>
            <w:gridSpan w:val="3"/>
          </w:tcPr>
          <w:p>
            <w:pPr>
              <w:jc w:val="right"/>
              <w:ind w:right="980"/>
              <w:spacing w:after="0"/>
              <w:rPr>
                <w:sz w:val="20"/>
                <w:szCs w:val="20"/>
                <w:color w:val="auto"/>
              </w:rPr>
            </w:pPr>
            <w:r>
              <w:rPr>
                <w:rFonts w:ascii="Arial" w:cs="Arial" w:eastAsia="Arial" w:hAnsi="Arial"/>
                <w:sz w:val="18"/>
                <w:szCs w:val="18"/>
                <w:b w:val="1"/>
                <w:bCs w:val="1"/>
                <w:color w:val="auto"/>
                <w:w w:val="93"/>
              </w:rPr>
              <w:t>A.  Credit risk (continued)</w:t>
            </w: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91"/>
        </w:trPr>
        <w:tc>
          <w:tcPr>
            <w:tcW w:w="340" w:type="dxa"/>
            <w:vAlign w:val="bottom"/>
          </w:tcPr>
          <w:p>
            <w:pPr>
              <w:spacing w:after="0"/>
              <w:rPr>
                <w:sz w:val="24"/>
                <w:szCs w:val="24"/>
                <w:color w:val="auto"/>
              </w:rPr>
            </w:pPr>
          </w:p>
        </w:tc>
        <w:tc>
          <w:tcPr>
            <w:tcW w:w="3060" w:type="dxa"/>
            <w:vAlign w:val="bottom"/>
            <w:gridSpan w:val="3"/>
          </w:tcPr>
          <w:p>
            <w:pPr>
              <w:jc w:val="right"/>
              <w:ind w:right="1080"/>
              <w:spacing w:after="0"/>
              <w:rPr>
                <w:sz w:val="20"/>
                <w:szCs w:val="20"/>
                <w:color w:val="auto"/>
              </w:rPr>
            </w:pPr>
            <w:r>
              <w:rPr>
                <w:rFonts w:ascii="Arial" w:cs="Arial" w:eastAsia="Arial" w:hAnsi="Arial"/>
                <w:sz w:val="18"/>
                <w:szCs w:val="18"/>
                <w:color w:val="auto"/>
                <w:w w:val="88"/>
              </w:rPr>
              <w:t>Securities at amortized cost</w:t>
            </w: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66"/>
        </w:trPr>
        <w:tc>
          <w:tcPr>
            <w:tcW w:w="340" w:type="dxa"/>
            <w:vAlign w:val="bottom"/>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740" w:type="dxa"/>
            <w:vAlign w:val="bottom"/>
            <w:tcBorders>
              <w:top w:val="single" w:sz="8" w:color="auto"/>
            </w:tcBorders>
          </w:tcPr>
          <w:p>
            <w:pPr>
              <w:spacing w:after="0"/>
              <w:rPr>
                <w:sz w:val="24"/>
                <w:szCs w:val="24"/>
                <w:color w:val="auto"/>
              </w:rPr>
            </w:pPr>
          </w:p>
        </w:tc>
        <w:tc>
          <w:tcPr>
            <w:tcW w:w="108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w w:val="90"/>
              </w:rPr>
              <w:t>December 31, 2020</w:t>
            </w:r>
          </w:p>
        </w:tc>
        <w:tc>
          <w:tcPr>
            <w:tcW w:w="132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3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09"/>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gridSpan w:val="2"/>
          </w:tcPr>
          <w:p>
            <w:pPr>
              <w:spacing w:after="0"/>
              <w:rPr>
                <w:sz w:val="20"/>
                <w:szCs w:val="20"/>
                <w:color w:val="auto"/>
              </w:rPr>
            </w:pPr>
            <w:r>
              <w:rPr>
                <w:rFonts w:ascii="Arial" w:cs="Arial" w:eastAsia="Arial" w:hAnsi="Arial"/>
                <w:sz w:val="18"/>
                <w:szCs w:val="18"/>
                <w:color w:val="auto"/>
              </w:rPr>
              <w:t>Grades 5 - 6</w:t>
            </w:r>
          </w:p>
        </w:tc>
        <w:tc>
          <w:tcPr>
            <w:tcW w:w="122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120" w:type="dxa"/>
            <w:vAlign w:val="bottom"/>
          </w:tcPr>
          <w:p>
            <w:pPr>
              <w:spacing w:after="0"/>
              <w:rPr>
                <w:sz w:val="19"/>
                <w:szCs w:val="19"/>
                <w:color w:val="auto"/>
              </w:rPr>
            </w:pP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50,562</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5,007</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55,569</w:t>
            </w:r>
          </w:p>
        </w:tc>
      </w:tr>
      <w:tr>
        <w:trPr>
          <w:trHeight w:val="209"/>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159,067</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5,007</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gridSpan w:val="2"/>
          </w:tcPr>
          <w:p>
            <w:pPr>
              <w:spacing w:after="0"/>
              <w:rPr>
                <w:sz w:val="20"/>
                <w:szCs w:val="20"/>
                <w:color w:val="auto"/>
              </w:rPr>
            </w:pPr>
            <w:r>
              <w:rPr>
                <w:rFonts w:ascii="Arial" w:cs="Arial" w:eastAsia="Arial" w:hAnsi="Arial"/>
                <w:sz w:val="18"/>
                <w:szCs w:val="18"/>
                <w:color w:val="auto"/>
              </w:rPr>
              <w:t>Loss allowance</w:t>
            </w: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40" w:type="dxa"/>
            <w:vAlign w:val="bottom"/>
            <w:gridSpan w:val="2"/>
          </w:tcPr>
          <w:p>
            <w:pPr>
              <w:jc w:val="right"/>
              <w:ind w:right="160"/>
              <w:spacing w:after="0"/>
              <w:rPr>
                <w:sz w:val="20"/>
                <w:szCs w:val="20"/>
                <w:color w:val="auto"/>
              </w:rPr>
            </w:pPr>
            <w:r>
              <w:rPr>
                <w:rFonts w:ascii="Arial" w:cs="Arial" w:eastAsia="Arial" w:hAnsi="Arial"/>
                <w:sz w:val="18"/>
                <w:szCs w:val="18"/>
                <w:color w:val="auto"/>
              </w:rPr>
              <w:t>(462)</w:t>
            </w: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(33)</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(495)</w:t>
            </w:r>
          </w:p>
        </w:tc>
      </w:tr>
      <w:tr>
        <w:trPr>
          <w:trHeight w:val="223"/>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158,605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4,974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163,579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w w:val="90"/>
              </w:rPr>
              <w:t>December 31, 2019</w:t>
            </w:r>
          </w:p>
        </w:tc>
        <w:tc>
          <w:tcPr>
            <w:tcW w:w="132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3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13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09"/>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8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73,047</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73,047</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gridSpan w:val="2"/>
          </w:tcPr>
          <w:p>
            <w:pPr>
              <w:spacing w:after="0"/>
              <w:rPr>
                <w:sz w:val="20"/>
                <w:szCs w:val="20"/>
                <w:color w:val="auto"/>
              </w:rPr>
            </w:pPr>
            <w:r>
              <w:rPr>
                <w:rFonts w:ascii="Arial" w:cs="Arial" w:eastAsia="Arial" w:hAnsi="Arial"/>
                <w:sz w:val="18"/>
                <w:szCs w:val="18"/>
                <w:color w:val="auto"/>
              </w:rPr>
              <w:t>Grades 5 - 6</w:t>
            </w:r>
          </w:p>
        </w:tc>
        <w:tc>
          <w:tcPr>
            <w:tcW w:w="122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120" w:type="dxa"/>
            <w:vAlign w:val="bottom"/>
          </w:tcPr>
          <w:p>
            <w:pPr>
              <w:spacing w:after="0"/>
              <w:rPr>
                <w:sz w:val="19"/>
                <w:szCs w:val="19"/>
                <w:color w:val="auto"/>
              </w:rPr>
            </w:pP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1,500</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1,500</w:t>
            </w:r>
          </w:p>
        </w:tc>
      </w:tr>
      <w:tr>
        <w:trPr>
          <w:trHeight w:val="210"/>
        </w:trPr>
        <w:tc>
          <w:tcPr>
            <w:tcW w:w="3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73,047</w:t>
            </w: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w:t>
            </w:r>
          </w:p>
        </w:tc>
        <w:tc>
          <w:tcPr>
            <w:tcW w:w="2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74,547</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gridSpan w:val="2"/>
          </w:tcPr>
          <w:p>
            <w:pPr>
              <w:spacing w:after="0"/>
              <w:rPr>
                <w:sz w:val="20"/>
                <w:szCs w:val="20"/>
                <w:color w:val="auto"/>
              </w:rPr>
            </w:pPr>
            <w:r>
              <w:rPr>
                <w:rFonts w:ascii="Arial" w:cs="Arial" w:eastAsia="Arial" w:hAnsi="Arial"/>
                <w:sz w:val="18"/>
                <w:szCs w:val="18"/>
                <w:color w:val="auto"/>
              </w:rPr>
              <w:t>Loss allowance</w:t>
            </w: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40" w:type="dxa"/>
            <w:vAlign w:val="bottom"/>
            <w:gridSpan w:val="2"/>
          </w:tcPr>
          <w:p>
            <w:pPr>
              <w:jc w:val="right"/>
              <w:ind w:right="160"/>
              <w:spacing w:after="0"/>
              <w:rPr>
                <w:sz w:val="20"/>
                <w:szCs w:val="20"/>
                <w:color w:val="auto"/>
              </w:rPr>
            </w:pPr>
            <w:r>
              <w:rPr>
                <w:rFonts w:ascii="Arial" w:cs="Arial" w:eastAsia="Arial" w:hAnsi="Arial"/>
                <w:sz w:val="18"/>
                <w:szCs w:val="18"/>
                <w:color w:val="auto"/>
              </w:rPr>
              <w:t>(103)</w:t>
            </w:r>
          </w:p>
        </w:tc>
        <w:tc>
          <w:tcPr>
            <w:tcW w:w="1520" w:type="dxa"/>
            <w:vAlign w:val="bottom"/>
            <w:gridSpan w:val="2"/>
          </w:tcPr>
          <w:p>
            <w:pPr>
              <w:jc w:val="right"/>
              <w:ind w:right="140"/>
              <w:spacing w:after="0"/>
              <w:rPr>
                <w:sz w:val="20"/>
                <w:szCs w:val="20"/>
                <w:color w:val="auto"/>
              </w:rPr>
            </w:pPr>
            <w:r>
              <w:rPr>
                <w:rFonts w:ascii="Arial" w:cs="Arial" w:eastAsia="Arial" w:hAnsi="Arial"/>
                <w:sz w:val="18"/>
                <w:szCs w:val="18"/>
                <w:color w:val="auto"/>
              </w:rPr>
              <w:t>(10)</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0"/>
              <w:spacing w:after="0"/>
              <w:rPr>
                <w:sz w:val="20"/>
                <w:szCs w:val="20"/>
                <w:color w:val="auto"/>
              </w:rPr>
            </w:pPr>
            <w:r>
              <w:rPr>
                <w:rFonts w:ascii="Arial" w:cs="Arial" w:eastAsia="Arial" w:hAnsi="Arial"/>
                <w:sz w:val="18"/>
                <w:szCs w:val="18"/>
                <w:color w:val="auto"/>
              </w:rPr>
              <w:t>(113)</w:t>
            </w:r>
          </w:p>
        </w:tc>
      </w:tr>
      <w:tr>
        <w:trPr>
          <w:trHeight w:val="223"/>
        </w:trPr>
        <w:tc>
          <w:tcPr>
            <w:tcW w:w="34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8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72,944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74,434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w w:val="90"/>
              </w:rPr>
              <w:t>December 31, 2020</w:t>
            </w:r>
          </w:p>
        </w:tc>
        <w:tc>
          <w:tcPr>
            <w:tcW w:w="132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r>
      <w:tr>
        <w:trPr>
          <w:trHeight w:val="191"/>
        </w:trPr>
        <w:tc>
          <w:tcPr>
            <w:tcW w:w="580" w:type="dxa"/>
            <w:vAlign w:val="bottom"/>
          </w:tcPr>
          <w:p>
            <w:pPr>
              <w:spacing w:after="0"/>
              <w:rPr>
                <w:sz w:val="16"/>
                <w:szCs w:val="16"/>
                <w:color w:val="auto"/>
              </w:rPr>
            </w:pPr>
          </w:p>
        </w:tc>
        <w:tc>
          <w:tcPr>
            <w:tcW w:w="2820" w:type="dxa"/>
            <w:vAlign w:val="bottom"/>
          </w:tcPr>
          <w:p>
            <w:pPr>
              <w:spacing w:after="0"/>
              <w:rPr>
                <w:sz w:val="16"/>
                <w:szCs w:val="16"/>
                <w:color w:val="auto"/>
              </w:rPr>
            </w:pPr>
          </w:p>
        </w:tc>
        <w:tc>
          <w:tcPr>
            <w:tcW w:w="13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34"/>
        </w:trPr>
        <w:tc>
          <w:tcPr>
            <w:tcW w:w="58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r>
      <w:tr>
        <w:trPr>
          <w:trHeight w:val="223"/>
        </w:trPr>
        <w:tc>
          <w:tcPr>
            <w:tcW w:w="580" w:type="dxa"/>
            <w:vAlign w:val="bottom"/>
          </w:tcPr>
          <w:p>
            <w:pPr>
              <w:spacing w:after="0"/>
              <w:rPr>
                <w:sz w:val="19"/>
                <w:szCs w:val="19"/>
                <w:color w:val="auto"/>
              </w:rPr>
            </w:pPr>
          </w:p>
        </w:tc>
        <w:tc>
          <w:tcPr>
            <w:tcW w:w="2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2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Borders>
              <w:top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r>
      <w:tr>
        <w:trPr>
          <w:trHeight w:val="210"/>
        </w:trPr>
        <w:tc>
          <w:tcPr>
            <w:tcW w:w="580" w:type="dxa"/>
            <w:vAlign w:val="bottom"/>
          </w:tcPr>
          <w:p>
            <w:pPr>
              <w:spacing w:after="0"/>
              <w:rPr>
                <w:sz w:val="18"/>
                <w:szCs w:val="18"/>
                <w:color w:val="auto"/>
              </w:rPr>
            </w:pPr>
          </w:p>
        </w:tc>
        <w:tc>
          <w:tcPr>
            <w:tcW w:w="28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231,348</w:t>
            </w:r>
          </w:p>
        </w:tc>
        <w:tc>
          <w:tcPr>
            <w:tcW w:w="2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282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(43)</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w:t>
            </w:r>
          </w:p>
        </w:tc>
        <w:tc>
          <w:tcPr>
            <w:tcW w:w="560" w:type="dxa"/>
            <w:vAlign w:val="bottom"/>
          </w:tcPr>
          <w:p>
            <w:pPr>
              <w:spacing w:after="0"/>
              <w:rPr>
                <w:sz w:val="19"/>
                <w:szCs w:val="19"/>
                <w:color w:val="auto"/>
              </w:rPr>
            </w:pPr>
          </w:p>
        </w:tc>
      </w:tr>
      <w:tr>
        <w:trPr>
          <w:trHeight w:val="223"/>
        </w:trPr>
        <w:tc>
          <w:tcPr>
            <w:tcW w:w="580" w:type="dxa"/>
            <w:vAlign w:val="bottom"/>
          </w:tcPr>
          <w:p>
            <w:pPr>
              <w:spacing w:after="0"/>
              <w:rPr>
                <w:sz w:val="19"/>
                <w:szCs w:val="19"/>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Total</w:t>
            </w: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642"/>
        </w:trPr>
        <w:tc>
          <w:tcPr>
            <w:tcW w:w="580" w:type="dxa"/>
            <w:vAlign w:val="bottom"/>
          </w:tcPr>
          <w:p>
            <w:pPr>
              <w:spacing w:after="0"/>
              <w:rPr>
                <w:sz w:val="24"/>
                <w:szCs w:val="24"/>
                <w:color w:val="auto"/>
              </w:rPr>
            </w:pPr>
          </w:p>
        </w:tc>
        <w:tc>
          <w:tcPr>
            <w:tcW w:w="28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8"/>
                <w:szCs w:val="18"/>
                <w:b w:val="1"/>
                <w:bCs w:val="1"/>
                <w:color w:val="auto"/>
                <w:w w:val="90"/>
              </w:rPr>
              <w:t>December 31, 2019</w:t>
            </w:r>
          </w:p>
        </w:tc>
        <w:tc>
          <w:tcPr>
            <w:tcW w:w="132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r>
      <w:tr>
        <w:trPr>
          <w:trHeight w:val="191"/>
        </w:trPr>
        <w:tc>
          <w:tcPr>
            <w:tcW w:w="580" w:type="dxa"/>
            <w:vAlign w:val="bottom"/>
          </w:tcPr>
          <w:p>
            <w:pPr>
              <w:spacing w:after="0"/>
              <w:rPr>
                <w:sz w:val="16"/>
                <w:szCs w:val="16"/>
                <w:color w:val="auto"/>
              </w:rPr>
            </w:pPr>
          </w:p>
        </w:tc>
        <w:tc>
          <w:tcPr>
            <w:tcW w:w="2820" w:type="dxa"/>
            <w:vAlign w:val="bottom"/>
          </w:tcPr>
          <w:p>
            <w:pPr>
              <w:spacing w:after="0"/>
              <w:rPr>
                <w:sz w:val="16"/>
                <w:szCs w:val="16"/>
                <w:color w:val="auto"/>
              </w:rPr>
            </w:pPr>
          </w:p>
        </w:tc>
        <w:tc>
          <w:tcPr>
            <w:tcW w:w="134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34"/>
        </w:trPr>
        <w:tc>
          <w:tcPr>
            <w:tcW w:w="58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Ranges</w:t>
            </w:r>
          </w:p>
        </w:tc>
        <w:tc>
          <w:tcPr>
            <w:tcW w:w="154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Stage 1</w:t>
            </w:r>
          </w:p>
        </w:tc>
        <w:tc>
          <w:tcPr>
            <w:tcW w:w="1520" w:type="dxa"/>
            <w:vAlign w:val="bottom"/>
            <w:gridSpan w:val="2"/>
          </w:tcPr>
          <w:p>
            <w:pPr>
              <w:ind w:left="3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r>
      <w:tr>
        <w:trPr>
          <w:trHeight w:val="223"/>
        </w:trPr>
        <w:tc>
          <w:tcPr>
            <w:tcW w:w="580" w:type="dxa"/>
            <w:vAlign w:val="bottom"/>
          </w:tcPr>
          <w:p>
            <w:pPr>
              <w:spacing w:after="0"/>
              <w:rPr>
                <w:sz w:val="19"/>
                <w:szCs w:val="19"/>
                <w:color w:val="auto"/>
              </w:rPr>
            </w:pPr>
          </w:p>
        </w:tc>
        <w:tc>
          <w:tcPr>
            <w:tcW w:w="2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2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w:t>
            </w:r>
          </w:p>
        </w:tc>
        <w:tc>
          <w:tcPr>
            <w:tcW w:w="220" w:type="dxa"/>
            <w:vAlign w:val="bottom"/>
            <w:tcBorders>
              <w:top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w:t>
            </w:r>
          </w:p>
        </w:tc>
        <w:tc>
          <w:tcPr>
            <w:tcW w:w="100" w:type="dxa"/>
            <w:vAlign w:val="bottom"/>
            <w:tcBorders>
              <w:top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r>
      <w:tr>
        <w:trPr>
          <w:trHeight w:val="210"/>
        </w:trPr>
        <w:tc>
          <w:tcPr>
            <w:tcW w:w="580" w:type="dxa"/>
            <w:vAlign w:val="bottom"/>
          </w:tcPr>
          <w:p>
            <w:pPr>
              <w:spacing w:after="0"/>
              <w:rPr>
                <w:sz w:val="18"/>
                <w:szCs w:val="18"/>
                <w:color w:val="auto"/>
              </w:rPr>
            </w:pPr>
          </w:p>
        </w:tc>
        <w:tc>
          <w:tcPr>
            <w:tcW w:w="28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5,094</w:t>
            </w:r>
          </w:p>
        </w:tc>
        <w:tc>
          <w:tcPr>
            <w:tcW w:w="220" w:type="dxa"/>
            <w:vAlign w:val="bottom"/>
          </w:tcPr>
          <w:p>
            <w:pPr>
              <w:spacing w:after="0"/>
              <w:rPr>
                <w:sz w:val="18"/>
                <w:szCs w:val="18"/>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00" w:type="dxa"/>
            <w:vAlign w:val="bottom"/>
          </w:tcPr>
          <w:p>
            <w:pPr>
              <w:jc w:val="right"/>
              <w:spacing w:after="0"/>
              <w:rPr>
                <w:sz w:val="20"/>
                <w:szCs w:val="20"/>
                <w:color w:val="auto"/>
              </w:rPr>
            </w:pPr>
            <w:r>
              <w:rPr>
                <w:rFonts w:ascii="Arial" w:cs="Arial" w:eastAsia="Arial" w:hAnsi="Arial"/>
                <w:sz w:val="18"/>
                <w:szCs w:val="18"/>
                <w:color w:val="auto"/>
              </w:rPr>
              <w:t>5,094</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282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560" w:type="dxa"/>
            <w:vAlign w:val="bottom"/>
          </w:tcPr>
          <w:p>
            <w:pPr>
              <w:spacing w:after="0"/>
              <w:rPr>
                <w:sz w:val="19"/>
                <w:szCs w:val="19"/>
                <w:color w:val="auto"/>
              </w:rPr>
            </w:pPr>
          </w:p>
        </w:tc>
      </w:tr>
      <w:tr>
        <w:trPr>
          <w:trHeight w:val="223"/>
        </w:trPr>
        <w:tc>
          <w:tcPr>
            <w:tcW w:w="580" w:type="dxa"/>
            <w:vAlign w:val="bottom"/>
          </w:tcPr>
          <w:p>
            <w:pPr>
              <w:spacing w:after="0"/>
              <w:rPr>
                <w:sz w:val="19"/>
                <w:szCs w:val="19"/>
                <w:color w:val="auto"/>
              </w:rPr>
            </w:pPr>
          </w:p>
        </w:tc>
        <w:tc>
          <w:tcPr>
            <w:tcW w:w="2820" w:type="dxa"/>
            <w:vAlign w:val="bottom"/>
          </w:tcPr>
          <w:p>
            <w:pPr>
              <w:spacing w:after="0"/>
              <w:rPr>
                <w:sz w:val="20"/>
                <w:szCs w:val="20"/>
                <w:color w:val="auto"/>
              </w:rPr>
            </w:pPr>
            <w:r>
              <w:rPr>
                <w:rFonts w:ascii="Arial" w:cs="Arial" w:eastAsia="Arial" w:hAnsi="Arial"/>
                <w:sz w:val="18"/>
                <w:szCs w:val="18"/>
                <w:color w:val="auto"/>
              </w:rPr>
              <w:t>Total</w:t>
            </w: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5,094</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5,094</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420"/>
        </w:trPr>
        <w:tc>
          <w:tcPr>
            <w:tcW w:w="58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2"/>
          </w:tcPr>
          <w:p>
            <w:pPr>
              <w:jc w:val="right"/>
              <w:ind w:right="480"/>
              <w:spacing w:after="0"/>
              <w:rPr>
                <w:sz w:val="20"/>
                <w:szCs w:val="20"/>
                <w:color w:val="auto"/>
              </w:rPr>
            </w:pPr>
            <w:r>
              <w:rPr>
                <w:rFonts w:ascii="Arial" w:cs="Arial" w:eastAsia="Arial" w:hAnsi="Arial"/>
                <w:sz w:val="18"/>
                <w:szCs w:val="18"/>
                <w:color w:val="auto"/>
              </w:rPr>
              <w:t>F-42</w:t>
            </w: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178" w:name="page179"/>
    <w:bookmarkEnd w:id="17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information of the current and past due balances of loans at amortized cost in stages 1, 2 and 3:</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48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3"/>
          </w:tcPr>
          <w:p>
            <w:pPr>
              <w:jc w:val="center"/>
              <w:ind w:right="140"/>
              <w:spacing w:after="0"/>
              <w:rPr>
                <w:sz w:val="20"/>
                <w:szCs w:val="20"/>
                <w:color w:val="auto"/>
              </w:rPr>
            </w:pPr>
            <w:r>
              <w:rPr>
                <w:rFonts w:ascii="Arial" w:cs="Arial" w:eastAsia="Arial" w:hAnsi="Arial"/>
                <w:sz w:val="18"/>
                <w:szCs w:val="18"/>
                <w:b w:val="1"/>
                <w:bCs w:val="1"/>
                <w:color w:val="auto"/>
                <w:w w:val="90"/>
              </w:rPr>
              <w:t>December 31, 2020</w:t>
            </w:r>
          </w:p>
        </w:tc>
        <w:tc>
          <w:tcPr>
            <w:tcW w:w="1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448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Stage 1</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2</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Stage 3</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bottom w:val="single" w:sz="8" w:color="CCEEFF"/>
            </w:tcBorders>
          </w:tcPr>
          <w:p>
            <w:pPr>
              <w:spacing w:after="0"/>
              <w:rPr>
                <w:sz w:val="19"/>
                <w:szCs w:val="19"/>
                <w:color w:val="auto"/>
              </w:rPr>
            </w:pPr>
          </w:p>
        </w:tc>
      </w:tr>
      <w:tr>
        <w:trPr>
          <w:trHeight w:val="250"/>
        </w:trPr>
        <w:tc>
          <w:tcPr>
            <w:tcW w:w="4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4,613,468</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287,336</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10,593</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4,911,397</w:t>
            </w:r>
          </w:p>
        </w:tc>
      </w:tr>
      <w:tr>
        <w:trPr>
          <w:trHeight w:val="20"/>
        </w:trPr>
        <w:tc>
          <w:tcPr>
            <w:tcW w:w="448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426"/>
        </w:trPr>
        <w:tc>
          <w:tcPr>
            <w:tcW w:w="448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gridSpan w:val="3"/>
          </w:tcPr>
          <w:p>
            <w:pPr>
              <w:jc w:val="center"/>
              <w:ind w:right="140"/>
              <w:spacing w:after="0"/>
              <w:rPr>
                <w:sz w:val="20"/>
                <w:szCs w:val="20"/>
                <w:color w:val="auto"/>
              </w:rPr>
            </w:pPr>
            <w:r>
              <w:rPr>
                <w:rFonts w:ascii="Arial" w:cs="Arial" w:eastAsia="Arial" w:hAnsi="Arial"/>
                <w:sz w:val="18"/>
                <w:szCs w:val="18"/>
                <w:b w:val="1"/>
                <w:bCs w:val="1"/>
                <w:color w:val="auto"/>
                <w:w w:val="90"/>
              </w:rPr>
              <w:t>December 31, 2019</w:t>
            </w:r>
          </w:p>
        </w:tc>
        <w:tc>
          <w:tcPr>
            <w:tcW w:w="140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4480" w:type="dxa"/>
            <w:vAlign w:val="bottom"/>
          </w:tcPr>
          <w:p>
            <w:pPr>
              <w:spacing w:after="0"/>
              <w:rPr>
                <w:sz w:val="19"/>
                <w:szCs w:val="19"/>
                <w:color w:val="auto"/>
              </w:rPr>
            </w:pPr>
          </w:p>
        </w:tc>
        <w:tc>
          <w:tcPr>
            <w:tcW w:w="15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0" w:type="dxa"/>
            <w:vAlign w:val="bottom"/>
          </w:tcPr>
          <w:p>
            <w:pPr>
              <w:spacing w:after="0"/>
              <w:rPr>
                <w:sz w:val="19"/>
                <w:szCs w:val="19"/>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2</w:t>
            </w:r>
          </w:p>
        </w:tc>
        <w:tc>
          <w:tcPr>
            <w:tcW w:w="1400" w:type="dxa"/>
            <w:vAlign w:val="bottom"/>
          </w:tcPr>
          <w:p>
            <w:pPr>
              <w:jc w:val="right"/>
              <w:ind w:right="330"/>
              <w:spacing w:after="0"/>
              <w:rPr>
                <w:sz w:val="20"/>
                <w:szCs w:val="20"/>
                <w:color w:val="auto"/>
              </w:rPr>
            </w:pPr>
            <w:r>
              <w:rPr>
                <w:rFonts w:ascii="Arial" w:cs="Arial" w:eastAsia="Arial" w:hAnsi="Arial"/>
                <w:sz w:val="18"/>
                <w:szCs w:val="18"/>
                <w:b w:val="1"/>
                <w:bCs w:val="1"/>
                <w:color w:val="auto"/>
              </w:rPr>
              <w:t>Stage 3</w:t>
            </w:r>
          </w:p>
        </w:tc>
        <w:tc>
          <w:tcPr>
            <w:tcW w:w="220" w:type="dxa"/>
            <w:vAlign w:val="bottom"/>
          </w:tcPr>
          <w:p>
            <w:pPr>
              <w:spacing w:after="0"/>
              <w:rPr>
                <w:sz w:val="19"/>
                <w:szCs w:val="19"/>
                <w:color w:val="auto"/>
              </w:rPr>
            </w:pPr>
          </w:p>
        </w:tc>
        <w:tc>
          <w:tcPr>
            <w:tcW w:w="15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Total</w:t>
            </w:r>
          </w:p>
        </w:tc>
      </w:tr>
      <w:tr>
        <w:trPr>
          <w:trHeight w:val="209"/>
        </w:trPr>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Current</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5,602,157</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228,995</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47,169</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5,878,321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480" w:type="dxa"/>
            <w:vAlign w:val="bottom"/>
          </w:tcPr>
          <w:p>
            <w:pPr>
              <w:spacing w:after="0"/>
              <w:rPr>
                <w:sz w:val="20"/>
                <w:szCs w:val="20"/>
                <w:color w:val="auto"/>
              </w:rPr>
            </w:pPr>
            <w:r>
              <w:rPr>
                <w:rFonts w:ascii="Arial" w:cs="Arial" w:eastAsia="Arial" w:hAnsi="Arial"/>
                <w:sz w:val="18"/>
                <w:szCs w:val="18"/>
                <w:color w:val="auto"/>
              </w:rPr>
              <w:t>Past due</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4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90-120 days</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3,724</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3,724</w:t>
            </w:r>
          </w:p>
        </w:tc>
      </w:tr>
      <w:tr>
        <w:trPr>
          <w:trHeight w:val="216"/>
        </w:trPr>
        <w:tc>
          <w:tcPr>
            <w:tcW w:w="4480" w:type="dxa"/>
            <w:vAlign w:val="bottom"/>
          </w:tcPr>
          <w:p>
            <w:pPr>
              <w:ind w:left="320"/>
              <w:spacing w:after="0"/>
              <w:rPr>
                <w:sz w:val="20"/>
                <w:szCs w:val="20"/>
                <w:color w:val="auto"/>
              </w:rPr>
            </w:pPr>
            <w:r>
              <w:rPr>
                <w:rFonts w:ascii="Arial" w:cs="Arial" w:eastAsia="Arial" w:hAnsi="Arial"/>
                <w:sz w:val="18"/>
                <w:szCs w:val="18"/>
                <w:color w:val="auto"/>
              </w:rPr>
              <w:t>151-180 days</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9"/>
        </w:trPr>
        <w:tc>
          <w:tcPr>
            <w:tcW w:w="4480" w:type="dxa"/>
            <w:vAlign w:val="bottom"/>
            <w:shd w:val="clear" w:color="auto" w:fill="CCEEFF"/>
          </w:tcPr>
          <w:p>
            <w:pPr>
              <w:ind w:left="320"/>
              <w:spacing w:after="0"/>
              <w:rPr>
                <w:sz w:val="20"/>
                <w:szCs w:val="20"/>
                <w:color w:val="auto"/>
              </w:rPr>
            </w:pPr>
            <w:r>
              <w:rPr>
                <w:rFonts w:ascii="Arial" w:cs="Arial" w:eastAsia="Arial" w:hAnsi="Arial"/>
                <w:sz w:val="18"/>
                <w:szCs w:val="18"/>
                <w:color w:val="auto"/>
              </w:rPr>
              <w:t>More than 180 days</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7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10,952</w:t>
            </w:r>
          </w:p>
        </w:tc>
        <w:tc>
          <w:tcPr>
            <w:tcW w:w="15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10,952</w:t>
            </w:r>
          </w:p>
        </w:tc>
      </w:tr>
      <w:tr>
        <w:trPr>
          <w:trHeight w:val="209"/>
        </w:trPr>
        <w:tc>
          <w:tcPr>
            <w:tcW w:w="448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Total past due</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CCEEFF"/>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14,676</w:t>
            </w:r>
          </w:p>
        </w:tc>
        <w:tc>
          <w:tcPr>
            <w:tcW w:w="220" w:type="dxa"/>
            <w:vAlign w:val="bottom"/>
            <w:tcBorders>
              <w:bottom w:val="single" w:sz="8" w:color="CCEEFF"/>
            </w:tcBorders>
          </w:tcPr>
          <w:p>
            <w:pPr>
              <w:spacing w:after="0"/>
              <w:rPr>
                <w:sz w:val="18"/>
                <w:szCs w:val="18"/>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14,676</w:t>
            </w:r>
          </w:p>
        </w:tc>
        <w:tc>
          <w:tcPr>
            <w:tcW w:w="100" w:type="dxa"/>
            <w:vAlign w:val="bottom"/>
            <w:tcBorders>
              <w:bottom w:val="single" w:sz="8" w:color="CCEEFF"/>
            </w:tcBorders>
          </w:tcPr>
          <w:p>
            <w:pPr>
              <w:spacing w:after="0"/>
              <w:rPr>
                <w:sz w:val="18"/>
                <w:szCs w:val="18"/>
                <w:color w:val="auto"/>
              </w:rPr>
            </w:pPr>
          </w:p>
        </w:tc>
      </w:tr>
      <w:tr>
        <w:trPr>
          <w:trHeight w:val="223"/>
        </w:trPr>
        <w:tc>
          <w:tcPr>
            <w:tcW w:w="44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5,602,157</w:t>
            </w:r>
          </w:p>
        </w:tc>
        <w:tc>
          <w:tcPr>
            <w:tcW w:w="100" w:type="dxa"/>
            <w:vAlign w:val="bottom"/>
            <w:tcBorders>
              <w:bottom w:val="single" w:sz="8" w:color="CCEEFF"/>
            </w:tcBorders>
            <w:shd w:val="clear" w:color="auto" w:fill="CCEEFF"/>
          </w:tcPr>
          <w:p>
            <w:pPr>
              <w:spacing w:after="0"/>
              <w:rPr>
                <w:sz w:val="19"/>
                <w:szCs w:val="19"/>
                <w:color w:val="auto"/>
              </w:rPr>
            </w:pPr>
          </w:p>
        </w:tc>
        <w:tc>
          <w:tcPr>
            <w:tcW w:w="14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228,995</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44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2020, and 2019, other financial assets were not past due nor impaired.</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sectPr>
      </w:pPr>
    </w:p>
    <w:bookmarkStart w:id="179" w:name="page180"/>
    <w:bookmarkEnd w:id="17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660" w:hanging="328"/>
        <w:spacing w:after="0"/>
        <w:tabs>
          <w:tab w:leader="none" w:pos="660" w:val="left"/>
        </w:tabs>
        <w:numPr>
          <w:ilvl w:val="1"/>
          <w:numId w:val="182"/>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29" w:lineRule="exact"/>
        <w:rPr>
          <w:rFonts w:ascii="Arial" w:cs="Arial" w:eastAsia="Arial" w:hAnsi="Arial"/>
          <w:sz w:val="18"/>
          <w:szCs w:val="18"/>
          <w:b w:val="1"/>
          <w:bCs w:val="1"/>
          <w:color w:val="auto"/>
        </w:rPr>
      </w:pPr>
    </w:p>
    <w:p>
      <w:pPr>
        <w:ind w:left="66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an analysis of counterparty credit exposures arising from derivative transactions. The Bank's derivative fair values are generally secured by cash.</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86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86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860"/>
        <w:spacing w:after="0"/>
        <w:rPr>
          <w:sz w:val="20"/>
          <w:szCs w:val="20"/>
          <w:color w:val="auto"/>
        </w:rPr>
      </w:pPr>
      <w:r>
        <w:rPr>
          <w:rFonts w:ascii="Arial" w:cs="Arial" w:eastAsia="Arial" w:hAnsi="Arial"/>
          <w:sz w:val="18"/>
          <w:szCs w:val="18"/>
          <w:color w:val="auto"/>
        </w:rPr>
        <w:t>Foreign exchange forwards</w:t>
      </w:r>
    </w:p>
    <w:p>
      <w:pPr>
        <w:spacing w:after="0" w:line="9" w:lineRule="exact"/>
        <w:rPr>
          <w:sz w:val="20"/>
          <w:szCs w:val="20"/>
          <w:color w:val="auto"/>
        </w:rPr>
      </w:pPr>
    </w:p>
    <w:p>
      <w:pPr>
        <w:ind w:left="86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86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86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860"/>
        <w:spacing w:after="0"/>
        <w:rPr>
          <w:sz w:val="20"/>
          <w:szCs w:val="20"/>
          <w:color w:val="auto"/>
        </w:rPr>
      </w:pPr>
      <w:r>
        <w:rPr>
          <w:rFonts w:ascii="Arial" w:cs="Arial" w:eastAsia="Arial" w:hAnsi="Arial"/>
          <w:sz w:val="18"/>
          <w:szCs w:val="18"/>
          <w:color w:val="auto"/>
        </w:rPr>
        <w:t>Foreign exchange forwards</w:t>
      </w:r>
    </w:p>
    <w:p>
      <w:pPr>
        <w:spacing w:after="0" w:line="9" w:lineRule="exact"/>
        <w:rPr>
          <w:sz w:val="20"/>
          <w:szCs w:val="20"/>
          <w:color w:val="auto"/>
        </w:rPr>
      </w:pPr>
    </w:p>
    <w:p>
      <w:pPr>
        <w:ind w:left="860"/>
        <w:spacing w:after="0"/>
        <w:rPr>
          <w:sz w:val="20"/>
          <w:szCs w:val="20"/>
          <w:color w:val="auto"/>
        </w:rPr>
      </w:pPr>
      <w:r>
        <w:rPr>
          <w:rFonts w:ascii="Arial" w:cs="Arial" w:eastAsia="Arial" w:hAnsi="Arial"/>
          <w:sz w:val="18"/>
          <w:szCs w:val="18"/>
          <w:b w:val="1"/>
          <w:bCs w:val="1"/>
          <w:color w:val="auto"/>
        </w:rPr>
        <w:t>Total</w:t>
      </w:r>
    </w:p>
    <w:p>
      <w:pPr>
        <w:spacing w:after="0" w:line="292"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Collateral and other credit enhancements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68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gridSpan w:val="2"/>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40" w:type="dxa"/>
            <w:vAlign w:val="bottom"/>
          </w:tcPr>
          <w:p>
            <w:pPr>
              <w:spacing w:after="0"/>
              <w:rPr>
                <w:sz w:val="16"/>
                <w:szCs w:val="16"/>
                <w:color w:val="auto"/>
              </w:rPr>
            </w:pPr>
          </w:p>
        </w:tc>
      </w:tr>
      <w:tr>
        <w:trPr>
          <w:trHeight w:val="216"/>
        </w:trPr>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Derivative</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financial</w:t>
            </w:r>
          </w:p>
        </w:tc>
      </w:tr>
      <w:tr>
        <w:trPr>
          <w:trHeight w:val="216"/>
        </w:trPr>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9"/>
              </w:rPr>
              <w:t>instruments -</w:t>
            </w:r>
          </w:p>
        </w:tc>
      </w:tr>
      <w:tr>
        <w:trPr>
          <w:trHeight w:val="243"/>
        </w:trPr>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Notional value</w:t>
            </w:r>
          </w:p>
        </w:tc>
        <w:tc>
          <w:tcPr>
            <w:tcW w:w="16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 -</w:t>
            </w:r>
          </w:p>
        </w:tc>
        <w:tc>
          <w:tcPr>
            <w:tcW w:w="15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fair value</w:t>
            </w:r>
          </w:p>
        </w:tc>
      </w:tr>
      <w:tr>
        <w:trPr>
          <w:trHeight w:val="234"/>
        </w:trPr>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USD</w:t>
            </w:r>
          </w:p>
        </w:tc>
        <w:tc>
          <w:tcPr>
            <w:tcW w:w="16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fair value asset</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liabilities</w:t>
            </w:r>
          </w:p>
        </w:tc>
      </w:tr>
      <w:tr>
        <w:trPr>
          <w:trHeight w:val="195"/>
        </w:trPr>
        <w:tc>
          <w:tcPr>
            <w:tcW w:w="14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145,667</w:t>
            </w:r>
          </w:p>
        </w:tc>
        <w:tc>
          <w:tcPr>
            <w:tcW w:w="220" w:type="dxa"/>
            <w:vAlign w:val="bottom"/>
          </w:tcPr>
          <w:p>
            <w:pPr>
              <w:spacing w:after="0"/>
              <w:rPr>
                <w:sz w:val="16"/>
                <w:szCs w:val="16"/>
                <w:color w:val="auto"/>
              </w:rPr>
            </w:pPr>
          </w:p>
        </w:tc>
        <w:tc>
          <w:tcPr>
            <w:tcW w:w="14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1,831</w:t>
            </w:r>
          </w:p>
        </w:tc>
        <w:tc>
          <w:tcPr>
            <w:tcW w:w="220" w:type="dxa"/>
            <w:vAlign w:val="bottom"/>
          </w:tcPr>
          <w:p>
            <w:pPr>
              <w:spacing w:after="0"/>
              <w:rPr>
                <w:sz w:val="16"/>
                <w:szCs w:val="16"/>
                <w:color w:val="auto"/>
              </w:rPr>
            </w:pPr>
          </w:p>
        </w:tc>
        <w:tc>
          <w:tcPr>
            <w:tcW w:w="150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(1,774)</w:t>
            </w:r>
          </w:p>
        </w:tc>
        <w:tc>
          <w:tcPr>
            <w:tcW w:w="40" w:type="dxa"/>
            <w:vAlign w:val="bottom"/>
          </w:tcPr>
          <w:p>
            <w:pPr>
              <w:spacing w:after="0"/>
              <w:rPr>
                <w:sz w:val="16"/>
                <w:szCs w:val="16"/>
                <w:color w:val="auto"/>
              </w:rPr>
            </w:pPr>
          </w:p>
        </w:tc>
      </w:tr>
      <w:tr>
        <w:trPr>
          <w:trHeight w:val="216"/>
        </w:trPr>
        <w:tc>
          <w:tcPr>
            <w:tcW w:w="1440" w:type="dxa"/>
            <w:vAlign w:val="bottom"/>
          </w:tcPr>
          <w:p>
            <w:pPr>
              <w:jc w:val="right"/>
              <w:spacing w:after="0"/>
              <w:rPr>
                <w:sz w:val="20"/>
                <w:szCs w:val="20"/>
                <w:color w:val="auto"/>
              </w:rPr>
            </w:pPr>
            <w:r>
              <w:rPr>
                <w:rFonts w:ascii="Arial" w:cs="Arial" w:eastAsia="Arial" w:hAnsi="Arial"/>
                <w:sz w:val="18"/>
                <w:szCs w:val="18"/>
                <w:color w:val="auto"/>
              </w:rPr>
              <w:t>565,997</w:t>
            </w:r>
          </w:p>
        </w:tc>
        <w:tc>
          <w:tcPr>
            <w:tcW w:w="22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25,947</w:t>
            </w:r>
          </w:p>
        </w:tc>
        <w:tc>
          <w:tcPr>
            <w:tcW w:w="220" w:type="dxa"/>
            <w:vAlign w:val="bottom"/>
          </w:tcPr>
          <w:p>
            <w:pPr>
              <w:spacing w:after="0"/>
              <w:rPr>
                <w:sz w:val="18"/>
                <w:szCs w:val="18"/>
                <w:color w:val="auto"/>
              </w:rPr>
            </w:pP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(3,848)</w:t>
            </w:r>
          </w:p>
        </w:tc>
      </w:tr>
      <w:tr>
        <w:trPr>
          <w:trHeight w:val="244"/>
        </w:trPr>
        <w:tc>
          <w:tcPr>
            <w:tcW w:w="1440" w:type="dxa"/>
            <w:vAlign w:val="bottom"/>
          </w:tcPr>
          <w:p>
            <w:pPr>
              <w:jc w:val="right"/>
              <w:spacing w:after="0"/>
              <w:rPr>
                <w:sz w:val="20"/>
                <w:szCs w:val="20"/>
                <w:color w:val="auto"/>
              </w:rPr>
            </w:pPr>
            <w:r>
              <w:rPr>
                <w:rFonts w:ascii="Arial" w:cs="Arial" w:eastAsia="Arial" w:hAnsi="Arial"/>
                <w:sz w:val="18"/>
                <w:szCs w:val="18"/>
                <w:color w:val="auto"/>
              </w:rPr>
              <w:t>71,353</w:t>
            </w:r>
          </w:p>
        </w:tc>
        <w:tc>
          <w:tcPr>
            <w:tcW w:w="220" w:type="dxa"/>
            <w:vAlign w:val="bottom"/>
          </w:tcPr>
          <w:p>
            <w:pPr>
              <w:spacing w:after="0"/>
              <w:rPr>
                <w:sz w:val="21"/>
                <w:szCs w:val="21"/>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(3,589)</w:t>
            </w:r>
          </w:p>
        </w:tc>
      </w:tr>
      <w:tr>
        <w:trPr>
          <w:trHeight w:val="223"/>
        </w:trPr>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220" w:type="dxa"/>
            <w:vAlign w:val="bottom"/>
          </w:tcPr>
          <w:p>
            <w:pPr>
              <w:spacing w:after="0"/>
              <w:rPr>
                <w:sz w:val="19"/>
                <w:szCs w:val="19"/>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2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(9,211</w:t>
            </w:r>
          </w:p>
        </w:tc>
        <w:tc>
          <w:tcPr>
            <w:tcW w:w="60" w:type="dxa"/>
            <w:vAlign w:val="bottom"/>
            <w:gridSpan w:val="2"/>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8"/>
                <w:szCs w:val="18"/>
                <w:b w:val="1"/>
                <w:bCs w:val="1"/>
                <w:color w:val="auto"/>
                <w:w w:val="89"/>
              </w:rPr>
              <w:t>December 31,2019</w:t>
            </w:r>
          </w:p>
        </w:tc>
        <w:tc>
          <w:tcPr>
            <w:tcW w:w="1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91"/>
        </w:trPr>
        <w:tc>
          <w:tcPr>
            <w:tcW w:w="14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40" w:type="dxa"/>
            <w:vAlign w:val="bottom"/>
          </w:tcPr>
          <w:p>
            <w:pPr>
              <w:spacing w:after="0"/>
              <w:rPr>
                <w:sz w:val="16"/>
                <w:szCs w:val="16"/>
                <w:color w:val="auto"/>
              </w:rPr>
            </w:pPr>
          </w:p>
        </w:tc>
      </w:tr>
      <w:tr>
        <w:trPr>
          <w:trHeight w:val="216"/>
        </w:trPr>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Derivative</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financial</w:t>
            </w:r>
          </w:p>
        </w:tc>
      </w:tr>
      <w:tr>
        <w:trPr>
          <w:trHeight w:val="216"/>
        </w:trPr>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financial</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Notional value</w:t>
            </w:r>
          </w:p>
        </w:tc>
        <w:tc>
          <w:tcPr>
            <w:tcW w:w="16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 -</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3"/>
              </w:rPr>
              <w:t>fair value</w:t>
            </w:r>
          </w:p>
        </w:tc>
      </w:tr>
      <w:tr>
        <w:trPr>
          <w:trHeight w:val="234"/>
        </w:trPr>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USD</w:t>
            </w:r>
          </w:p>
        </w:tc>
        <w:tc>
          <w:tcPr>
            <w:tcW w:w="16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fair value asset</w:t>
            </w:r>
          </w:p>
        </w:tc>
        <w:tc>
          <w:tcPr>
            <w:tcW w:w="15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0"/>
              </w:rPr>
              <w:t>liabilities</w:t>
            </w:r>
          </w:p>
        </w:tc>
      </w:tr>
      <w:tr>
        <w:trPr>
          <w:trHeight w:val="195"/>
        </w:trPr>
        <w:tc>
          <w:tcPr>
            <w:tcW w:w="14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521,333</w:t>
            </w:r>
          </w:p>
        </w:tc>
        <w:tc>
          <w:tcPr>
            <w:tcW w:w="220" w:type="dxa"/>
            <w:vAlign w:val="bottom"/>
          </w:tcPr>
          <w:p>
            <w:pPr>
              <w:spacing w:after="0"/>
              <w:rPr>
                <w:sz w:val="16"/>
                <w:szCs w:val="16"/>
                <w:color w:val="auto"/>
              </w:rPr>
            </w:pPr>
          </w:p>
        </w:tc>
        <w:tc>
          <w:tcPr>
            <w:tcW w:w="14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407</w:t>
            </w:r>
          </w:p>
        </w:tc>
        <w:tc>
          <w:tcPr>
            <w:tcW w:w="220" w:type="dxa"/>
            <w:vAlign w:val="bottom"/>
          </w:tcPr>
          <w:p>
            <w:pPr>
              <w:spacing w:after="0"/>
              <w:rPr>
                <w:sz w:val="16"/>
                <w:szCs w:val="16"/>
                <w:color w:val="auto"/>
              </w:rPr>
            </w:pPr>
          </w:p>
        </w:tc>
        <w:tc>
          <w:tcPr>
            <w:tcW w:w="150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(1,903)</w:t>
            </w:r>
          </w:p>
        </w:tc>
        <w:tc>
          <w:tcPr>
            <w:tcW w:w="40" w:type="dxa"/>
            <w:vAlign w:val="bottom"/>
          </w:tcPr>
          <w:p>
            <w:pPr>
              <w:spacing w:after="0"/>
              <w:rPr>
                <w:sz w:val="16"/>
                <w:szCs w:val="16"/>
                <w:color w:val="auto"/>
              </w:rPr>
            </w:pPr>
          </w:p>
        </w:tc>
      </w:tr>
      <w:tr>
        <w:trPr>
          <w:trHeight w:val="216"/>
        </w:trPr>
        <w:tc>
          <w:tcPr>
            <w:tcW w:w="1440" w:type="dxa"/>
            <w:vAlign w:val="bottom"/>
          </w:tcPr>
          <w:p>
            <w:pPr>
              <w:jc w:val="right"/>
              <w:spacing w:after="0"/>
              <w:rPr>
                <w:sz w:val="20"/>
                <w:szCs w:val="20"/>
                <w:color w:val="auto"/>
              </w:rPr>
            </w:pPr>
            <w:r>
              <w:rPr>
                <w:rFonts w:ascii="Arial" w:cs="Arial" w:eastAsia="Arial" w:hAnsi="Arial"/>
                <w:sz w:val="18"/>
                <w:szCs w:val="18"/>
                <w:color w:val="auto"/>
              </w:rPr>
              <w:t>369,869</w:t>
            </w:r>
          </w:p>
        </w:tc>
        <w:tc>
          <w:tcPr>
            <w:tcW w:w="220" w:type="dxa"/>
            <w:vAlign w:val="bottom"/>
          </w:tcPr>
          <w:p>
            <w:pPr>
              <w:spacing w:after="0"/>
              <w:rPr>
                <w:sz w:val="18"/>
                <w:szCs w:val="18"/>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10,125</w:t>
            </w:r>
          </w:p>
        </w:tc>
        <w:tc>
          <w:tcPr>
            <w:tcW w:w="220" w:type="dxa"/>
            <w:vAlign w:val="bottom"/>
          </w:tcPr>
          <w:p>
            <w:pPr>
              <w:spacing w:after="0"/>
              <w:rPr>
                <w:sz w:val="18"/>
                <w:szCs w:val="18"/>
                <w:color w:val="auto"/>
              </w:rPr>
            </w:pP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(10,197)</w:t>
            </w:r>
          </w:p>
        </w:tc>
      </w:tr>
      <w:tr>
        <w:trPr>
          <w:trHeight w:val="244"/>
        </w:trPr>
        <w:tc>
          <w:tcPr>
            <w:tcW w:w="1440" w:type="dxa"/>
            <w:vAlign w:val="bottom"/>
          </w:tcPr>
          <w:p>
            <w:pPr>
              <w:jc w:val="right"/>
              <w:spacing w:after="0"/>
              <w:rPr>
                <w:sz w:val="20"/>
                <w:szCs w:val="20"/>
                <w:color w:val="auto"/>
              </w:rPr>
            </w:pPr>
            <w:r>
              <w:rPr>
                <w:rFonts w:ascii="Arial" w:cs="Arial" w:eastAsia="Arial" w:hAnsi="Arial"/>
                <w:sz w:val="18"/>
                <w:szCs w:val="18"/>
                <w:color w:val="auto"/>
              </w:rPr>
              <w:t>74,471</w:t>
            </w:r>
          </w:p>
        </w:tc>
        <w:tc>
          <w:tcPr>
            <w:tcW w:w="220" w:type="dxa"/>
            <w:vAlign w:val="bottom"/>
          </w:tcPr>
          <w:p>
            <w:pPr>
              <w:spacing w:after="0"/>
              <w:rPr>
                <w:sz w:val="21"/>
                <w:szCs w:val="21"/>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625</w:t>
            </w:r>
          </w:p>
        </w:tc>
        <w:tc>
          <w:tcPr>
            <w:tcW w:w="220" w:type="dxa"/>
            <w:vAlign w:val="bottom"/>
          </w:tcPr>
          <w:p>
            <w:pPr>
              <w:spacing w:after="0"/>
              <w:rPr>
                <w:sz w:val="21"/>
                <w:szCs w:val="21"/>
                <w:color w:val="auto"/>
              </w:rPr>
            </w:pPr>
          </w:p>
        </w:tc>
        <w:tc>
          <w:tcPr>
            <w:tcW w:w="1540" w:type="dxa"/>
            <w:vAlign w:val="bottom"/>
            <w:gridSpan w:val="3"/>
          </w:tcPr>
          <w:p>
            <w:pPr>
              <w:jc w:val="right"/>
              <w:spacing w:after="0"/>
              <w:rPr>
                <w:sz w:val="20"/>
                <w:szCs w:val="20"/>
                <w:color w:val="auto"/>
              </w:rPr>
            </w:pPr>
            <w:r>
              <w:rPr>
                <w:rFonts w:ascii="Arial" w:cs="Arial" w:eastAsia="Arial" w:hAnsi="Arial"/>
                <w:sz w:val="18"/>
                <w:szCs w:val="18"/>
                <w:color w:val="auto"/>
              </w:rPr>
              <w:t>(2,575)</w:t>
            </w:r>
          </w:p>
        </w:tc>
      </w:tr>
      <w:tr>
        <w:trPr>
          <w:trHeight w:val="223"/>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22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2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60" w:type="dxa"/>
            <w:vAlign w:val="bottom"/>
            <w:gridSpan w:val="2"/>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-2921635</wp:posOffset>
            </wp:positionH>
            <wp:positionV relativeFrom="paragraph">
              <wp:posOffset>-2193925</wp:posOffset>
            </wp:positionV>
            <wp:extent cx="6060440" cy="14541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4">
                      <a:extLst>
                        <a:ext uri="{28A0092B-C50C-407E-A947-70E740481C1C}"/>
                      </a:extLst>
                    </a:blip>
                    <a:srcRect/>
                    <a:stretch>
                      <a:fillRect/>
                    </a:stretch>
                  </pic:blipFill>
                  <pic:spPr bwMode="auto">
                    <a:xfrm>
                      <a:off x="0" y="0"/>
                      <a:ext cx="6060440" cy="145415"/>
                    </a:xfrm>
                    <a:prstGeom prst="rect">
                      <a:avLst/>
                    </a:prstGeom>
                    <a:noFill/>
                  </pic:spPr>
                </pic:pic>
              </a:graphicData>
            </a:graphic>
          </wp:anchor>
        </w:drawing>
        <w:drawing>
          <wp:anchor simplePos="0" relativeHeight="251657728" behindDoc="1" locked="0" layoutInCell="0" allowOverlap="1">
            <wp:simplePos x="0" y="0"/>
            <wp:positionH relativeFrom="column">
              <wp:posOffset>-2921635</wp:posOffset>
            </wp:positionH>
            <wp:positionV relativeFrom="paragraph">
              <wp:posOffset>-1910715</wp:posOffset>
            </wp:positionV>
            <wp:extent cx="6060440" cy="14541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5">
                      <a:extLst>
                        <a:ext uri="{28A0092B-C50C-407E-A947-70E740481C1C}"/>
                      </a:extLst>
                    </a:blip>
                    <a:srcRect/>
                    <a:stretch>
                      <a:fillRect/>
                    </a:stretch>
                  </pic:blipFill>
                  <pic:spPr bwMode="auto">
                    <a:xfrm>
                      <a:off x="0" y="0"/>
                      <a:ext cx="6060440" cy="145415"/>
                    </a:xfrm>
                    <a:prstGeom prst="rect">
                      <a:avLst/>
                    </a:prstGeom>
                    <a:noFill/>
                  </pic:spPr>
                </pic:pic>
              </a:graphicData>
            </a:graphic>
          </wp:anchor>
        </w:drawing>
        <w:drawing>
          <wp:anchor simplePos="0" relativeHeight="251657728" behindDoc="1" locked="0" layoutInCell="0" allowOverlap="1">
            <wp:simplePos x="0" y="0"/>
            <wp:positionH relativeFrom="column">
              <wp:posOffset>-2921635</wp:posOffset>
            </wp:positionH>
            <wp:positionV relativeFrom="paragraph">
              <wp:posOffset>-607695</wp:posOffset>
            </wp:positionV>
            <wp:extent cx="6060440" cy="14541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6">
                      <a:extLst>
                        <a:ext uri="{28A0092B-C50C-407E-A947-70E740481C1C}"/>
                      </a:extLst>
                    </a:blip>
                    <a:srcRect/>
                    <a:stretch>
                      <a:fillRect/>
                    </a:stretch>
                  </pic:blipFill>
                  <pic:spPr bwMode="auto">
                    <a:xfrm>
                      <a:off x="0" y="0"/>
                      <a:ext cx="6060440" cy="145415"/>
                    </a:xfrm>
                    <a:prstGeom prst="rect">
                      <a:avLst/>
                    </a:prstGeom>
                    <a:noFill/>
                  </pic:spPr>
                </pic:pic>
              </a:graphicData>
            </a:graphic>
          </wp:anchor>
        </w:drawing>
        <w:drawing>
          <wp:anchor simplePos="0" relativeHeight="251657728" behindDoc="1" locked="0" layoutInCell="0" allowOverlap="1">
            <wp:simplePos x="0" y="0"/>
            <wp:positionH relativeFrom="column">
              <wp:posOffset>-2921635</wp:posOffset>
            </wp:positionH>
            <wp:positionV relativeFrom="paragraph">
              <wp:posOffset>-325120</wp:posOffset>
            </wp:positionV>
            <wp:extent cx="6060440" cy="14605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7">
                      <a:extLst>
                        <a:ext uri="{28A0092B-C50C-407E-A947-70E740481C1C}"/>
                      </a:extLst>
                    </a:blip>
                    <a:srcRect/>
                    <a:stretch>
                      <a:fillRect/>
                    </a:stretch>
                  </pic:blipFill>
                  <pic:spPr bwMode="auto">
                    <a:xfrm>
                      <a:off x="0" y="0"/>
                      <a:ext cx="6060440" cy="146050"/>
                    </a:xfrm>
                    <a:prstGeom prst="rect">
                      <a:avLst/>
                    </a:prstGeom>
                    <a:noFill/>
                  </pic:spPr>
                </pic:pic>
              </a:graphicData>
            </a:graphic>
          </wp:anchor>
        </w:drawing>
      </w:r>
    </w:p>
    <w:p>
      <w:pPr>
        <w:spacing w:after="0" w:line="608" w:lineRule="exact"/>
        <w:rPr>
          <w:sz w:val="20"/>
          <w:szCs w:val="20"/>
          <w:color w:val="auto"/>
        </w:rPr>
      </w:pPr>
    </w:p>
    <w:p>
      <w:pPr>
        <w:sectPr>
          <w:pgSz w:w="11900" w:h="16838" w:orient="portrait"/>
          <w:cols w:equalWidth="0" w:num="2">
            <w:col w:w="4740" w:space="720"/>
            <w:col w:w="5780"/>
          </w:cols>
          <w:pgMar w:left="320" w:top="688" w:right="339" w:bottom="1440" w:gutter="0" w:footer="0" w:header="0"/>
          <w:type w:val="continuous"/>
        </w:sectPr>
      </w:pPr>
    </w:p>
    <w:p>
      <w:pPr>
        <w:spacing w:after="0" w:line="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and repurchase agreements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180" w:name="page181"/>
    <w:bookmarkEnd w:id="18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jc w:val="both"/>
        <w:ind w:left="340" w:right="20"/>
        <w:spacing w:after="0" w:line="263" w:lineRule="auto"/>
        <w:rPr>
          <w:sz w:val="20"/>
          <w:szCs w:val="20"/>
          <w:color w:val="auto"/>
        </w:rPr>
      </w:pPr>
      <w:r>
        <w:rPr>
          <w:rFonts w:ascii="Arial" w:cs="Arial" w:eastAsia="Arial" w:hAnsi="Arial"/>
          <w:sz w:val="18"/>
          <w:szCs w:val="18"/>
          <w:color w:val="auto"/>
        </w:rPr>
        <w:t>Such arrangements provide for single net settlement of all financial instruments covered only by the agreements in the event of default on any one contract. Master netting arrangements do not normally result in an offset of balance–sheet assets and liabilities unless certain conditions for offsetting are met.</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980" w:hanging="162"/>
        <w:spacing w:after="0"/>
        <w:tabs>
          <w:tab w:leader="none" w:pos="980" w:val="left"/>
        </w:tabs>
        <w:numPr>
          <w:ilvl w:val="0"/>
          <w:numId w:val="184"/>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3" w:lineRule="exact"/>
        <w:rPr>
          <w:rFonts w:ascii="Arial" w:cs="Arial" w:eastAsia="Arial" w:hAnsi="Arial"/>
          <w:sz w:val="18"/>
          <w:szCs w:val="18"/>
          <w:color w:val="auto"/>
        </w:rPr>
      </w:pPr>
    </w:p>
    <w:p>
      <w:pPr>
        <w:ind w:left="980" w:hanging="162"/>
        <w:spacing w:after="0" w:line="260" w:lineRule="auto"/>
        <w:tabs>
          <w:tab w:leader="none" w:pos="980" w:val="left"/>
        </w:tabs>
        <w:numPr>
          <w:ilvl w:val="0"/>
          <w:numId w:val="184"/>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820"/>
        <w:spacing w:after="0"/>
        <w:rPr>
          <w:sz w:val="20"/>
          <w:szCs w:val="20"/>
          <w:color w:val="auto"/>
        </w:rPr>
      </w:pPr>
      <w:r>
        <w:rPr>
          <w:rFonts w:ascii="Arial" w:cs="Arial" w:eastAsia="Arial" w:hAnsi="Arial"/>
          <w:sz w:val="18"/>
          <w:szCs w:val="18"/>
          <w:color w:val="auto"/>
        </w:rPr>
        <w:t>- For commercial lending, liens on real estate property, inventory and trade receivables.</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for business use.</w:t>
      </w:r>
    </w:p>
    <w:p>
      <w:pPr>
        <w:spacing w:after="0" w:line="14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holds guarantees and other financial credit enhancements against certain exposures in the loan portfolio. As of December 31, 2020, and 2019, the coverage ratio to the carrying amount of the loan portfolio was 12%..</w:t>
      </w:r>
    </w:p>
    <w:p>
      <w:pPr>
        <w:spacing w:after="0" w:line="170" w:lineRule="exact"/>
        <w:rPr>
          <w:sz w:val="20"/>
          <w:szCs w:val="20"/>
          <w:color w:val="auto"/>
        </w:rPr>
      </w:pPr>
    </w:p>
    <w:p>
      <w:pPr>
        <w:ind w:left="820"/>
        <w:spacing w:after="0"/>
        <w:rPr>
          <w:sz w:val="20"/>
          <w:szCs w:val="20"/>
          <w:color w:val="auto"/>
        </w:rPr>
      </w:pPr>
      <w:r>
        <w:rPr>
          <w:rFonts w:ascii="Arial" w:cs="Arial" w:eastAsia="Arial" w:hAnsi="Arial"/>
          <w:sz w:val="18"/>
          <w:szCs w:val="18"/>
          <w:color w:val="auto"/>
        </w:rPr>
        <w:t>iii.  Implementation of forward-looking information</w:t>
      </w:r>
    </w:p>
    <w:p>
      <w:pPr>
        <w:spacing w:after="0" w:line="225" w:lineRule="exact"/>
        <w:rPr>
          <w:sz w:val="20"/>
          <w:szCs w:val="20"/>
          <w:color w:val="auto"/>
        </w:rPr>
      </w:pPr>
    </w:p>
    <w:p>
      <w:pPr>
        <w:jc w:val="both"/>
        <w:ind w:left="380"/>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84" w:lineRule="exact"/>
        <w:rPr>
          <w:sz w:val="20"/>
          <w:szCs w:val="20"/>
          <w:color w:val="auto"/>
        </w:rPr>
      </w:pPr>
    </w:p>
    <w:p>
      <w:pPr>
        <w:jc w:val="both"/>
        <w:ind w:left="380"/>
        <w:spacing w:after="0" w:line="301" w:lineRule="auto"/>
        <w:rPr>
          <w:sz w:val="20"/>
          <w:szCs w:val="20"/>
          <w:color w:val="auto"/>
        </w:rPr>
      </w:pPr>
      <w:r>
        <w:rPr>
          <w:rFonts w:ascii="Arial" w:cs="Arial" w:eastAsia="Arial" w:hAnsi="Arial"/>
          <w:sz w:val="16"/>
          <w:szCs w:val="16"/>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central scenario. Other scenarios represent upside and downside results. The implementation and interpretation of the outcomes of the alert are based on the expert judgment of management, based on suggestions of areas such as Credit Risk, Economic Studies and Loan Recovery of the Bank.</w:t>
      </w:r>
    </w:p>
    <w:p>
      <w:pPr>
        <w:spacing w:after="0" w:line="157" w:lineRule="exact"/>
        <w:rPr>
          <w:sz w:val="20"/>
          <w:szCs w:val="20"/>
          <w:color w:val="auto"/>
        </w:rPr>
      </w:pPr>
    </w:p>
    <w:p>
      <w:pPr>
        <w:jc w:val="both"/>
        <w:ind w:left="380"/>
        <w:spacing w:after="0" w:line="263" w:lineRule="auto"/>
        <w:rPr>
          <w:sz w:val="20"/>
          <w:szCs w:val="20"/>
          <w:color w:val="auto"/>
        </w:rPr>
      </w:pPr>
      <w:r>
        <w:rPr>
          <w:rFonts w:ascii="Arial" w:cs="Arial" w:eastAsia="Arial" w:hAnsi="Arial"/>
          <w:sz w:val="18"/>
          <w:szCs w:val="18"/>
          <w:color w:val="auto"/>
        </w:rPr>
        <w:t>The external information could include economic data and projections published by governmental committees, monetary agencies (For example, Federal Reserve Bank and from countries where the Bank operates), supranational organizations (International Monetary Fund, The World Bank, World Trade Organization), private sector, academic projections, credit rating agencies, among other.</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81" w:name="page182"/>
    <w:bookmarkEnd w:id="18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80"/>
        <w:spacing w:after="0"/>
        <w:rPr>
          <w:sz w:val="20"/>
          <w:szCs w:val="20"/>
          <w:color w:val="auto"/>
        </w:rPr>
      </w:pPr>
      <w:r>
        <w:rPr>
          <w:rFonts w:ascii="Arial" w:cs="Arial" w:eastAsia="Arial" w:hAnsi="Arial"/>
          <w:sz w:val="18"/>
          <w:szCs w:val="18"/>
          <w:color w:val="auto"/>
        </w:rPr>
        <w:t>Main macroeconomies variables of the country rating model with forward-looking scenarios are:</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34"/>
        </w:trPr>
        <w:tc>
          <w:tcPr>
            <w:tcW w:w="4040" w:type="dxa"/>
            <w:vAlign w:val="bottom"/>
            <w:tcBorders>
              <w:bottom w:val="single" w:sz="8" w:color="auto"/>
            </w:tcBorders>
          </w:tcPr>
          <w:p>
            <w:pPr>
              <w:ind w:left="1660"/>
              <w:spacing w:after="0"/>
              <w:rPr>
                <w:sz w:val="20"/>
                <w:szCs w:val="20"/>
                <w:color w:val="auto"/>
              </w:rPr>
            </w:pPr>
            <w:r>
              <w:rPr>
                <w:rFonts w:ascii="Arial" w:cs="Arial" w:eastAsia="Arial" w:hAnsi="Arial"/>
                <w:sz w:val="18"/>
                <w:szCs w:val="18"/>
                <w:b w:val="1"/>
                <w:bCs w:val="1"/>
                <w:color w:val="auto"/>
              </w:rPr>
              <w:t>Variables</w:t>
            </w:r>
          </w:p>
        </w:tc>
        <w:tc>
          <w:tcPr>
            <w:tcW w:w="200" w:type="dxa"/>
            <w:vAlign w:val="bottom"/>
          </w:tcPr>
          <w:p>
            <w:pPr>
              <w:spacing w:after="0"/>
              <w:rPr>
                <w:sz w:val="20"/>
                <w:szCs w:val="20"/>
                <w:color w:val="auto"/>
              </w:rPr>
            </w:pPr>
          </w:p>
        </w:tc>
        <w:tc>
          <w:tcPr>
            <w:tcW w:w="5860" w:type="dxa"/>
            <w:vAlign w:val="bottom"/>
            <w:tcBorders>
              <w:bottom w:val="single" w:sz="8" w:color="auto"/>
            </w:tcBorders>
          </w:tcPr>
          <w:p>
            <w:pPr>
              <w:ind w:left="2480"/>
              <w:spacing w:after="0"/>
              <w:rPr>
                <w:sz w:val="20"/>
                <w:szCs w:val="20"/>
                <w:color w:val="auto"/>
              </w:rPr>
            </w:pPr>
            <w:r>
              <w:rPr>
                <w:rFonts w:ascii="Arial" w:cs="Arial" w:eastAsia="Arial" w:hAnsi="Arial"/>
                <w:sz w:val="18"/>
                <w:szCs w:val="18"/>
                <w:b w:val="1"/>
                <w:bCs w:val="1"/>
                <w:color w:val="auto"/>
              </w:rPr>
              <w:t>Description</w:t>
            </w:r>
          </w:p>
        </w:tc>
      </w:tr>
      <w:tr>
        <w:trPr>
          <w:trHeight w:val="224"/>
        </w:trPr>
        <w:tc>
          <w:tcPr>
            <w:tcW w:w="4040" w:type="dxa"/>
            <w:vAlign w:val="bottom"/>
          </w:tcPr>
          <w:p>
            <w:pPr>
              <w:spacing w:after="0"/>
              <w:rPr>
                <w:sz w:val="20"/>
                <w:szCs w:val="20"/>
                <w:color w:val="auto"/>
              </w:rPr>
            </w:pPr>
            <w:r>
              <w:rPr>
                <w:rFonts w:ascii="Arial" w:cs="Arial" w:eastAsia="Arial" w:hAnsi="Arial"/>
                <w:sz w:val="18"/>
                <w:szCs w:val="18"/>
                <w:color w:val="auto"/>
              </w:rPr>
              <w:t>GDP Growth (Var. %)</w:t>
            </w:r>
          </w:p>
        </w:tc>
        <w:tc>
          <w:tcPr>
            <w:tcW w:w="200" w:type="dxa"/>
            <w:vAlign w:val="bottom"/>
          </w:tcPr>
          <w:p>
            <w:pPr>
              <w:spacing w:after="0"/>
              <w:rPr>
                <w:sz w:val="19"/>
                <w:szCs w:val="19"/>
                <w:color w:val="auto"/>
              </w:rPr>
            </w:pPr>
          </w:p>
        </w:tc>
        <w:tc>
          <w:tcPr>
            <w:tcW w:w="5860" w:type="dxa"/>
            <w:vAlign w:val="bottom"/>
          </w:tcPr>
          <w:p>
            <w:pPr>
              <w:spacing w:after="0"/>
              <w:rPr>
                <w:sz w:val="20"/>
                <w:szCs w:val="20"/>
                <w:color w:val="auto"/>
              </w:rPr>
            </w:pPr>
            <w:r>
              <w:rPr>
                <w:rFonts w:ascii="Arial" w:cs="Arial" w:eastAsia="Arial" w:hAnsi="Arial"/>
                <w:sz w:val="18"/>
                <w:szCs w:val="18"/>
                <w:color w:val="auto"/>
              </w:rPr>
              <w:t>% Variation in the growth of the Gross Domestic Product (GDP)</w:t>
            </w:r>
          </w:p>
        </w:tc>
      </w:tr>
      <w:tr>
        <w:trPr>
          <w:trHeight w:val="418"/>
        </w:trPr>
        <w:tc>
          <w:tcPr>
            <w:tcW w:w="4040" w:type="dxa"/>
            <w:vAlign w:val="bottom"/>
          </w:tcPr>
          <w:p>
            <w:pPr>
              <w:spacing w:after="0"/>
              <w:rPr>
                <w:sz w:val="20"/>
                <w:szCs w:val="20"/>
                <w:color w:val="auto"/>
              </w:rPr>
            </w:pPr>
            <w:r>
              <w:rPr>
                <w:rFonts w:ascii="Arial" w:cs="Arial" w:eastAsia="Arial" w:hAnsi="Arial"/>
                <w:sz w:val="18"/>
                <w:szCs w:val="18"/>
                <w:color w:val="auto"/>
              </w:rPr>
              <w:t>ComEx Growth (Var. %)</w:t>
            </w:r>
          </w:p>
        </w:tc>
        <w:tc>
          <w:tcPr>
            <w:tcW w:w="6060" w:type="dxa"/>
            <w:vAlign w:val="bottom"/>
            <w:gridSpan w:val="2"/>
          </w:tcPr>
          <w:p>
            <w:pPr>
              <w:ind w:left="200"/>
              <w:spacing w:after="0"/>
              <w:rPr>
                <w:sz w:val="20"/>
                <w:szCs w:val="20"/>
                <w:color w:val="auto"/>
              </w:rPr>
            </w:pPr>
            <w:r>
              <w:rPr>
                <w:rFonts w:ascii="Arial" w:cs="Arial" w:eastAsia="Arial" w:hAnsi="Arial"/>
                <w:sz w:val="18"/>
                <w:szCs w:val="18"/>
                <w:color w:val="auto"/>
              </w:rPr>
              <w:t>% Variation in foreign trade growth (Exp. + Imp.)</w:t>
            </w:r>
          </w:p>
        </w:tc>
      </w:tr>
    </w:tbl>
    <w:p>
      <w:pPr>
        <w:spacing w:after="0" w:line="200" w:lineRule="exact"/>
        <w:rPr>
          <w:sz w:val="20"/>
          <w:szCs w:val="20"/>
          <w:color w:val="auto"/>
        </w:rPr>
      </w:pPr>
    </w:p>
    <w:p>
      <w:pPr>
        <w:spacing w:after="0" w:line="218" w:lineRule="exact"/>
        <w:rPr>
          <w:sz w:val="20"/>
          <w:szCs w:val="20"/>
          <w:color w:val="auto"/>
        </w:rPr>
      </w:pPr>
    </w:p>
    <w:p>
      <w:pPr>
        <w:jc w:val="both"/>
        <w:ind w:left="380"/>
        <w:spacing w:after="0" w:line="259" w:lineRule="auto"/>
        <w:rPr>
          <w:sz w:val="20"/>
          <w:szCs w:val="20"/>
          <w:color w:val="auto"/>
        </w:rPr>
      </w:pPr>
      <w:r>
        <w:rPr>
          <w:rFonts w:ascii="Arial" w:cs="Arial" w:eastAsia="Arial" w:hAnsi="Arial"/>
          <w:sz w:val="18"/>
          <w:szCs w:val="18"/>
          <w:color w:val="auto"/>
        </w:rPr>
        <w:t>The model uses, as main inputs, the following macroeconomic variables: the percentage variation of the gross domestic product of Latin America and the percentage of the foreign trade index growth. The main movements and changes in the variables are analyzed, in general and in particular for each country in the region. This historical and projected information over a period of five years allows Management a complementary means to estimate the macroeconomic effects in the Bank's portfolio.</w:t>
      </w:r>
    </w:p>
    <w:p>
      <w:pPr>
        <w:spacing w:after="0" w:line="187" w:lineRule="exact"/>
        <w:rPr>
          <w:sz w:val="20"/>
          <w:szCs w:val="20"/>
          <w:color w:val="auto"/>
        </w:rPr>
      </w:pPr>
    </w:p>
    <w:p>
      <w:pPr>
        <w:jc w:val="both"/>
        <w:ind w:left="400" w:right="20"/>
        <w:spacing w:after="0" w:line="277" w:lineRule="auto"/>
        <w:rPr>
          <w:sz w:val="20"/>
          <w:szCs w:val="20"/>
          <w:color w:val="auto"/>
        </w:rPr>
      </w:pPr>
      <w:r>
        <w:rPr>
          <w:rFonts w:ascii="Arial" w:cs="Arial" w:eastAsia="Arial" w:hAnsi="Arial"/>
          <w:sz w:val="18"/>
          <w:szCs w:val="18"/>
          <w:color w:val="auto"/>
        </w:rPr>
        <w:t>The table below lists the macroeconomic assumptions by country used in the central, upside and downside scenarios over the five-year forecasted average available for each reporting period.</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2980" w:type="dxa"/>
            <w:vAlign w:val="bottom"/>
            <w:tcBorders>
              <w:bottom w:val="single" w:sz="8" w:color="auto"/>
            </w:tcBorders>
            <w:gridSpan w:val="4"/>
          </w:tcPr>
          <w:p>
            <w:pPr>
              <w:jc w:val="right"/>
              <w:ind w:right="1300"/>
              <w:spacing w:after="0"/>
              <w:rPr>
                <w:sz w:val="20"/>
                <w:szCs w:val="20"/>
                <w:color w:val="auto"/>
              </w:rPr>
            </w:pPr>
            <w:r>
              <w:rPr>
                <w:rFonts w:ascii="Arial" w:cs="Arial" w:eastAsia="Arial" w:hAnsi="Arial"/>
                <w:sz w:val="18"/>
                <w:szCs w:val="18"/>
                <w:b w:val="1"/>
                <w:bCs w:val="1"/>
                <w:color w:val="auto"/>
              </w:rPr>
              <w:t>Variable</w:t>
            </w:r>
          </w:p>
        </w:tc>
        <w:tc>
          <w:tcPr>
            <w:tcW w:w="1240" w:type="dxa"/>
            <w:vAlign w:val="bottom"/>
            <w:tcBorders>
              <w:bottom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9"/>
        </w:trPr>
        <w:tc>
          <w:tcPr>
            <w:tcW w:w="3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00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GDP Growth (Var.% )</w:t>
            </w:r>
          </w:p>
        </w:tc>
        <w:tc>
          <w:tcPr>
            <w:tcW w:w="2880" w:type="dxa"/>
            <w:vAlign w:val="bottom"/>
            <w:gridSpan w:val="4"/>
          </w:tcPr>
          <w:p>
            <w:pPr>
              <w:jc w:val="right"/>
              <w:ind w:right="320"/>
              <w:spacing w:after="0"/>
              <w:rPr>
                <w:sz w:val="20"/>
                <w:szCs w:val="20"/>
                <w:color w:val="auto"/>
              </w:rPr>
            </w:pPr>
            <w:r>
              <w:rPr>
                <w:rFonts w:ascii="Arial" w:cs="Arial" w:eastAsia="Arial" w:hAnsi="Arial"/>
                <w:sz w:val="18"/>
                <w:szCs w:val="18"/>
                <w:b w:val="1"/>
                <w:bCs w:val="1"/>
                <w:color w:val="auto"/>
                <w:w w:val="99"/>
              </w:rPr>
              <w:t>ComEx Growth Index (Var.% )</w:t>
            </w:r>
          </w:p>
        </w:tc>
        <w:tc>
          <w:tcPr>
            <w:tcW w:w="0" w:type="dxa"/>
            <w:vAlign w:val="bottom"/>
          </w:tcPr>
          <w:p>
            <w:pPr>
              <w:spacing w:after="0"/>
              <w:rPr>
                <w:sz w:val="1"/>
                <w:szCs w:val="1"/>
                <w:color w:val="auto"/>
              </w:rPr>
            </w:pPr>
          </w:p>
        </w:tc>
      </w:tr>
      <w:tr>
        <w:trPr>
          <w:trHeight w:val="191"/>
        </w:trPr>
        <w:tc>
          <w:tcPr>
            <w:tcW w:w="3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500" w:type="dxa"/>
            <w:vAlign w:val="bottom"/>
            <w:tcBorders>
              <w:top w:val="single" w:sz="8" w:color="auto"/>
            </w:tcBorders>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December 31,</w:t>
            </w:r>
          </w:p>
        </w:tc>
        <w:tc>
          <w:tcPr>
            <w:tcW w:w="122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8"/>
                <w:szCs w:val="18"/>
                <w:b w:val="1"/>
                <w:bCs w:val="1"/>
                <w:color w:val="auto"/>
                <w:w w:val="95"/>
              </w:rPr>
              <w:t>December 31,</w:t>
            </w:r>
          </w:p>
        </w:tc>
        <w:tc>
          <w:tcPr>
            <w:tcW w:w="280" w:type="dxa"/>
            <w:vAlign w:val="bottom"/>
          </w:tcPr>
          <w:p>
            <w:pPr>
              <w:spacing w:after="0"/>
              <w:rPr>
                <w:sz w:val="16"/>
                <w:szCs w:val="16"/>
                <w:color w:val="auto"/>
              </w:rPr>
            </w:pPr>
          </w:p>
        </w:tc>
        <w:tc>
          <w:tcPr>
            <w:tcW w:w="1480" w:type="dxa"/>
            <w:vAlign w:val="bottom"/>
            <w:tcBorders>
              <w:top w:val="single" w:sz="8" w:color="auto"/>
            </w:tcBorders>
            <w:gridSpan w:val="2"/>
          </w:tcPr>
          <w:p>
            <w:pPr>
              <w:jc w:val="right"/>
              <w:ind w:right="380"/>
              <w:spacing w:after="0" w:line="191" w:lineRule="exact"/>
              <w:rPr>
                <w:sz w:val="20"/>
                <w:szCs w:val="20"/>
                <w:color w:val="auto"/>
              </w:rPr>
            </w:pPr>
            <w:r>
              <w:rPr>
                <w:rFonts w:ascii="Arial" w:cs="Arial" w:eastAsia="Arial" w:hAnsi="Arial"/>
                <w:sz w:val="18"/>
                <w:szCs w:val="18"/>
                <w:b w:val="1"/>
                <w:bCs w:val="1"/>
                <w:color w:val="auto"/>
                <w:w w:val="92"/>
              </w:rPr>
              <w:t>December 31,</w:t>
            </w:r>
          </w:p>
        </w:tc>
        <w:tc>
          <w:tcPr>
            <w:tcW w:w="1240" w:type="dxa"/>
            <w:vAlign w:val="bottom"/>
            <w:tcBorders>
              <w:top w:val="single" w:sz="8" w:color="auto"/>
            </w:tcBorders>
          </w:tcPr>
          <w:p>
            <w:pPr>
              <w:jc w:val="right"/>
              <w:ind w:right="30"/>
              <w:spacing w:after="0" w:line="191" w:lineRule="exact"/>
              <w:rPr>
                <w:sz w:val="20"/>
                <w:szCs w:val="20"/>
                <w:color w:val="auto"/>
              </w:rPr>
            </w:pPr>
            <w:r>
              <w:rPr>
                <w:rFonts w:ascii="Arial" w:cs="Arial" w:eastAsia="Arial" w:hAnsi="Arial"/>
                <w:sz w:val="18"/>
                <w:szCs w:val="18"/>
                <w:b w:val="1"/>
                <w:bCs w:val="1"/>
                <w:color w:val="auto"/>
                <w:w w:val="93"/>
              </w:rPr>
              <w:t>December 31,</w:t>
            </w:r>
          </w:p>
        </w:tc>
        <w:tc>
          <w:tcPr>
            <w:tcW w:w="1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82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Country</w:t>
            </w:r>
          </w:p>
        </w:tc>
        <w:tc>
          <w:tcPr>
            <w:tcW w:w="10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Scenario</w:t>
            </w:r>
          </w:p>
        </w:tc>
        <w:tc>
          <w:tcPr>
            <w:tcW w:w="1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8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8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6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Central</w:t>
            </w:r>
          </w:p>
        </w:tc>
        <w:tc>
          <w:tcPr>
            <w:tcW w:w="12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Brazil</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30"/>
        </w:trPr>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0.6%</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0.0%</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0.1%</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40" w:type="dxa"/>
            <w:vAlign w:val="bottom"/>
            <w:gridSpan w:val="2"/>
            <w:vMerge w:val="continue"/>
          </w:tcPr>
          <w:p>
            <w:pPr>
              <w:spacing w:after="0"/>
              <w:rPr>
                <w:sz w:val="16"/>
                <w:szCs w:val="16"/>
                <w:color w:val="auto"/>
              </w:rPr>
            </w:pP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1.4%</w:t>
            </w: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3.4%</w:t>
            </w:r>
          </w:p>
        </w:tc>
        <w:tc>
          <w:tcPr>
            <w:tcW w:w="148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4.6%</w:t>
            </w:r>
          </w:p>
        </w:tc>
        <w:tc>
          <w:tcPr>
            <w:tcW w:w="14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16"/>
        </w:trPr>
        <w:tc>
          <w:tcPr>
            <w:tcW w:w="3820" w:type="dxa"/>
            <w:vAlign w:val="bottom"/>
          </w:tcPr>
          <w:p>
            <w:pPr>
              <w:spacing w:after="0"/>
              <w:rPr>
                <w:sz w:val="20"/>
                <w:szCs w:val="20"/>
                <w:color w:val="auto"/>
              </w:rPr>
            </w:pPr>
            <w:r>
              <w:rPr>
                <w:rFonts w:ascii="Arial" w:cs="Arial" w:eastAsia="Arial" w:hAnsi="Arial"/>
                <w:sz w:val="18"/>
                <w:szCs w:val="18"/>
                <w:color w:val="auto"/>
              </w:rPr>
              <w:t>Colombia</w:t>
            </w:r>
          </w:p>
        </w:tc>
        <w:tc>
          <w:tcPr>
            <w:tcW w:w="1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2.5%</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4.5%</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7.6%</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9.6%</w:t>
            </w:r>
          </w:p>
        </w:tc>
        <w:tc>
          <w:tcPr>
            <w:tcW w:w="0" w:type="dxa"/>
            <w:vAlign w:val="bottom"/>
          </w:tcPr>
          <w:p>
            <w:pPr>
              <w:spacing w:after="0"/>
              <w:rPr>
                <w:sz w:val="1"/>
                <w:szCs w:val="1"/>
                <w:color w:val="auto"/>
              </w:rPr>
            </w:pPr>
          </w:p>
        </w:tc>
      </w:tr>
      <w:tr>
        <w:trPr>
          <w:trHeight w:val="244"/>
        </w:trPr>
        <w:tc>
          <w:tcPr>
            <w:tcW w:w="3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0.1%</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2.1%</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1.1%</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3.1%</w:t>
            </w:r>
          </w:p>
        </w:tc>
        <w:tc>
          <w:tcPr>
            <w:tcW w:w="0" w:type="dxa"/>
            <w:vAlign w:val="bottom"/>
          </w:tcPr>
          <w:p>
            <w:pPr>
              <w:spacing w:after="0"/>
              <w:rPr>
                <w:sz w:val="1"/>
                <w:szCs w:val="1"/>
                <w:color w:val="auto"/>
              </w:rPr>
            </w:pPr>
          </w:p>
        </w:tc>
      </w:tr>
      <w:tr>
        <w:trPr>
          <w:trHeight w:val="20"/>
        </w:trPr>
        <w:tc>
          <w:tcPr>
            <w:tcW w:w="38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4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gridSpan w:val="2"/>
            <w:vMerge w:val="continue"/>
            <w:shd w:val="clear" w:color="auto" w:fill="CCEEFF"/>
          </w:tcPr>
          <w:p>
            <w:pPr>
              <w:spacing w:after="0"/>
              <w:rPr>
                <w:sz w:val="18"/>
                <w:szCs w:val="18"/>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16"/>
        </w:trPr>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Mexico</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w:t>
            </w:r>
          </w:p>
        </w:tc>
        <w:tc>
          <w:tcPr>
            <w:tcW w:w="0" w:type="dxa"/>
            <w:vAlign w:val="bottom"/>
          </w:tcPr>
          <w:p>
            <w:pPr>
              <w:spacing w:after="0"/>
              <w:rPr>
                <w:sz w:val="1"/>
                <w:szCs w:val="1"/>
                <w:color w:val="auto"/>
              </w:rPr>
            </w:pPr>
          </w:p>
        </w:tc>
      </w:tr>
      <w:tr>
        <w:trPr>
          <w:trHeight w:val="230"/>
        </w:trPr>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0.3%</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40" w:type="dxa"/>
            <w:vAlign w:val="bottom"/>
            <w:gridSpan w:val="2"/>
            <w:vMerge w:val="continue"/>
          </w:tcPr>
          <w:p>
            <w:pPr>
              <w:spacing w:after="0"/>
              <w:rPr>
                <w:sz w:val="16"/>
                <w:szCs w:val="16"/>
                <w:color w:val="auto"/>
              </w:rPr>
            </w:pP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1.5%</w:t>
            </w: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2.2%</w:t>
            </w:r>
          </w:p>
        </w:tc>
        <w:tc>
          <w:tcPr>
            <w:tcW w:w="148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6.4%</w:t>
            </w:r>
          </w:p>
        </w:tc>
        <w:tc>
          <w:tcPr>
            <w:tcW w:w="14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3.1%</w:t>
            </w:r>
          </w:p>
        </w:tc>
        <w:tc>
          <w:tcPr>
            <w:tcW w:w="0" w:type="dxa"/>
            <w:vAlign w:val="bottom"/>
          </w:tcPr>
          <w:p>
            <w:pPr>
              <w:spacing w:after="0"/>
              <w:rPr>
                <w:sz w:val="1"/>
                <w:szCs w:val="1"/>
                <w:color w:val="auto"/>
              </w:rPr>
            </w:pPr>
          </w:p>
        </w:tc>
      </w:tr>
      <w:tr>
        <w:trPr>
          <w:trHeight w:val="216"/>
        </w:trPr>
        <w:tc>
          <w:tcPr>
            <w:tcW w:w="3820" w:type="dxa"/>
            <w:vAlign w:val="bottom"/>
          </w:tcPr>
          <w:p>
            <w:pPr>
              <w:spacing w:after="0"/>
              <w:rPr>
                <w:sz w:val="20"/>
                <w:szCs w:val="20"/>
                <w:color w:val="auto"/>
              </w:rPr>
            </w:pPr>
            <w:r>
              <w:rPr>
                <w:rFonts w:ascii="Arial" w:cs="Arial" w:eastAsia="Arial" w:hAnsi="Arial"/>
                <w:sz w:val="18"/>
                <w:szCs w:val="18"/>
                <w:color w:val="auto"/>
              </w:rPr>
              <w:t>Chile</w:t>
            </w:r>
          </w:p>
        </w:tc>
        <w:tc>
          <w:tcPr>
            <w:tcW w:w="1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2.6%</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3.3%</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9.9%</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44"/>
        </w:trPr>
        <w:tc>
          <w:tcPr>
            <w:tcW w:w="3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0.3%</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1.0%</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2.4%</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-0.9%</w:t>
            </w:r>
          </w:p>
        </w:tc>
        <w:tc>
          <w:tcPr>
            <w:tcW w:w="0" w:type="dxa"/>
            <w:vAlign w:val="bottom"/>
          </w:tcPr>
          <w:p>
            <w:pPr>
              <w:spacing w:after="0"/>
              <w:rPr>
                <w:sz w:val="1"/>
                <w:szCs w:val="1"/>
                <w:color w:val="auto"/>
              </w:rPr>
            </w:pPr>
          </w:p>
        </w:tc>
      </w:tr>
      <w:tr>
        <w:trPr>
          <w:trHeight w:val="20"/>
        </w:trPr>
        <w:tc>
          <w:tcPr>
            <w:tcW w:w="38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4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gridSpan w:val="2"/>
            <w:vMerge w:val="continue"/>
            <w:shd w:val="clear" w:color="auto" w:fill="CCEEFF"/>
          </w:tcPr>
          <w:p>
            <w:pPr>
              <w:spacing w:after="0"/>
              <w:rPr>
                <w:sz w:val="18"/>
                <w:szCs w:val="18"/>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4.6%</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4.2%</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w:t>
            </w:r>
          </w:p>
        </w:tc>
        <w:tc>
          <w:tcPr>
            <w:tcW w:w="0" w:type="dxa"/>
            <w:vAlign w:val="bottom"/>
          </w:tcPr>
          <w:p>
            <w:pPr>
              <w:spacing w:after="0"/>
              <w:rPr>
                <w:sz w:val="1"/>
                <w:szCs w:val="1"/>
                <w:color w:val="auto"/>
              </w:rPr>
            </w:pPr>
          </w:p>
        </w:tc>
      </w:tr>
      <w:tr>
        <w:trPr>
          <w:trHeight w:val="216"/>
        </w:trPr>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Panama</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6.1%</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6.0%</w:t>
            </w:r>
          </w:p>
        </w:tc>
        <w:tc>
          <w:tcPr>
            <w:tcW w:w="0" w:type="dxa"/>
            <w:vAlign w:val="bottom"/>
          </w:tcPr>
          <w:p>
            <w:pPr>
              <w:spacing w:after="0"/>
              <w:rPr>
                <w:sz w:val="1"/>
                <w:szCs w:val="1"/>
                <w:color w:val="auto"/>
              </w:rPr>
            </w:pPr>
          </w:p>
        </w:tc>
      </w:tr>
      <w:tr>
        <w:trPr>
          <w:trHeight w:val="229"/>
        </w:trPr>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3.2%</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0.7%</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-0.5%</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40" w:type="dxa"/>
            <w:vAlign w:val="bottom"/>
            <w:gridSpan w:val="2"/>
            <w:vMerge w:val="continue"/>
          </w:tcPr>
          <w:p>
            <w:pPr>
              <w:spacing w:after="0"/>
              <w:rPr>
                <w:sz w:val="16"/>
                <w:szCs w:val="16"/>
                <w:color w:val="auto"/>
              </w:rPr>
            </w:pP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2.5%</w:t>
            </w: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3.5%</w:t>
            </w:r>
          </w:p>
        </w:tc>
        <w:tc>
          <w:tcPr>
            <w:tcW w:w="148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4.2%</w:t>
            </w:r>
          </w:p>
        </w:tc>
        <w:tc>
          <w:tcPr>
            <w:tcW w:w="14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4.1%</w:t>
            </w:r>
          </w:p>
        </w:tc>
        <w:tc>
          <w:tcPr>
            <w:tcW w:w="0" w:type="dxa"/>
            <w:vAlign w:val="bottom"/>
          </w:tcPr>
          <w:p>
            <w:pPr>
              <w:spacing w:after="0"/>
              <w:rPr>
                <w:sz w:val="1"/>
                <w:szCs w:val="1"/>
                <w:color w:val="auto"/>
              </w:rPr>
            </w:pPr>
          </w:p>
        </w:tc>
      </w:tr>
      <w:tr>
        <w:trPr>
          <w:trHeight w:val="216"/>
        </w:trPr>
        <w:tc>
          <w:tcPr>
            <w:tcW w:w="3820" w:type="dxa"/>
            <w:vAlign w:val="bottom"/>
          </w:tcPr>
          <w:p>
            <w:pPr>
              <w:spacing w:after="0"/>
              <w:rPr>
                <w:sz w:val="20"/>
                <w:szCs w:val="20"/>
                <w:color w:val="auto"/>
              </w:rPr>
            </w:pPr>
            <w:r>
              <w:rPr>
                <w:rFonts w:ascii="Arial" w:cs="Arial" w:eastAsia="Arial" w:hAnsi="Arial"/>
                <w:sz w:val="18"/>
                <w:szCs w:val="18"/>
                <w:color w:val="auto"/>
              </w:rPr>
              <w:t>Guatemala</w:t>
            </w:r>
          </w:p>
        </w:tc>
        <w:tc>
          <w:tcPr>
            <w:tcW w:w="1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3.5%</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4.5%</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7.2%</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7.1%</w:t>
            </w:r>
          </w:p>
        </w:tc>
        <w:tc>
          <w:tcPr>
            <w:tcW w:w="0" w:type="dxa"/>
            <w:vAlign w:val="bottom"/>
          </w:tcPr>
          <w:p>
            <w:pPr>
              <w:spacing w:after="0"/>
              <w:rPr>
                <w:sz w:val="1"/>
                <w:szCs w:val="1"/>
                <w:color w:val="auto"/>
              </w:rPr>
            </w:pPr>
          </w:p>
        </w:tc>
      </w:tr>
      <w:tr>
        <w:trPr>
          <w:trHeight w:val="244"/>
        </w:trPr>
        <w:tc>
          <w:tcPr>
            <w:tcW w:w="3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1.3%</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0.7%</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0.6%</w:t>
            </w:r>
          </w:p>
        </w:tc>
        <w:tc>
          <w:tcPr>
            <w:tcW w:w="0" w:type="dxa"/>
            <w:vAlign w:val="bottom"/>
          </w:tcPr>
          <w:p>
            <w:pPr>
              <w:spacing w:after="0"/>
              <w:rPr>
                <w:sz w:val="1"/>
                <w:szCs w:val="1"/>
                <w:color w:val="auto"/>
              </w:rPr>
            </w:pPr>
          </w:p>
        </w:tc>
      </w:tr>
      <w:tr>
        <w:trPr>
          <w:trHeight w:val="20"/>
        </w:trPr>
        <w:tc>
          <w:tcPr>
            <w:tcW w:w="38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40" w:type="dxa"/>
            <w:vAlign w:val="bottom"/>
            <w:gridSpan w:val="2"/>
            <w:vMerge w:val="restart"/>
            <w:shd w:val="clear" w:color="auto" w:fill="CCEEFF"/>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gridSpan w:val="2"/>
            <w:vMerge w:val="continue"/>
            <w:shd w:val="clear" w:color="auto" w:fill="CCEEFF"/>
          </w:tcPr>
          <w:p>
            <w:pPr>
              <w:spacing w:after="0"/>
              <w:rPr>
                <w:sz w:val="18"/>
                <w:szCs w:val="18"/>
                <w:color w:val="auto"/>
              </w:rPr>
            </w:pP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6"/>
        </w:trPr>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Peru</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4.3%</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7.7%</w:t>
            </w:r>
          </w:p>
        </w:tc>
        <w:tc>
          <w:tcPr>
            <w:tcW w:w="0" w:type="dxa"/>
            <w:vAlign w:val="bottom"/>
          </w:tcPr>
          <w:p>
            <w:pPr>
              <w:spacing w:after="0"/>
              <w:rPr>
                <w:sz w:val="1"/>
                <w:szCs w:val="1"/>
                <w:color w:val="auto"/>
              </w:rPr>
            </w:pPr>
          </w:p>
        </w:tc>
      </w:tr>
      <w:tr>
        <w:trPr>
          <w:trHeight w:val="230"/>
        </w:trPr>
        <w:tc>
          <w:tcPr>
            <w:tcW w:w="38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w:t>
            </w:r>
          </w:p>
        </w:tc>
        <w:tc>
          <w:tcPr>
            <w:tcW w:w="15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0.2%</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color w:val="auto"/>
                <w:w w:val="89"/>
              </w:rPr>
              <w:t>Central</w:t>
            </w: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3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40" w:type="dxa"/>
            <w:vAlign w:val="bottom"/>
            <w:gridSpan w:val="2"/>
            <w:vMerge w:val="continue"/>
          </w:tcPr>
          <w:p>
            <w:pPr>
              <w:spacing w:after="0"/>
              <w:rPr>
                <w:sz w:val="16"/>
                <w:szCs w:val="16"/>
                <w:color w:val="auto"/>
              </w:rPr>
            </w:pP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-0.2%</w:t>
            </w:r>
          </w:p>
        </w:tc>
        <w:tc>
          <w:tcPr>
            <w:tcW w:w="150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1.3%</w:t>
            </w:r>
          </w:p>
        </w:tc>
        <w:tc>
          <w:tcPr>
            <w:tcW w:w="1480" w:type="dxa"/>
            <w:vAlign w:val="bottom"/>
            <w:gridSpan w:val="2"/>
          </w:tcPr>
          <w:p>
            <w:pPr>
              <w:jc w:val="right"/>
              <w:ind w:right="120"/>
              <w:spacing w:after="0" w:line="195" w:lineRule="exact"/>
              <w:rPr>
                <w:sz w:val="20"/>
                <w:szCs w:val="20"/>
                <w:color w:val="auto"/>
              </w:rPr>
            </w:pPr>
            <w:r>
              <w:rPr>
                <w:rFonts w:ascii="Arial" w:cs="Arial" w:eastAsia="Arial" w:hAnsi="Arial"/>
                <w:sz w:val="18"/>
                <w:szCs w:val="18"/>
                <w:color w:val="auto"/>
              </w:rPr>
              <w:t>2.7%</w:t>
            </w:r>
          </w:p>
        </w:tc>
        <w:tc>
          <w:tcPr>
            <w:tcW w:w="14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4.6%</w:t>
            </w:r>
          </w:p>
        </w:tc>
        <w:tc>
          <w:tcPr>
            <w:tcW w:w="0" w:type="dxa"/>
            <w:vAlign w:val="bottom"/>
          </w:tcPr>
          <w:p>
            <w:pPr>
              <w:spacing w:after="0"/>
              <w:rPr>
                <w:sz w:val="1"/>
                <w:szCs w:val="1"/>
                <w:color w:val="auto"/>
              </w:rPr>
            </w:pPr>
          </w:p>
        </w:tc>
      </w:tr>
      <w:tr>
        <w:trPr>
          <w:trHeight w:val="216"/>
        </w:trPr>
        <w:tc>
          <w:tcPr>
            <w:tcW w:w="3820" w:type="dxa"/>
            <w:vAlign w:val="bottom"/>
          </w:tcPr>
          <w:p>
            <w:pPr>
              <w:spacing w:after="0"/>
              <w:rPr>
                <w:sz w:val="20"/>
                <w:szCs w:val="20"/>
                <w:color w:val="auto"/>
              </w:rPr>
            </w:pPr>
            <w:r>
              <w:rPr>
                <w:rFonts w:ascii="Arial" w:cs="Arial" w:eastAsia="Arial" w:hAnsi="Arial"/>
                <w:sz w:val="18"/>
                <w:szCs w:val="18"/>
                <w:color w:val="auto"/>
              </w:rPr>
              <w:t>Ecuador</w:t>
            </w:r>
          </w:p>
        </w:tc>
        <w:tc>
          <w:tcPr>
            <w:tcW w:w="10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Upside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5.7%</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44"/>
        </w:trPr>
        <w:tc>
          <w:tcPr>
            <w:tcW w:w="38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color w:val="auto"/>
                <w:w w:val="91"/>
              </w:rPr>
              <w:t>Downside</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-1.7%</w:t>
            </w:r>
          </w:p>
        </w:tc>
        <w:tc>
          <w:tcPr>
            <w:tcW w:w="1500" w:type="dxa"/>
            <w:vAlign w:val="bottom"/>
            <w:gridSpan w:val="2"/>
          </w:tcPr>
          <w:p>
            <w:pPr>
              <w:jc w:val="right"/>
              <w:ind w:right="120"/>
              <w:spacing w:after="0"/>
              <w:rPr>
                <w:sz w:val="20"/>
                <w:szCs w:val="20"/>
                <w:color w:val="auto"/>
              </w:rPr>
            </w:pPr>
            <w:r>
              <w:rPr>
                <w:rFonts w:ascii="Arial" w:cs="Arial" w:eastAsia="Arial" w:hAnsi="Arial"/>
                <w:sz w:val="18"/>
                <w:szCs w:val="18"/>
                <w:color w:val="auto"/>
              </w:rPr>
              <w:t>-0.2%</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-0.8%</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433"/>
        </w:trPr>
        <w:tc>
          <w:tcPr>
            <w:tcW w:w="3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color w:val="auto"/>
              </w:rPr>
              <w:t>F-46</w:t>
            </w:r>
          </w:p>
        </w:tc>
        <w:tc>
          <w:tcPr>
            <w:tcW w:w="280" w:type="dxa"/>
            <w:vAlign w:val="bottom"/>
            <w:tcBorders>
              <w:bottom w:val="single" w:sz="8" w:color="auto"/>
            </w:tcBorders>
          </w:tcPr>
          <w:p>
            <w:pPr>
              <w:spacing w:after="0"/>
              <w:rPr>
                <w:sz w:val="24"/>
                <w:szCs w:val="24"/>
                <w:color w:val="auto"/>
              </w:rPr>
            </w:pPr>
          </w:p>
        </w:tc>
        <w:tc>
          <w:tcPr>
            <w:tcW w:w="1220" w:type="dxa"/>
            <w:vAlign w:val="bottom"/>
            <w:tcBorders>
              <w:top w:val="single" w:sz="8" w:color="auto"/>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220" w:type="dxa"/>
            <w:vAlign w:val="bottom"/>
            <w:tcBorders>
              <w:top w:val="single" w:sz="8" w:color="auto"/>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40" w:type="dxa"/>
            <w:vAlign w:val="bottom"/>
            <w:tcBorders>
              <w:top w:val="single" w:sz="8" w:color="auto"/>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82" w:name="page183"/>
    <w:bookmarkEnd w:id="18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right="8820" w:hanging="328"/>
        <w:spacing w:after="0" w:line="566" w:lineRule="auto"/>
        <w:tabs>
          <w:tab w:leader="none" w:pos="660" w:val="left"/>
        </w:tabs>
        <w:numPr>
          <w:ilvl w:val="0"/>
          <w:numId w:val="18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Credit risk (continued) </w:t>
      </w:r>
      <w:r>
        <w:rPr>
          <w:rFonts w:ascii="Arial" w:cs="Arial" w:eastAsia="Arial" w:hAnsi="Arial"/>
          <w:sz w:val="16"/>
          <w:szCs w:val="16"/>
          <w:color w:val="auto"/>
        </w:rPr>
        <w:t>iv. Loss allowances</w:t>
      </w:r>
    </w:p>
    <w:p>
      <w:pPr>
        <w:ind w:left="340"/>
        <w:spacing w:after="0" w:line="277" w:lineRule="auto"/>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 The basis for determining transfers due to changes in credit risk is set out in our accounting policy; see Note 3.4(J)</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880" w:type="dxa"/>
            <w:vAlign w:val="bottom"/>
          </w:tcPr>
          <w:p>
            <w:pPr>
              <w:spacing w:after="0"/>
              <w:rPr>
                <w:sz w:val="17"/>
                <w:szCs w:val="17"/>
                <w:color w:val="auto"/>
              </w:rPr>
            </w:pPr>
          </w:p>
        </w:tc>
        <w:tc>
          <w:tcPr>
            <w:tcW w:w="1620" w:type="dxa"/>
            <w:vAlign w:val="bottom"/>
            <w:gridSpan w:val="2"/>
            <w:vMerge w:val="restart"/>
          </w:tcPr>
          <w:p>
            <w:pPr>
              <w:jc w:val="right"/>
              <w:ind w:right="64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2"/>
            <w:vMerge w:val="restart"/>
          </w:tcPr>
          <w:p>
            <w:pPr>
              <w:jc w:val="right"/>
              <w:ind w:right="64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2"/>
            <w:vMerge w:val="restart"/>
          </w:tcPr>
          <w:p>
            <w:pPr>
              <w:jc w:val="right"/>
              <w:ind w:right="640"/>
              <w:spacing w:after="0"/>
              <w:rPr>
                <w:sz w:val="20"/>
                <w:szCs w:val="20"/>
                <w:color w:val="auto"/>
              </w:rPr>
            </w:pPr>
            <w:r>
              <w:rPr>
                <w:rFonts w:ascii="Arial" w:cs="Arial" w:eastAsia="Arial" w:hAnsi="Arial"/>
                <w:sz w:val="18"/>
                <w:szCs w:val="18"/>
                <w:b w:val="1"/>
                <w:bCs w:val="1"/>
                <w:color w:val="auto"/>
              </w:rPr>
              <w:t>Stage 3</w:t>
            </w:r>
          </w:p>
        </w:tc>
        <w:tc>
          <w:tcPr>
            <w:tcW w:w="1480" w:type="dxa"/>
            <w:vAlign w:val="bottom"/>
            <w:gridSpan w:val="2"/>
            <w:vMerge w:val="restart"/>
          </w:tcPr>
          <w:p>
            <w:pPr>
              <w:jc w:val="right"/>
              <w:ind w:right="58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340" w:type="dxa"/>
            <w:vAlign w:val="bottom"/>
          </w:tcPr>
          <w:p>
            <w:pPr>
              <w:spacing w:after="0"/>
              <w:rPr>
                <w:sz w:val="21"/>
                <w:szCs w:val="21"/>
                <w:color w:val="auto"/>
              </w:rPr>
            </w:pPr>
          </w:p>
        </w:tc>
        <w:tc>
          <w:tcPr>
            <w:tcW w:w="1700" w:type="dxa"/>
            <w:vAlign w:val="bottom"/>
            <w:tcBorders>
              <w:top w:val="single" w:sz="8" w:color="auto"/>
            </w:tcBorders>
          </w:tcPr>
          <w:p>
            <w:pPr>
              <w:spacing w:after="0"/>
              <w:rPr>
                <w:sz w:val="21"/>
                <w:szCs w:val="21"/>
                <w:color w:val="auto"/>
              </w:rPr>
            </w:pPr>
          </w:p>
        </w:tc>
        <w:tc>
          <w:tcPr>
            <w:tcW w:w="1840" w:type="dxa"/>
            <w:vAlign w:val="bottom"/>
          </w:tcPr>
          <w:p>
            <w:pPr>
              <w:spacing w:after="0"/>
              <w:rPr>
                <w:sz w:val="21"/>
                <w:szCs w:val="21"/>
                <w:color w:val="auto"/>
              </w:rPr>
            </w:pPr>
          </w:p>
        </w:tc>
        <w:tc>
          <w:tcPr>
            <w:tcW w:w="880" w:type="dxa"/>
            <w:vAlign w:val="bottom"/>
          </w:tcPr>
          <w:p>
            <w:pPr>
              <w:spacing w:after="0"/>
              <w:rPr>
                <w:sz w:val="21"/>
                <w:szCs w:val="21"/>
                <w:color w:val="auto"/>
              </w:rPr>
            </w:pPr>
          </w:p>
        </w:tc>
        <w:tc>
          <w:tcPr>
            <w:tcW w:w="1620" w:type="dxa"/>
            <w:vAlign w:val="bottom"/>
            <w:gridSpan w:val="2"/>
            <w:vMerge w:val="continue"/>
          </w:tcPr>
          <w:p>
            <w:pPr>
              <w:spacing w:after="0"/>
              <w:rPr>
                <w:sz w:val="21"/>
                <w:szCs w:val="21"/>
                <w:color w:val="auto"/>
              </w:rPr>
            </w:pPr>
          </w:p>
        </w:tc>
        <w:tc>
          <w:tcPr>
            <w:tcW w:w="1620" w:type="dxa"/>
            <w:vAlign w:val="bottom"/>
            <w:gridSpan w:val="2"/>
            <w:vMerge w:val="continue"/>
          </w:tcPr>
          <w:p>
            <w:pPr>
              <w:spacing w:after="0"/>
              <w:rPr>
                <w:sz w:val="21"/>
                <w:szCs w:val="21"/>
                <w:color w:val="auto"/>
              </w:rPr>
            </w:pPr>
          </w:p>
        </w:tc>
        <w:tc>
          <w:tcPr>
            <w:tcW w:w="1620" w:type="dxa"/>
            <w:vAlign w:val="bottom"/>
            <w:gridSpan w:val="2"/>
            <w:vMerge w:val="continue"/>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420" w:type="dxa"/>
            <w:vAlign w:val="bottom"/>
            <w:tcBorders>
              <w:top w:val="single" w:sz="8" w:color="CCEEFF"/>
            </w:tcBorders>
            <w:gridSpan w:val="3"/>
            <w:shd w:val="clear" w:color="auto" w:fill="CCEEFF"/>
          </w:tcPr>
          <w:p>
            <w:pPr>
              <w:spacing w:after="0" w:line="177"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170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2019</w:t>
            </w:r>
          </w:p>
        </w:tc>
        <w:tc>
          <w:tcPr>
            <w:tcW w:w="1840" w:type="dxa"/>
            <w:vAlign w:val="bottom"/>
            <w:shd w:val="clear" w:color="auto" w:fill="CCEEFF"/>
          </w:tcPr>
          <w:p>
            <w:pPr>
              <w:spacing w:after="0"/>
              <w:rPr>
                <w:sz w:val="21"/>
                <w:szCs w:val="21"/>
                <w:color w:val="auto"/>
              </w:rPr>
            </w:pP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28,892</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15,842</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54,573</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99,307</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88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(886)</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886</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2"/>
              </w:rPr>
              <w:t>Transfer to credit-impaired financial instruments</w:t>
            </w: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(2,100)</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2,100</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tcPr>
          <w:p>
            <w:pPr>
              <w:spacing w:after="0" w:line="201" w:lineRule="exact"/>
              <w:rPr>
                <w:sz w:val="20"/>
                <w:szCs w:val="20"/>
                <w:color w:val="auto"/>
              </w:rPr>
            </w:pPr>
            <w:r>
              <w:rPr>
                <w:rFonts w:ascii="Arial" w:cs="Arial" w:eastAsia="Arial" w:hAnsi="Arial"/>
                <w:sz w:val="18"/>
                <w:szCs w:val="18"/>
                <w:color w:val="auto"/>
                <w:w w:val="93"/>
              </w:rPr>
              <w:t>Net effect of changes in allowance for expected</w:t>
            </w:r>
          </w:p>
        </w:tc>
        <w:tc>
          <w:tcPr>
            <w:tcW w:w="2500" w:type="dxa"/>
            <w:vAlign w:val="bottom"/>
            <w:gridSpan w:val="3"/>
          </w:tcPr>
          <w:p>
            <w:pPr>
              <w:jc w:val="right"/>
              <w:ind w:right="2020"/>
              <w:spacing w:after="0" w:line="201" w:lineRule="exact"/>
              <w:rPr>
                <w:sz w:val="20"/>
                <w:szCs w:val="20"/>
                <w:color w:val="auto"/>
              </w:rPr>
            </w:pPr>
            <w:r>
              <w:rPr>
                <w:rFonts w:ascii="Arial" w:cs="Arial" w:eastAsia="Arial" w:hAnsi="Arial"/>
                <w:sz w:val="18"/>
                <w:szCs w:val="18"/>
                <w:color w:val="auto"/>
              </w:rPr>
              <w:t>credit</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tcPr>
          <w:p>
            <w:pPr>
              <w:ind w:left="160"/>
              <w:spacing w:after="0"/>
              <w:rPr>
                <w:sz w:val="20"/>
                <w:szCs w:val="20"/>
                <w:color w:val="auto"/>
              </w:rPr>
            </w:pPr>
            <w:r>
              <w:rPr>
                <w:rFonts w:ascii="Arial" w:cs="Arial" w:eastAsia="Arial" w:hAnsi="Arial"/>
                <w:sz w:val="18"/>
                <w:szCs w:val="18"/>
                <w:color w:val="auto"/>
              </w:rPr>
              <w:t>losses</w:t>
            </w:r>
          </w:p>
        </w:tc>
        <w:tc>
          <w:tcPr>
            <w:tcW w:w="2500" w:type="dxa"/>
            <w:vAlign w:val="bottom"/>
            <w:gridSpan w:val="3"/>
          </w:tcPr>
          <w:p>
            <w:pPr>
              <w:jc w:val="right"/>
              <w:ind w:right="220"/>
              <w:spacing w:after="0"/>
              <w:rPr>
                <w:sz w:val="20"/>
                <w:szCs w:val="20"/>
                <w:color w:val="auto"/>
              </w:rPr>
            </w:pPr>
            <w:r>
              <w:rPr>
                <w:rFonts w:ascii="Arial" w:cs="Arial" w:eastAsia="Arial" w:hAnsi="Arial"/>
                <w:sz w:val="18"/>
                <w:szCs w:val="18"/>
                <w:color w:val="auto"/>
              </w:rPr>
              <w:t>134</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13,443</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(118)</w:t>
            </w:r>
          </w:p>
        </w:tc>
        <w:tc>
          <w:tcPr>
            <w:tcW w:w="1480" w:type="dxa"/>
            <w:vAlign w:val="bottom"/>
            <w:gridSpan w:val="2"/>
          </w:tcPr>
          <w:p>
            <w:pPr>
              <w:jc w:val="right"/>
              <w:ind w:right="80"/>
              <w:spacing w:after="0"/>
              <w:rPr>
                <w:sz w:val="20"/>
                <w:szCs w:val="20"/>
                <w:color w:val="auto"/>
              </w:rPr>
            </w:pPr>
            <w:r>
              <w:rPr>
                <w:rFonts w:ascii="Arial" w:cs="Arial" w:eastAsia="Arial" w:hAnsi="Arial"/>
                <w:sz w:val="18"/>
                <w:szCs w:val="18"/>
                <w:color w:val="auto"/>
              </w:rPr>
              <w:t>13,459</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6040" w:type="dxa"/>
            <w:vAlign w:val="bottom"/>
            <w:gridSpan w:val="5"/>
            <w:shd w:val="clear" w:color="auto" w:fill="CCEEFF"/>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the year</w:t>
            </w:r>
          </w:p>
        </w:tc>
        <w:tc>
          <w:tcPr>
            <w:tcW w:w="25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(24,307)</w:t>
            </w:r>
          </w:p>
        </w:tc>
        <w:tc>
          <w:tcPr>
            <w:tcW w:w="1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(3,729)</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(28,036)</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w w:val="98"/>
              </w:rPr>
              <w:t>New financial assets originated or purchased</w:t>
            </w:r>
          </w:p>
        </w:tc>
        <w:tc>
          <w:tcPr>
            <w:tcW w:w="2500" w:type="dxa"/>
            <w:vAlign w:val="bottom"/>
            <w:gridSpan w:val="3"/>
          </w:tcPr>
          <w:p>
            <w:pPr>
              <w:jc w:val="right"/>
              <w:ind w:right="220"/>
              <w:spacing w:after="0"/>
              <w:rPr>
                <w:sz w:val="20"/>
                <w:szCs w:val="20"/>
                <w:color w:val="auto"/>
              </w:rPr>
            </w:pPr>
            <w:r>
              <w:rPr>
                <w:rFonts w:ascii="Arial" w:cs="Arial" w:eastAsia="Arial" w:hAnsi="Arial"/>
                <w:sz w:val="18"/>
                <w:szCs w:val="18"/>
                <w:color w:val="auto"/>
              </w:rPr>
              <w:t>12,828</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80"/>
              <w:spacing w:after="0"/>
              <w:rPr>
                <w:sz w:val="20"/>
                <w:szCs w:val="20"/>
                <w:color w:val="auto"/>
              </w:rPr>
            </w:pPr>
            <w:r>
              <w:rPr>
                <w:rFonts w:ascii="Arial" w:cs="Arial" w:eastAsia="Arial" w:hAnsi="Arial"/>
                <w:sz w:val="18"/>
                <w:szCs w:val="18"/>
                <w:color w:val="auto"/>
              </w:rPr>
              <w:t>12,828</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(4,426)</w:t>
            </w:r>
          </w:p>
        </w:tc>
        <w:tc>
          <w:tcPr>
            <w:tcW w:w="16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(52,106)</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(56,532)</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Recoveries</w:t>
            </w:r>
          </w:p>
        </w:tc>
        <w:tc>
          <w:tcPr>
            <w:tcW w:w="2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139</w:t>
            </w:r>
          </w:p>
        </w:tc>
        <w:tc>
          <w:tcPr>
            <w:tcW w:w="1480" w:type="dxa"/>
            <w:vAlign w:val="bottom"/>
            <w:gridSpan w:val="2"/>
          </w:tcPr>
          <w:p>
            <w:pPr>
              <w:jc w:val="right"/>
              <w:ind w:right="80"/>
              <w:spacing w:after="0"/>
              <w:rPr>
                <w:sz w:val="20"/>
                <w:szCs w:val="20"/>
                <w:color w:val="auto"/>
              </w:rPr>
            </w:pPr>
            <w:r>
              <w:rPr>
                <w:rFonts w:ascii="Arial" w:cs="Arial" w:eastAsia="Arial" w:hAnsi="Arial"/>
                <w:sz w:val="18"/>
                <w:szCs w:val="18"/>
                <w:color w:val="auto"/>
              </w:rPr>
              <w:t>139</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420" w:type="dxa"/>
            <w:vAlign w:val="bottom"/>
            <w:tcBorders>
              <w:top w:val="single" w:sz="8" w:color="CCEEFF"/>
            </w:tcBorders>
            <w:gridSpan w:val="3"/>
            <w:shd w:val="clear" w:color="auto" w:fill="CCEEFF"/>
          </w:tcPr>
          <w:p>
            <w:pPr>
              <w:spacing w:after="0" w:line="177"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170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2020</w:t>
            </w:r>
          </w:p>
        </w:tc>
        <w:tc>
          <w:tcPr>
            <w:tcW w:w="1840" w:type="dxa"/>
            <w:vAlign w:val="bottom"/>
            <w:shd w:val="clear" w:color="auto" w:fill="CCEEFF"/>
          </w:tcPr>
          <w:p>
            <w:pPr>
              <w:spacing w:after="0"/>
              <w:rPr>
                <w:sz w:val="22"/>
                <w:szCs w:val="22"/>
                <w:color w:val="auto"/>
              </w:rPr>
            </w:pPr>
          </w:p>
        </w:tc>
        <w:tc>
          <w:tcPr>
            <w:tcW w:w="880" w:type="dxa"/>
            <w:vAlign w:val="bottom"/>
            <w:shd w:val="clear" w:color="auto" w:fill="CCEEFF"/>
          </w:tcPr>
          <w:p>
            <w:pPr>
              <w:spacing w:after="0"/>
              <w:rPr>
                <w:sz w:val="22"/>
                <w:szCs w:val="22"/>
                <w:color w:val="auto"/>
              </w:rPr>
            </w:pP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16,661</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19,916</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4,588</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41,165</w:t>
            </w: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700" w:type="dxa"/>
            <w:vAlign w:val="bottom"/>
            <w:tcBorders>
              <w:top w:val="single" w:sz="8" w:color="CCEEFF"/>
            </w:tcBorders>
          </w:tcPr>
          <w:p>
            <w:pPr>
              <w:spacing w:after="0" w:line="20" w:lineRule="exact"/>
              <w:rPr>
                <w:sz w:val="1"/>
                <w:szCs w:val="1"/>
                <w:color w:val="auto"/>
              </w:rPr>
            </w:pPr>
          </w:p>
        </w:tc>
        <w:tc>
          <w:tcPr>
            <w:tcW w:w="184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Stage 1</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Stage 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Stage 3</w:t>
            </w:r>
          </w:p>
        </w:tc>
        <w:tc>
          <w:tcPr>
            <w:tcW w:w="148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420" w:type="dxa"/>
            <w:vAlign w:val="bottom"/>
            <w:tcBorders>
              <w:top w:val="single" w:sz="8" w:color="CCEEFF"/>
            </w:tcBorders>
            <w:gridSpan w:val="3"/>
            <w:shd w:val="clear" w:color="auto" w:fill="CCEEFF"/>
          </w:tcPr>
          <w:p>
            <w:pPr>
              <w:spacing w:after="0" w:line="177"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40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1700" w:type="dxa"/>
            <w:vAlign w:val="bottom"/>
            <w:shd w:val="clear" w:color="auto" w:fill="CCEEFF"/>
          </w:tcPr>
          <w:p>
            <w:pPr>
              <w:ind w:left="160"/>
              <w:spacing w:after="0"/>
              <w:rPr>
                <w:sz w:val="20"/>
                <w:szCs w:val="20"/>
                <w:color w:val="auto"/>
              </w:rPr>
            </w:pPr>
            <w:r>
              <w:rPr>
                <w:rFonts w:ascii="Arial" w:cs="Arial" w:eastAsia="Arial" w:hAnsi="Arial"/>
                <w:sz w:val="18"/>
                <w:szCs w:val="18"/>
                <w:b w:val="1"/>
                <w:bCs w:val="1"/>
                <w:color w:val="auto"/>
              </w:rPr>
              <w:t>2018</w:t>
            </w:r>
          </w:p>
        </w:tc>
        <w:tc>
          <w:tcPr>
            <w:tcW w:w="1840" w:type="dxa"/>
            <w:vAlign w:val="bottom"/>
            <w:shd w:val="clear" w:color="auto" w:fill="CCEEFF"/>
          </w:tcPr>
          <w:p>
            <w:pPr>
              <w:spacing w:after="0"/>
              <w:rPr>
                <w:sz w:val="21"/>
                <w:szCs w:val="21"/>
                <w:color w:val="auto"/>
              </w:rPr>
            </w:pP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34,957</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16,389</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49,439</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100,785</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88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(2,488)</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2,488</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35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3"/>
              </w:rPr>
              <w:t>Net effect of changes in allowance for expected</w:t>
            </w:r>
          </w:p>
        </w:tc>
        <w:tc>
          <w:tcPr>
            <w:tcW w:w="2500" w:type="dxa"/>
            <w:vAlign w:val="bottom"/>
            <w:gridSpan w:val="3"/>
            <w:shd w:val="clear" w:color="auto" w:fill="CCEEFF"/>
          </w:tcPr>
          <w:p>
            <w:pPr>
              <w:jc w:val="right"/>
              <w:ind w:right="2020"/>
              <w:spacing w:after="0" w:line="201" w:lineRule="exact"/>
              <w:rPr>
                <w:sz w:val="20"/>
                <w:szCs w:val="20"/>
                <w:color w:val="auto"/>
              </w:rPr>
            </w:pPr>
            <w:r>
              <w:rPr>
                <w:rFonts w:ascii="Arial" w:cs="Arial" w:eastAsia="Arial" w:hAnsi="Arial"/>
                <w:sz w:val="18"/>
                <w:szCs w:val="18"/>
                <w:color w:val="auto"/>
              </w:rPr>
              <w:t>credit</w:t>
            </w: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losses</w:t>
            </w:r>
          </w:p>
        </w:tc>
        <w:tc>
          <w:tcPr>
            <w:tcW w:w="25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(2,154)</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5,881</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7,987</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11,714</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6040" w:type="dxa"/>
            <w:vAlign w:val="bottom"/>
            <w:gridSpan w:val="5"/>
          </w:tcPr>
          <w:p>
            <w:pPr>
              <w:spacing w:after="0" w:line="201" w:lineRule="exact"/>
              <w:rPr>
                <w:sz w:val="20"/>
                <w:szCs w:val="20"/>
                <w:color w:val="auto"/>
              </w:rPr>
            </w:pPr>
            <w:r>
              <w:rPr>
                <w:rFonts w:ascii="Arial" w:cs="Arial" w:eastAsia="Arial" w:hAnsi="Arial"/>
                <w:sz w:val="18"/>
                <w:szCs w:val="18"/>
                <w:color w:val="auto"/>
              </w:rPr>
              <w:t>Financial instruments that have been derecognized during</w:t>
            </w: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3540" w:type="dxa"/>
            <w:vAlign w:val="bottom"/>
            <w:gridSpan w:val="2"/>
          </w:tcPr>
          <w:p>
            <w:pPr>
              <w:ind w:left="160"/>
              <w:spacing w:after="0"/>
              <w:rPr>
                <w:sz w:val="20"/>
                <w:szCs w:val="20"/>
                <w:color w:val="auto"/>
              </w:rPr>
            </w:pPr>
            <w:r>
              <w:rPr>
                <w:rFonts w:ascii="Arial" w:cs="Arial" w:eastAsia="Arial" w:hAnsi="Arial"/>
                <w:sz w:val="18"/>
                <w:szCs w:val="18"/>
                <w:color w:val="auto"/>
              </w:rPr>
              <w:t>the year</w:t>
            </w:r>
          </w:p>
        </w:tc>
        <w:tc>
          <w:tcPr>
            <w:tcW w:w="2500" w:type="dxa"/>
            <w:vAlign w:val="bottom"/>
            <w:gridSpan w:val="3"/>
          </w:tcPr>
          <w:p>
            <w:pPr>
              <w:jc w:val="right"/>
              <w:ind w:right="160"/>
              <w:spacing w:after="0"/>
              <w:rPr>
                <w:sz w:val="20"/>
                <w:szCs w:val="20"/>
                <w:color w:val="auto"/>
              </w:rPr>
            </w:pPr>
            <w:r>
              <w:rPr>
                <w:rFonts w:ascii="Arial" w:cs="Arial" w:eastAsia="Arial" w:hAnsi="Arial"/>
                <w:sz w:val="18"/>
                <w:szCs w:val="18"/>
                <w:color w:val="auto"/>
              </w:rPr>
              <w:t>(27,118)</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(8,916)</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(500)</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(36,534)</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8"/>
              </w:rPr>
              <w:t>New financial assets originated or purchased</w:t>
            </w: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25,695</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25,695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54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25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60"/>
              <w:spacing w:after="0"/>
              <w:rPr>
                <w:sz w:val="20"/>
                <w:szCs w:val="20"/>
                <w:color w:val="auto"/>
              </w:rPr>
            </w:pPr>
            <w:r>
              <w:rPr>
                <w:rFonts w:ascii="Arial" w:cs="Arial" w:eastAsia="Arial" w:hAnsi="Arial"/>
                <w:sz w:val="18"/>
                <w:szCs w:val="18"/>
                <w:color w:val="auto"/>
              </w:rPr>
              <w:t>(2,405)</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(2,405)</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5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25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w:t>
            </w:r>
          </w:p>
        </w:tc>
        <w:tc>
          <w:tcPr>
            <w:tcW w:w="14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52</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4420" w:type="dxa"/>
            <w:vAlign w:val="bottom"/>
            <w:gridSpan w:val="3"/>
          </w:tcPr>
          <w:p>
            <w:pPr>
              <w:spacing w:after="0" w:line="177" w:lineRule="exact"/>
              <w:rPr>
                <w:sz w:val="20"/>
                <w:szCs w:val="20"/>
                <w:color w:val="auto"/>
              </w:rPr>
            </w:pPr>
            <w:r>
              <w:rPr>
                <w:rFonts w:ascii="Arial" w:cs="Arial" w:eastAsia="Arial" w:hAnsi="Arial"/>
                <w:sz w:val="18"/>
                <w:szCs w:val="18"/>
                <w:b w:val="1"/>
                <w:bCs w:val="1"/>
                <w:color w:val="auto"/>
                <w:w w:val="90"/>
              </w:rPr>
              <w:t>Allowance for expected credit losses as of December 31,</w:t>
            </w: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40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40" w:type="dxa"/>
            <w:vAlign w:val="bottom"/>
          </w:tcPr>
          <w:p>
            <w:pPr>
              <w:spacing w:after="0"/>
              <w:rPr>
                <w:sz w:val="22"/>
                <w:szCs w:val="22"/>
                <w:color w:val="auto"/>
              </w:rPr>
            </w:pPr>
          </w:p>
        </w:tc>
        <w:tc>
          <w:tcPr>
            <w:tcW w:w="1700" w:type="dxa"/>
            <w:vAlign w:val="bottom"/>
          </w:tcPr>
          <w:p>
            <w:pPr>
              <w:ind w:left="160"/>
              <w:spacing w:after="0"/>
              <w:rPr>
                <w:sz w:val="20"/>
                <w:szCs w:val="20"/>
                <w:color w:val="auto"/>
              </w:rPr>
            </w:pPr>
            <w:r>
              <w:rPr>
                <w:rFonts w:ascii="Arial" w:cs="Arial" w:eastAsia="Arial" w:hAnsi="Arial"/>
                <w:sz w:val="18"/>
                <w:szCs w:val="18"/>
                <w:b w:val="1"/>
                <w:bCs w:val="1"/>
                <w:color w:val="auto"/>
              </w:rPr>
              <w:t>2019</w:t>
            </w:r>
          </w:p>
        </w:tc>
        <w:tc>
          <w:tcPr>
            <w:tcW w:w="1840" w:type="dxa"/>
            <w:vAlign w:val="bottom"/>
          </w:tcPr>
          <w:p>
            <w:pPr>
              <w:spacing w:after="0"/>
              <w:rPr>
                <w:sz w:val="22"/>
                <w:szCs w:val="22"/>
                <w:color w:val="auto"/>
              </w:rPr>
            </w:pPr>
          </w:p>
        </w:tc>
        <w:tc>
          <w:tcPr>
            <w:tcW w:w="880" w:type="dxa"/>
            <w:vAlign w:val="bottom"/>
          </w:tcPr>
          <w:p>
            <w:pPr>
              <w:spacing w:after="0"/>
              <w:rPr>
                <w:sz w:val="22"/>
                <w:szCs w:val="22"/>
                <w:color w:val="auto"/>
              </w:rPr>
            </w:pP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28,892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15,842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54,573</w:t>
            </w:r>
          </w:p>
        </w:tc>
        <w:tc>
          <w:tcPr>
            <w:tcW w:w="148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rPr>
              <w:t>99,307</w:t>
            </w: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18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34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8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2"/>
          </w:tcPr>
          <w:p>
            <w:pPr>
              <w:jc w:val="right"/>
              <w:ind w:right="580"/>
              <w:spacing w:after="0"/>
              <w:rPr>
                <w:sz w:val="20"/>
                <w:szCs w:val="20"/>
                <w:color w:val="auto"/>
              </w:rPr>
            </w:pPr>
            <w:r>
              <w:rPr>
                <w:rFonts w:ascii="Arial" w:cs="Arial" w:eastAsia="Arial" w:hAnsi="Arial"/>
                <w:sz w:val="18"/>
                <w:szCs w:val="18"/>
                <w:color w:val="auto"/>
              </w:rPr>
              <w:t>F-47</w:t>
            </w: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83" w:name="page184"/>
    <w:bookmarkEnd w:id="18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18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expected credit losses of customers’ liabilities under acceptances and items such as: confirmed letters of credit, stand-by letters of credit, guarantees, and credit commitments.</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9" w:lineRule="exact"/>
        <w:rPr>
          <w:sz w:val="20"/>
          <w:szCs w:val="20"/>
          <w:color w:val="auto"/>
        </w:rPr>
      </w:pPr>
    </w:p>
    <w:p>
      <w:pPr>
        <w:ind w:left="340" w:right="60"/>
        <w:spacing w:after="0" w:line="276" w:lineRule="auto"/>
        <w:rPr>
          <w:sz w:val="20"/>
          <w:szCs w:val="20"/>
          <w:color w:val="auto"/>
        </w:rPr>
      </w:pPr>
      <w:r>
        <w:rPr>
          <w:rFonts w:ascii="Arial" w:cs="Arial" w:eastAsia="Arial" w:hAnsi="Arial"/>
          <w:sz w:val="18"/>
          <w:szCs w:val="18"/>
          <w:b w:val="1"/>
          <w:bCs w:val="1"/>
          <w:color w:val="auto"/>
        </w:rPr>
        <w:t xml:space="preserve">Allowance for expected credit losses as of December 31, 2019 </w:t>
      </w:r>
      <w:r>
        <w:rPr>
          <w:rFonts w:ascii="Arial" w:cs="Arial" w:eastAsia="Arial" w:hAnsi="Arial"/>
          <w:sz w:val="18"/>
          <w:szCs w:val="18"/>
          <w:color w:val="auto"/>
        </w:rPr>
        <w:t>Transfer to lifetime expected credit losses</w:t>
      </w:r>
    </w:p>
    <w:p>
      <w:pPr>
        <w:spacing w:after="0" w:line="1" w:lineRule="exact"/>
        <w:rPr>
          <w:sz w:val="20"/>
          <w:szCs w:val="20"/>
          <w:color w:val="auto"/>
        </w:rPr>
      </w:pPr>
    </w:p>
    <w:p>
      <w:pPr>
        <w:ind w:left="340"/>
        <w:spacing w:after="0"/>
        <w:tabs>
          <w:tab w:leader="none" w:pos="3720" w:val="left"/>
        </w:tabs>
        <w:rPr>
          <w:sz w:val="20"/>
          <w:szCs w:val="20"/>
          <w:color w:val="auto"/>
        </w:rPr>
      </w:pPr>
      <w:r>
        <w:rPr>
          <w:rFonts w:ascii="Arial" w:cs="Arial" w:eastAsia="Arial" w:hAnsi="Arial"/>
          <w:sz w:val="18"/>
          <w:szCs w:val="18"/>
          <w:color w:val="auto"/>
        </w:rPr>
        <w:t>Net effect of changes in reserve for expected</w:t>
      </w:r>
      <w:r>
        <w:rPr>
          <w:sz w:val="20"/>
          <w:szCs w:val="20"/>
          <w:color w:val="auto"/>
        </w:rPr>
        <w:tab/>
      </w:r>
      <w:r>
        <w:rPr>
          <w:rFonts w:ascii="Arial" w:cs="Arial" w:eastAsia="Arial" w:hAnsi="Arial"/>
          <w:sz w:val="15"/>
          <w:szCs w:val="15"/>
          <w:color w:val="auto"/>
        </w:rPr>
        <w:t>credit losses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Financial instruments that have been derecognized during the year</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New instruments originated or purchased</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Allowance for expected credit losses as of December 31, 2020</w:t>
      </w:r>
    </w:p>
    <w:p>
      <w:pPr>
        <w:spacing w:after="0" w:line="200" w:lineRule="exact"/>
        <w:rPr>
          <w:sz w:val="20"/>
          <w:szCs w:val="20"/>
          <w:color w:val="auto"/>
        </w:rPr>
      </w:pPr>
    </w:p>
    <w:p>
      <w:pPr>
        <w:spacing w:after="0" w:line="340"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Allowance for expected credit losses as of December 31, 2018</w:t>
      </w:r>
    </w:p>
    <w:p>
      <w:pPr>
        <w:spacing w:after="0" w:line="63" w:lineRule="exact"/>
        <w:rPr>
          <w:sz w:val="20"/>
          <w:szCs w:val="20"/>
          <w:color w:val="auto"/>
        </w:rPr>
      </w:pPr>
    </w:p>
    <w:p>
      <w:pPr>
        <w:ind w:left="340"/>
        <w:spacing w:after="0"/>
        <w:tabs>
          <w:tab w:leader="none" w:pos="3720" w:val="left"/>
        </w:tabs>
        <w:rPr>
          <w:sz w:val="20"/>
          <w:szCs w:val="20"/>
          <w:color w:val="auto"/>
        </w:rPr>
      </w:pPr>
      <w:r>
        <w:rPr>
          <w:rFonts w:ascii="Arial" w:cs="Arial" w:eastAsia="Arial" w:hAnsi="Arial"/>
          <w:sz w:val="18"/>
          <w:szCs w:val="18"/>
          <w:color w:val="auto"/>
        </w:rPr>
        <w:t>Net effect of changes in reserve for expected</w:t>
      </w:r>
      <w:r>
        <w:rPr>
          <w:sz w:val="20"/>
          <w:szCs w:val="20"/>
          <w:color w:val="auto"/>
        </w:rPr>
        <w:tab/>
      </w:r>
      <w:r>
        <w:rPr>
          <w:rFonts w:ascii="Arial" w:cs="Arial" w:eastAsia="Arial" w:hAnsi="Arial"/>
          <w:sz w:val="15"/>
          <w:szCs w:val="15"/>
          <w:color w:val="auto"/>
        </w:rPr>
        <w:t>credit losses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Financial instruments that have been derecognized during the year</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New instruments originated or purchased</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Allowance for expected credit losses as of December 31, 2019</w:t>
      </w:r>
    </w:p>
    <w:p>
      <w:pPr>
        <w:spacing w:after="0" w:line="20" w:lineRule="exact"/>
        <w:rPr>
          <w:sz w:val="20"/>
          <w:szCs w:val="20"/>
          <w:color w:val="auto"/>
        </w:rPr>
      </w:pPr>
      <w:r>
        <w:rPr>
          <w:sz w:val="20"/>
          <w:szCs w:val="20"/>
          <w:color w:val="auto"/>
        </w:rPr>
        <w:br w:type="column"/>
      </w:r>
    </w:p>
    <w:p>
      <w:pPr>
        <w:spacing w:after="0" w:line="173" w:lineRule="exact"/>
        <w:rPr>
          <w:sz w:val="20"/>
          <w:szCs w:val="20"/>
          <w:color w:val="auto"/>
        </w:rPr>
      </w:pPr>
    </w:p>
    <w:p>
      <w:pPr>
        <w:spacing w:after="0" w:line="1" w:lineRule="exact"/>
        <w:rPr>
          <w:sz w:val="1"/>
          <w:szCs w:val="1"/>
          <w:color w:val="auto"/>
        </w:rPr>
      </w:pPr>
    </w:p>
    <w:tbl>
      <w:tblPr>
        <w:tblLayout w:type="fixed"/>
        <w:tblInd w:w="160" w:type="dxa"/>
        <w:tblCellMar>
          <w:top w:w="0" w:type="dxa"/>
          <w:left w:w="0" w:type="dxa"/>
          <w:bottom w:w="0" w:type="dxa"/>
          <w:right w:w="0" w:type="dxa"/>
        </w:tblCellMar>
      </w:tblPr>
      <w:tr>
        <w:trPr>
          <w:trHeight w:val="234"/>
        </w:trPr>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900" w:type="dxa"/>
            <w:vAlign w:val="bottom"/>
          </w:tcPr>
          <w:p>
            <w:pPr>
              <w:ind w:left="320"/>
              <w:spacing w:after="0"/>
              <w:rPr>
                <w:sz w:val="20"/>
                <w:szCs w:val="20"/>
                <w:color w:val="auto"/>
              </w:rPr>
            </w:pPr>
            <w:r>
              <w:rPr>
                <w:rFonts w:ascii="Arial" w:cs="Arial" w:eastAsia="Arial" w:hAnsi="Arial"/>
                <w:sz w:val="18"/>
                <w:szCs w:val="18"/>
                <w:b w:val="1"/>
                <w:bCs w:val="1"/>
                <w:color w:val="auto"/>
                <w:w w:val="87"/>
              </w:rPr>
              <w:t>Stage 2</w:t>
            </w:r>
          </w:p>
        </w:tc>
        <w:tc>
          <w:tcPr>
            <w:tcW w:w="3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2,683</w:t>
            </w:r>
          </w:p>
        </w:tc>
        <w:tc>
          <w:tcPr>
            <w:tcW w:w="200" w:type="dxa"/>
            <w:vAlign w:val="bottom"/>
          </w:tcPr>
          <w:p>
            <w:pPr>
              <w:spacing w:after="0"/>
              <w:rPr>
                <w:sz w:val="18"/>
                <w:szCs w:val="18"/>
                <w:color w:val="auto"/>
              </w:rPr>
            </w:pPr>
          </w:p>
        </w:tc>
        <w:tc>
          <w:tcPr>
            <w:tcW w:w="90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361</w:t>
            </w:r>
          </w:p>
        </w:tc>
        <w:tc>
          <w:tcPr>
            <w:tcW w:w="220" w:type="dxa"/>
            <w:vAlign w:val="bottom"/>
          </w:tcPr>
          <w:p>
            <w:pPr>
              <w:spacing w:after="0"/>
              <w:rPr>
                <w:sz w:val="18"/>
                <w:szCs w:val="18"/>
                <w:color w:val="auto"/>
              </w:rPr>
            </w:pPr>
          </w:p>
        </w:tc>
        <w:tc>
          <w:tcPr>
            <w:tcW w:w="10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3,044</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(96)</w:t>
            </w:r>
          </w:p>
        </w:tc>
        <w:tc>
          <w:tcPr>
            <w:tcW w:w="2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00" w:type="dxa"/>
            <w:vAlign w:val="bottom"/>
          </w:tcPr>
          <w:p>
            <w:pPr>
              <w:jc w:val="right"/>
              <w:spacing w:after="0" w:line="195" w:lineRule="exact"/>
              <w:rPr>
                <w:sz w:val="20"/>
                <w:szCs w:val="20"/>
                <w:color w:val="auto"/>
              </w:rPr>
            </w:pPr>
            <w:r>
              <w:rPr>
                <w:rFonts w:ascii="Arial" w:cs="Arial" w:eastAsia="Arial" w:hAnsi="Arial"/>
                <w:sz w:val="18"/>
                <w:szCs w:val="18"/>
                <w:color w:val="auto"/>
              </w:rPr>
              <w:t>96</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6"/>
                <w:szCs w:val="16"/>
                <w:color w:val="auto"/>
              </w:rPr>
            </w:pPr>
          </w:p>
        </w:tc>
        <w:tc>
          <w:tcPr>
            <w:tcW w:w="12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w:t>
            </w:r>
          </w:p>
        </w:tc>
        <w:tc>
          <w:tcPr>
            <w:tcW w:w="40" w:type="dxa"/>
            <w:vAlign w:val="bottom"/>
          </w:tcPr>
          <w:p>
            <w:pPr>
              <w:spacing w:after="0"/>
              <w:rPr>
                <w:sz w:val="16"/>
                <w:szCs w:val="16"/>
                <w:color w:val="auto"/>
              </w:rPr>
            </w:pPr>
          </w:p>
        </w:tc>
      </w:tr>
      <w:tr>
        <w:trPr>
          <w:trHeight w:val="216"/>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w:t>
            </w:r>
          </w:p>
        </w:tc>
        <w:tc>
          <w:tcPr>
            <w:tcW w:w="900" w:type="dxa"/>
            <w:vAlign w:val="bottom"/>
          </w:tcPr>
          <w:p>
            <w:pPr>
              <w:spacing w:after="0"/>
              <w:rPr>
                <w:sz w:val="18"/>
                <w:szCs w:val="18"/>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42</w:t>
            </w:r>
          </w:p>
        </w:tc>
        <w:tc>
          <w:tcPr>
            <w:tcW w:w="1000" w:type="dxa"/>
            <w:vAlign w:val="bottom"/>
          </w:tcPr>
          <w:p>
            <w:pPr>
              <w:spacing w:after="0"/>
              <w:rPr>
                <w:sz w:val="18"/>
                <w:szCs w:val="18"/>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79</w:t>
            </w:r>
          </w:p>
        </w:tc>
        <w:tc>
          <w:tcPr>
            <w:tcW w:w="40" w:type="dxa"/>
            <w:vAlign w:val="bottom"/>
          </w:tcPr>
          <w:p>
            <w:pPr>
              <w:spacing w:after="0"/>
              <w:rPr>
                <w:sz w:val="18"/>
                <w:szCs w:val="18"/>
                <w:color w:val="auto"/>
              </w:rPr>
            </w:pPr>
          </w:p>
        </w:tc>
      </w:tr>
      <w:tr>
        <w:trPr>
          <w:trHeight w:val="229"/>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(1,864)</w:t>
            </w:r>
          </w:p>
        </w:tc>
        <w:tc>
          <w:tcPr>
            <w:tcW w:w="900" w:type="dxa"/>
            <w:vAlign w:val="bottom"/>
          </w:tcPr>
          <w:p>
            <w:pPr>
              <w:spacing w:after="0"/>
              <w:rPr>
                <w:sz w:val="19"/>
                <w:szCs w:val="19"/>
                <w:color w:val="auto"/>
              </w:rPr>
            </w:pPr>
          </w:p>
        </w:tc>
        <w:tc>
          <w:tcPr>
            <w:tcW w:w="520" w:type="dxa"/>
            <w:vAlign w:val="bottom"/>
            <w:gridSpan w:val="2"/>
          </w:tcPr>
          <w:p>
            <w:pPr>
              <w:jc w:val="right"/>
              <w:ind w:right="160"/>
              <w:spacing w:after="0"/>
              <w:rPr>
                <w:sz w:val="20"/>
                <w:szCs w:val="20"/>
                <w:color w:val="auto"/>
              </w:rPr>
            </w:pPr>
            <w:r>
              <w:rPr>
                <w:rFonts w:ascii="Arial" w:cs="Arial" w:eastAsia="Arial" w:hAnsi="Arial"/>
                <w:sz w:val="18"/>
                <w:szCs w:val="18"/>
                <w:color w:val="auto"/>
              </w:rPr>
              <w:t>(21)</w:t>
            </w:r>
          </w:p>
        </w:tc>
        <w:tc>
          <w:tcPr>
            <w:tcW w:w="1000" w:type="dxa"/>
            <w:vAlign w:val="bottom"/>
          </w:tcPr>
          <w:p>
            <w:pPr>
              <w:spacing w:after="0"/>
              <w:rPr>
                <w:sz w:val="19"/>
                <w:szCs w:val="19"/>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(1,885)</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1,666</w:t>
            </w:r>
          </w:p>
        </w:tc>
        <w:tc>
          <w:tcPr>
            <w:tcW w:w="900" w:type="dxa"/>
            <w:vAlign w:val="bottom"/>
          </w:tcPr>
          <w:p>
            <w:pPr>
              <w:spacing w:after="0"/>
              <w:rPr>
                <w:sz w:val="20"/>
                <w:szCs w:val="20"/>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spacing w:after="0"/>
              <w:rPr>
                <w:sz w:val="20"/>
                <w:szCs w:val="20"/>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1,666</w:t>
            </w:r>
          </w:p>
        </w:tc>
        <w:tc>
          <w:tcPr>
            <w:tcW w:w="40" w:type="dxa"/>
            <w:vAlign w:val="bottom"/>
          </w:tcPr>
          <w:p>
            <w:pPr>
              <w:spacing w:after="0"/>
              <w:rPr>
                <w:sz w:val="20"/>
                <w:szCs w:val="20"/>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2,426</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478</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2,904</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900" w:type="dxa"/>
            <w:vAlign w:val="bottom"/>
          </w:tcPr>
          <w:p>
            <w:pPr>
              <w:ind w:left="320"/>
              <w:spacing w:after="0"/>
              <w:rPr>
                <w:sz w:val="20"/>
                <w:szCs w:val="20"/>
                <w:color w:val="auto"/>
              </w:rPr>
            </w:pPr>
            <w:r>
              <w:rPr>
                <w:rFonts w:ascii="Arial" w:cs="Arial" w:eastAsia="Arial" w:hAnsi="Arial"/>
                <w:sz w:val="18"/>
                <w:szCs w:val="18"/>
                <w:b w:val="1"/>
                <w:bCs w:val="1"/>
                <w:color w:val="auto"/>
                <w:w w:val="87"/>
              </w:rPr>
              <w:t>Stage 2</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3,089</w:t>
            </w:r>
          </w:p>
        </w:tc>
        <w:tc>
          <w:tcPr>
            <w:tcW w:w="200" w:type="dxa"/>
            <w:vAlign w:val="bottom"/>
          </w:tcPr>
          <w:p>
            <w:pPr>
              <w:spacing w:after="0"/>
              <w:rPr>
                <w:sz w:val="18"/>
                <w:szCs w:val="18"/>
                <w:color w:val="auto"/>
              </w:rPr>
            </w:pPr>
          </w:p>
        </w:tc>
        <w:tc>
          <w:tcPr>
            <w:tcW w:w="90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200</w:t>
            </w:r>
          </w:p>
        </w:tc>
        <w:tc>
          <w:tcPr>
            <w:tcW w:w="220" w:type="dxa"/>
            <w:vAlign w:val="bottom"/>
          </w:tcPr>
          <w:p>
            <w:pPr>
              <w:spacing w:after="0"/>
              <w:rPr>
                <w:sz w:val="18"/>
                <w:szCs w:val="18"/>
                <w:color w:val="auto"/>
              </w:rPr>
            </w:pPr>
          </w:p>
        </w:tc>
        <w:tc>
          <w:tcPr>
            <w:tcW w:w="10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3,289</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(17)</w:t>
            </w:r>
          </w:p>
        </w:tc>
        <w:tc>
          <w:tcPr>
            <w:tcW w:w="2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00" w:type="dxa"/>
            <w:vAlign w:val="bottom"/>
          </w:tcPr>
          <w:p>
            <w:pPr>
              <w:jc w:val="right"/>
              <w:spacing w:after="0" w:line="195" w:lineRule="exact"/>
              <w:rPr>
                <w:sz w:val="20"/>
                <w:szCs w:val="20"/>
                <w:color w:val="auto"/>
              </w:rPr>
            </w:pPr>
            <w:r>
              <w:rPr>
                <w:rFonts w:ascii="Arial" w:cs="Arial" w:eastAsia="Arial" w:hAnsi="Arial"/>
                <w:sz w:val="18"/>
                <w:szCs w:val="18"/>
                <w:color w:val="auto"/>
                <w:w w:val="93"/>
              </w:rPr>
              <w:t>170</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6"/>
                <w:szCs w:val="16"/>
                <w:color w:val="auto"/>
              </w:rPr>
            </w:pPr>
          </w:p>
        </w:tc>
        <w:tc>
          <w:tcPr>
            <w:tcW w:w="12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153</w:t>
            </w:r>
          </w:p>
        </w:tc>
        <w:tc>
          <w:tcPr>
            <w:tcW w:w="40" w:type="dxa"/>
            <w:vAlign w:val="bottom"/>
          </w:tcPr>
          <w:p>
            <w:pPr>
              <w:spacing w:after="0"/>
              <w:rPr>
                <w:sz w:val="16"/>
                <w:szCs w:val="16"/>
                <w:color w:val="auto"/>
              </w:rPr>
            </w:pPr>
          </w:p>
        </w:tc>
      </w:tr>
      <w:tr>
        <w:trPr>
          <w:trHeight w:val="230"/>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(2,497)</w:t>
            </w:r>
          </w:p>
        </w:tc>
        <w:tc>
          <w:tcPr>
            <w:tcW w:w="900" w:type="dxa"/>
            <w:vAlign w:val="bottom"/>
          </w:tcPr>
          <w:p>
            <w:pPr>
              <w:spacing w:after="0"/>
              <w:rPr>
                <w:sz w:val="19"/>
                <w:szCs w:val="19"/>
                <w:color w:val="auto"/>
              </w:rPr>
            </w:pPr>
          </w:p>
        </w:tc>
        <w:tc>
          <w:tcPr>
            <w:tcW w:w="520" w:type="dxa"/>
            <w:vAlign w:val="bottom"/>
            <w:gridSpan w:val="2"/>
          </w:tcPr>
          <w:p>
            <w:pPr>
              <w:jc w:val="right"/>
              <w:ind w:right="160"/>
              <w:spacing w:after="0"/>
              <w:rPr>
                <w:sz w:val="20"/>
                <w:szCs w:val="20"/>
                <w:color w:val="auto"/>
              </w:rPr>
            </w:pPr>
            <w:r>
              <w:rPr>
                <w:rFonts w:ascii="Arial" w:cs="Arial" w:eastAsia="Arial" w:hAnsi="Arial"/>
                <w:sz w:val="18"/>
                <w:szCs w:val="18"/>
                <w:color w:val="auto"/>
              </w:rPr>
              <w:t>(9)</w:t>
            </w:r>
          </w:p>
        </w:tc>
        <w:tc>
          <w:tcPr>
            <w:tcW w:w="1000" w:type="dxa"/>
            <w:vAlign w:val="bottom"/>
          </w:tcPr>
          <w:p>
            <w:pPr>
              <w:spacing w:after="0"/>
              <w:rPr>
                <w:sz w:val="19"/>
                <w:szCs w:val="19"/>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(2,506)</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2,108</w:t>
            </w:r>
          </w:p>
        </w:tc>
        <w:tc>
          <w:tcPr>
            <w:tcW w:w="900" w:type="dxa"/>
            <w:vAlign w:val="bottom"/>
          </w:tcPr>
          <w:p>
            <w:pPr>
              <w:spacing w:after="0"/>
              <w:rPr>
                <w:sz w:val="20"/>
                <w:szCs w:val="20"/>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spacing w:after="0"/>
              <w:rPr>
                <w:sz w:val="20"/>
                <w:szCs w:val="20"/>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2,108</w:t>
            </w:r>
          </w:p>
        </w:tc>
        <w:tc>
          <w:tcPr>
            <w:tcW w:w="40" w:type="dxa"/>
            <w:vAlign w:val="bottom"/>
          </w:tcPr>
          <w:p>
            <w:pPr>
              <w:spacing w:after="0"/>
              <w:rPr>
                <w:sz w:val="20"/>
                <w:szCs w:val="20"/>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2,683</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361</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3,044</w:t>
            </w: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-3255645</wp:posOffset>
            </wp:positionH>
            <wp:positionV relativeFrom="paragraph">
              <wp:posOffset>-1928495</wp:posOffset>
            </wp:positionV>
            <wp:extent cx="6840855" cy="1460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4">
                      <a:extLst>
                        <a:ext uri="{28A0092B-C50C-407E-A947-70E740481C1C}"/>
                      </a:extLst>
                    </a:blip>
                    <a:srcRect/>
                    <a:stretch>
                      <a:fillRect/>
                    </a:stretch>
                  </pic:blipFill>
                  <pic:spPr bwMode="auto">
                    <a:xfrm>
                      <a:off x="0" y="0"/>
                      <a:ext cx="6840855" cy="146050"/>
                    </a:xfrm>
                    <a:prstGeom prst="rect">
                      <a:avLst/>
                    </a:prstGeom>
                    <a:noFill/>
                  </pic:spPr>
                </pic:pic>
              </a:graphicData>
            </a:graphic>
          </wp:anchor>
        </w:drawing>
        <w:drawing>
          <wp:anchor simplePos="0" relativeHeight="251657728" behindDoc="1" locked="0" layoutInCell="0" allowOverlap="1">
            <wp:simplePos x="0" y="0"/>
            <wp:positionH relativeFrom="column">
              <wp:posOffset>-3255645</wp:posOffset>
            </wp:positionH>
            <wp:positionV relativeFrom="paragraph">
              <wp:posOffset>-1636395</wp:posOffset>
            </wp:positionV>
            <wp:extent cx="6840855" cy="13716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5">
                      <a:extLst>
                        <a:ext uri="{28A0092B-C50C-407E-A947-70E740481C1C}"/>
                      </a:extLst>
                    </a:blip>
                    <a:srcRect/>
                    <a:stretch>
                      <a:fillRect/>
                    </a:stretch>
                  </pic:blipFill>
                  <pic:spPr bwMode="auto">
                    <a:xfrm>
                      <a:off x="0" y="0"/>
                      <a:ext cx="6840855" cy="137160"/>
                    </a:xfrm>
                    <a:prstGeom prst="rect">
                      <a:avLst/>
                    </a:prstGeom>
                    <a:noFill/>
                  </pic:spPr>
                </pic:pic>
              </a:graphicData>
            </a:graphic>
          </wp:anchor>
        </w:drawing>
        <w:drawing>
          <wp:anchor simplePos="0" relativeHeight="251657728" behindDoc="1" locked="0" layoutInCell="0" allowOverlap="1">
            <wp:simplePos x="0" y="0"/>
            <wp:positionH relativeFrom="column">
              <wp:posOffset>-3255645</wp:posOffset>
            </wp:positionH>
            <wp:positionV relativeFrom="paragraph">
              <wp:posOffset>-1362710</wp:posOffset>
            </wp:positionV>
            <wp:extent cx="6840855" cy="14605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6">
                      <a:extLst>
                        <a:ext uri="{28A0092B-C50C-407E-A947-70E740481C1C}"/>
                      </a:extLst>
                    </a:blip>
                    <a:srcRect/>
                    <a:stretch>
                      <a:fillRect/>
                    </a:stretch>
                  </pic:blipFill>
                  <pic:spPr bwMode="auto">
                    <a:xfrm>
                      <a:off x="0" y="0"/>
                      <a:ext cx="6840855" cy="146050"/>
                    </a:xfrm>
                    <a:prstGeom prst="rect">
                      <a:avLst/>
                    </a:prstGeom>
                    <a:noFill/>
                  </pic:spPr>
                </pic:pic>
              </a:graphicData>
            </a:graphic>
          </wp:anchor>
        </w:drawing>
        <w:drawing>
          <wp:anchor simplePos="0" relativeHeight="251657728" behindDoc="1" locked="0" layoutInCell="0" allowOverlap="1">
            <wp:simplePos x="0" y="0"/>
            <wp:positionH relativeFrom="column">
              <wp:posOffset>-3255645</wp:posOffset>
            </wp:positionH>
            <wp:positionV relativeFrom="paragraph">
              <wp:posOffset>-753745</wp:posOffset>
            </wp:positionV>
            <wp:extent cx="6840855" cy="14605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7">
                      <a:extLst>
                        <a:ext uri="{28A0092B-C50C-407E-A947-70E740481C1C}"/>
                      </a:extLst>
                    </a:blip>
                    <a:srcRect/>
                    <a:stretch>
                      <a:fillRect/>
                    </a:stretch>
                  </pic:blipFill>
                  <pic:spPr bwMode="auto">
                    <a:xfrm>
                      <a:off x="0" y="0"/>
                      <a:ext cx="6840855" cy="146050"/>
                    </a:xfrm>
                    <a:prstGeom prst="rect">
                      <a:avLst/>
                    </a:prstGeom>
                    <a:noFill/>
                  </pic:spPr>
                </pic:pic>
              </a:graphicData>
            </a:graphic>
          </wp:anchor>
        </w:drawing>
        <w:drawing>
          <wp:anchor simplePos="0" relativeHeight="251657728" behindDoc="1" locked="0" layoutInCell="0" allowOverlap="1">
            <wp:simplePos x="0" y="0"/>
            <wp:positionH relativeFrom="column">
              <wp:posOffset>-3255645</wp:posOffset>
            </wp:positionH>
            <wp:positionV relativeFrom="paragraph">
              <wp:posOffset>-462280</wp:posOffset>
            </wp:positionV>
            <wp:extent cx="6840855" cy="13716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8">
                      <a:extLst>
                        <a:ext uri="{28A0092B-C50C-407E-A947-70E740481C1C}"/>
                      </a:extLst>
                    </a:blip>
                    <a:srcRect/>
                    <a:stretch>
                      <a:fillRect/>
                    </a:stretch>
                  </pic:blipFill>
                  <pic:spPr bwMode="auto">
                    <a:xfrm>
                      <a:off x="0" y="0"/>
                      <a:ext cx="6840855" cy="137160"/>
                    </a:xfrm>
                    <a:prstGeom prst="rect">
                      <a:avLst/>
                    </a:prstGeom>
                    <a:noFill/>
                  </pic:spPr>
                </pic:pic>
              </a:graphicData>
            </a:graphic>
          </wp:anchor>
        </w:drawing>
        <w:drawing>
          <wp:anchor simplePos="0" relativeHeight="251657728" behindDoc="1" locked="0" layoutInCell="0" allowOverlap="1">
            <wp:simplePos x="0" y="0"/>
            <wp:positionH relativeFrom="column">
              <wp:posOffset>-3255645</wp:posOffset>
            </wp:positionH>
            <wp:positionV relativeFrom="paragraph">
              <wp:posOffset>-179070</wp:posOffset>
            </wp:positionV>
            <wp:extent cx="6840855" cy="16256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9">
                      <a:extLst>
                        <a:ext uri="{28A0092B-C50C-407E-A947-70E740481C1C}"/>
                      </a:extLst>
                    </a:blip>
                    <a:srcRect/>
                    <a:stretch>
                      <a:fillRect/>
                    </a:stretch>
                  </pic:blipFill>
                  <pic:spPr bwMode="auto">
                    <a:xfrm>
                      <a:off x="0" y="0"/>
                      <a:ext cx="6840855" cy="162560"/>
                    </a:xfrm>
                    <a:prstGeom prst="rect">
                      <a:avLst/>
                    </a:prstGeom>
                    <a:noFill/>
                  </pic:spPr>
                </pic:pic>
              </a:graphicData>
            </a:graphic>
          </wp:anchor>
        </w:drawing>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-3461385</wp:posOffset>
            </wp:positionH>
            <wp:positionV relativeFrom="paragraph">
              <wp:posOffset>23495</wp:posOffset>
            </wp:positionV>
            <wp:extent cx="7132320" cy="825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2">
            <w:col w:w="5100" w:space="360"/>
            <w:col w:w="5780"/>
          </w:cols>
          <w:pgMar w:left="320" w:top="688" w:right="339" w:bottom="1440" w:gutter="0" w:footer="0" w:header="0"/>
          <w:type w:val="continuous"/>
        </w:sectPr>
      </w:pPr>
    </w:p>
    <w:bookmarkStart w:id="184" w:name="page185"/>
    <w:bookmarkEnd w:id="184"/>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54610</wp:posOffset>
            </wp:positionV>
            <wp:extent cx="7132320" cy="825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p>
      <w:pPr>
        <w:spacing w:after="0" w:line="365" w:lineRule="exact"/>
        <w:rPr>
          <w:sz w:val="20"/>
          <w:szCs w:val="20"/>
          <w:color w:val="auto"/>
        </w:rPr>
      </w:pPr>
    </w:p>
    <w:p>
      <w:pPr>
        <w:ind w:left="340" w:hanging="332"/>
        <w:spacing w:after="0"/>
        <w:tabs>
          <w:tab w:leader="none" w:pos="340" w:val="left"/>
        </w:tabs>
        <w:numPr>
          <w:ilvl w:val="0"/>
          <w:numId w:val="18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35" w:lineRule="exact"/>
        <w:rPr>
          <w:sz w:val="20"/>
          <w:szCs w:val="20"/>
          <w:color w:val="auto"/>
        </w:rPr>
      </w:pPr>
    </w:p>
    <w:p>
      <w:pPr>
        <w:ind w:left="340" w:right="400"/>
        <w:spacing w:after="0" w:line="276" w:lineRule="auto"/>
        <w:rPr>
          <w:sz w:val="20"/>
          <w:szCs w:val="20"/>
          <w:color w:val="auto"/>
        </w:rPr>
      </w:pPr>
      <w:r>
        <w:rPr>
          <w:rFonts w:ascii="Arial" w:cs="Arial" w:eastAsia="Arial" w:hAnsi="Arial"/>
          <w:sz w:val="18"/>
          <w:szCs w:val="18"/>
          <w:b w:val="1"/>
          <w:bCs w:val="1"/>
          <w:color w:val="auto"/>
        </w:rPr>
        <w:t xml:space="preserve">Allowance for expected credit losses as of December 31, 2019 </w:t>
      </w:r>
      <w:r>
        <w:rPr>
          <w:rFonts w:ascii="Arial" w:cs="Arial" w:eastAsia="Arial" w:hAnsi="Arial"/>
          <w:sz w:val="18"/>
          <w:szCs w:val="18"/>
          <w:color w:val="auto"/>
        </w:rPr>
        <w:t>Transfer to lifetime expected credit losses</w:t>
      </w:r>
    </w:p>
    <w:p>
      <w:pPr>
        <w:spacing w:after="0" w:line="1" w:lineRule="exact"/>
        <w:rPr>
          <w:sz w:val="20"/>
          <w:szCs w:val="20"/>
          <w:color w:val="auto"/>
        </w:rPr>
      </w:pPr>
    </w:p>
    <w:p>
      <w:pPr>
        <w:ind w:left="340"/>
        <w:spacing w:after="0"/>
        <w:tabs>
          <w:tab w:leader="none" w:pos="3920" w:val="left"/>
        </w:tabs>
        <w:rPr>
          <w:sz w:val="20"/>
          <w:szCs w:val="20"/>
          <w:color w:val="auto"/>
        </w:rPr>
      </w:pPr>
      <w:r>
        <w:rPr>
          <w:rFonts w:ascii="Arial" w:cs="Arial" w:eastAsia="Arial" w:hAnsi="Arial"/>
          <w:sz w:val="18"/>
          <w:szCs w:val="18"/>
          <w:color w:val="auto"/>
        </w:rPr>
        <w:t>Net effect of changes in allowance for expected</w:t>
      </w:r>
      <w:r>
        <w:rPr>
          <w:sz w:val="20"/>
          <w:szCs w:val="20"/>
          <w:color w:val="auto"/>
        </w:rPr>
        <w:tab/>
      </w:r>
      <w:r>
        <w:rPr>
          <w:rFonts w:ascii="Arial" w:cs="Arial" w:eastAsia="Arial" w:hAnsi="Arial"/>
          <w:sz w:val="15"/>
          <w:szCs w:val="15"/>
          <w:color w:val="auto"/>
        </w:rPr>
        <w:t>credit losses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Financial instruments that have been derecognized during the year</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New financial assets originated or purchased</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Allowance for expected credit losses as of December 31, 2020</w:t>
      </w:r>
    </w:p>
    <w:p>
      <w:pPr>
        <w:spacing w:after="0" w:line="200" w:lineRule="exact"/>
        <w:rPr>
          <w:sz w:val="20"/>
          <w:szCs w:val="20"/>
          <w:color w:val="auto"/>
        </w:rPr>
      </w:pPr>
    </w:p>
    <w:p>
      <w:pPr>
        <w:spacing w:after="0" w:line="329"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Allowance for expected credit losses as of December 31, 2018</w:t>
      </w:r>
    </w:p>
    <w:p>
      <w:pPr>
        <w:spacing w:after="0" w:line="52" w:lineRule="exact"/>
        <w:rPr>
          <w:sz w:val="20"/>
          <w:szCs w:val="20"/>
          <w:color w:val="auto"/>
        </w:rPr>
      </w:pPr>
    </w:p>
    <w:p>
      <w:pPr>
        <w:ind w:left="340"/>
        <w:spacing w:after="0"/>
        <w:tabs>
          <w:tab w:leader="none" w:pos="3920" w:val="left"/>
        </w:tabs>
        <w:rPr>
          <w:sz w:val="20"/>
          <w:szCs w:val="20"/>
          <w:color w:val="auto"/>
        </w:rPr>
      </w:pPr>
      <w:r>
        <w:rPr>
          <w:rFonts w:ascii="Arial" w:cs="Arial" w:eastAsia="Arial" w:hAnsi="Arial"/>
          <w:sz w:val="18"/>
          <w:szCs w:val="18"/>
          <w:color w:val="auto"/>
        </w:rPr>
        <w:t>Net effect of changes in allowance for expected</w:t>
      </w:r>
      <w:r>
        <w:rPr>
          <w:sz w:val="20"/>
          <w:szCs w:val="20"/>
          <w:color w:val="auto"/>
        </w:rPr>
        <w:tab/>
      </w:r>
      <w:r>
        <w:rPr>
          <w:rFonts w:ascii="Arial" w:cs="Arial" w:eastAsia="Arial" w:hAnsi="Arial"/>
          <w:sz w:val="15"/>
          <w:szCs w:val="15"/>
          <w:color w:val="auto"/>
        </w:rPr>
        <w:t>credit losses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Financial instruments that have been derecognized during the year</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New financial assets originated or purchased</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Allowance for expected credit losses as of December 31, 2019</w:t>
      </w:r>
    </w:p>
    <w:p>
      <w:pPr>
        <w:spacing w:after="0" w:line="303" w:lineRule="exact"/>
        <w:rPr>
          <w:sz w:val="20"/>
          <w:szCs w:val="20"/>
          <w:color w:val="auto"/>
        </w:rPr>
      </w:pPr>
    </w:p>
    <w:p>
      <w:pPr>
        <w:ind w:left="340"/>
        <w:spacing w:after="0"/>
        <w:rPr>
          <w:sz w:val="20"/>
          <w:szCs w:val="20"/>
          <w:color w:val="auto"/>
        </w:rPr>
      </w:pPr>
      <w:r>
        <w:rPr>
          <w:rFonts w:ascii="Arial" w:cs="Arial" w:eastAsia="Arial" w:hAnsi="Arial"/>
          <w:sz w:val="16"/>
          <w:szCs w:val="16"/>
          <w:u w:val="single" w:color="auto"/>
          <w:color w:val="auto"/>
        </w:rPr>
        <w:t>Securities at fair value through other comprehensive income (FVOCI)</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920" w:type="dxa"/>
            <w:vAlign w:val="bottom"/>
          </w:tcPr>
          <w:p>
            <w:pPr>
              <w:ind w:left="320"/>
              <w:spacing w:after="0"/>
              <w:rPr>
                <w:sz w:val="20"/>
                <w:szCs w:val="20"/>
                <w:color w:val="auto"/>
              </w:rPr>
            </w:pPr>
            <w:r>
              <w:rPr>
                <w:rFonts w:ascii="Arial" w:cs="Arial" w:eastAsia="Arial" w:hAnsi="Arial"/>
                <w:sz w:val="18"/>
                <w:szCs w:val="18"/>
                <w:b w:val="1"/>
                <w:bCs w:val="1"/>
                <w:color w:val="auto"/>
                <w:w w:val="90"/>
              </w:rPr>
              <w:t>Stage 2</w:t>
            </w: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10"/>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w:t>
            </w:r>
          </w:p>
        </w:tc>
        <w:tc>
          <w:tcPr>
            <w:tcW w:w="200" w:type="dxa"/>
            <w:vAlign w:val="bottom"/>
          </w:tcPr>
          <w:p>
            <w:pPr>
              <w:spacing w:after="0"/>
              <w:rPr>
                <w:sz w:val="18"/>
                <w:szCs w:val="18"/>
                <w:color w:val="auto"/>
              </w:rPr>
            </w:pPr>
          </w:p>
        </w:tc>
        <w:tc>
          <w:tcPr>
            <w:tcW w:w="920" w:type="dxa"/>
            <w:vAlign w:val="bottom"/>
            <w:tcBorders>
              <w:top w:val="single" w:sz="8" w:color="auto"/>
              <w:bottom w:val="single" w:sz="8" w:color="auto"/>
            </w:tcBorders>
          </w:tcPr>
          <w:p>
            <w:pPr>
              <w:spacing w:after="0"/>
              <w:rPr>
                <w:sz w:val="18"/>
                <w:szCs w:val="18"/>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w:t>
            </w:r>
          </w:p>
        </w:tc>
        <w:tc>
          <w:tcPr>
            <w:tcW w:w="220" w:type="dxa"/>
            <w:vAlign w:val="bottom"/>
          </w:tcPr>
          <w:p>
            <w:pPr>
              <w:spacing w:after="0"/>
              <w:rPr>
                <w:sz w:val="18"/>
                <w:szCs w:val="18"/>
                <w:color w:val="auto"/>
              </w:rPr>
            </w:pPr>
          </w:p>
        </w:tc>
        <w:tc>
          <w:tcPr>
            <w:tcW w:w="10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(10)</w:t>
            </w:r>
          </w:p>
        </w:tc>
        <w:tc>
          <w:tcPr>
            <w:tcW w:w="2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80" w:type="dxa"/>
            <w:vAlign w:val="bottom"/>
          </w:tcPr>
          <w:p>
            <w:pPr>
              <w:jc w:val="right"/>
              <w:spacing w:after="0" w:line="195" w:lineRule="exact"/>
              <w:rPr>
                <w:sz w:val="20"/>
                <w:szCs w:val="20"/>
                <w:color w:val="auto"/>
              </w:rPr>
            </w:pPr>
            <w:r>
              <w:rPr>
                <w:rFonts w:ascii="Arial" w:cs="Arial" w:eastAsia="Arial" w:hAnsi="Arial"/>
                <w:sz w:val="18"/>
                <w:szCs w:val="18"/>
                <w:color w:val="auto"/>
              </w:rPr>
              <w:t>10</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6"/>
                <w:szCs w:val="16"/>
                <w:color w:val="auto"/>
              </w:rPr>
            </w:pPr>
          </w:p>
        </w:tc>
        <w:tc>
          <w:tcPr>
            <w:tcW w:w="12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w:t>
            </w:r>
          </w:p>
        </w:tc>
        <w:tc>
          <w:tcPr>
            <w:tcW w:w="40" w:type="dxa"/>
            <w:vAlign w:val="bottom"/>
          </w:tcPr>
          <w:p>
            <w:pPr>
              <w:spacing w:after="0"/>
              <w:rPr>
                <w:sz w:val="16"/>
                <w:szCs w:val="16"/>
                <w:color w:val="auto"/>
              </w:rPr>
            </w:pPr>
          </w:p>
        </w:tc>
      </w:tr>
      <w:tr>
        <w:trPr>
          <w:trHeight w:val="216"/>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15</w:t>
            </w:r>
          </w:p>
        </w:tc>
        <w:tc>
          <w:tcPr>
            <w:tcW w:w="920" w:type="dxa"/>
            <w:vAlign w:val="bottom"/>
          </w:tcPr>
          <w:p>
            <w:pPr>
              <w:spacing w:after="0"/>
              <w:rPr>
                <w:sz w:val="18"/>
                <w:szCs w:val="18"/>
                <w:color w:val="auto"/>
              </w:rPr>
            </w:pPr>
          </w:p>
        </w:tc>
        <w:tc>
          <w:tcPr>
            <w:tcW w:w="500" w:type="dxa"/>
            <w:vAlign w:val="bottom"/>
            <w:gridSpan w:val="2"/>
          </w:tcPr>
          <w:p>
            <w:pPr>
              <w:jc w:val="right"/>
              <w:ind w:right="220"/>
              <w:spacing w:after="0"/>
              <w:rPr>
                <w:sz w:val="20"/>
                <w:szCs w:val="20"/>
                <w:color w:val="auto"/>
              </w:rPr>
            </w:pPr>
            <w:r>
              <w:rPr>
                <w:rFonts w:ascii="Arial" w:cs="Arial" w:eastAsia="Arial" w:hAnsi="Arial"/>
                <w:sz w:val="18"/>
                <w:szCs w:val="18"/>
                <w:color w:val="auto"/>
              </w:rPr>
              <w:t>23</w:t>
            </w:r>
          </w:p>
        </w:tc>
        <w:tc>
          <w:tcPr>
            <w:tcW w:w="1000" w:type="dxa"/>
            <w:vAlign w:val="bottom"/>
          </w:tcPr>
          <w:p>
            <w:pPr>
              <w:spacing w:after="0"/>
              <w:rPr>
                <w:sz w:val="18"/>
                <w:szCs w:val="18"/>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38</w:t>
            </w:r>
          </w:p>
        </w:tc>
        <w:tc>
          <w:tcPr>
            <w:tcW w:w="40" w:type="dxa"/>
            <w:vAlign w:val="bottom"/>
          </w:tcPr>
          <w:p>
            <w:pPr>
              <w:spacing w:after="0"/>
              <w:rPr>
                <w:sz w:val="18"/>
                <w:szCs w:val="18"/>
                <w:color w:val="auto"/>
              </w:rPr>
            </w:pPr>
          </w:p>
        </w:tc>
      </w:tr>
      <w:tr>
        <w:trPr>
          <w:trHeight w:val="230"/>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(76)</w:t>
            </w:r>
          </w:p>
        </w:tc>
        <w:tc>
          <w:tcPr>
            <w:tcW w:w="920" w:type="dxa"/>
            <w:vAlign w:val="bottom"/>
          </w:tcPr>
          <w:p>
            <w:pPr>
              <w:spacing w:after="0"/>
              <w:rPr>
                <w:sz w:val="19"/>
                <w:szCs w:val="19"/>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8"/>
                <w:szCs w:val="18"/>
                <w:color w:val="auto"/>
                <w:w w:val="99"/>
              </w:rPr>
              <w:t>(10)</w:t>
            </w:r>
          </w:p>
        </w:tc>
        <w:tc>
          <w:tcPr>
            <w:tcW w:w="1000" w:type="dxa"/>
            <w:vAlign w:val="bottom"/>
          </w:tcPr>
          <w:p>
            <w:pPr>
              <w:spacing w:after="0"/>
              <w:rPr>
                <w:sz w:val="19"/>
                <w:szCs w:val="19"/>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(86)</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430</w:t>
            </w:r>
          </w:p>
        </w:tc>
        <w:tc>
          <w:tcPr>
            <w:tcW w:w="920" w:type="dxa"/>
            <w:vAlign w:val="bottom"/>
          </w:tcPr>
          <w:p>
            <w:pPr>
              <w:spacing w:after="0"/>
              <w:rPr>
                <w:sz w:val="20"/>
                <w:szCs w:val="20"/>
                <w:color w:val="auto"/>
              </w:rPr>
            </w:pPr>
          </w:p>
        </w:tc>
        <w:tc>
          <w:tcPr>
            <w:tcW w:w="5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spacing w:after="0"/>
              <w:rPr>
                <w:sz w:val="20"/>
                <w:szCs w:val="20"/>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430</w:t>
            </w:r>
          </w:p>
        </w:tc>
        <w:tc>
          <w:tcPr>
            <w:tcW w:w="40" w:type="dxa"/>
            <w:vAlign w:val="bottom"/>
          </w:tcPr>
          <w:p>
            <w:pPr>
              <w:spacing w:after="0"/>
              <w:rPr>
                <w:sz w:val="20"/>
                <w:szCs w:val="20"/>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462</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spacing w:after="0"/>
              <w:rPr>
                <w:sz w:val="19"/>
                <w:szCs w:val="19"/>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920" w:type="dxa"/>
            <w:vAlign w:val="bottom"/>
          </w:tcPr>
          <w:p>
            <w:pPr>
              <w:ind w:left="320"/>
              <w:spacing w:after="0"/>
              <w:rPr>
                <w:sz w:val="20"/>
                <w:szCs w:val="20"/>
                <w:color w:val="auto"/>
              </w:rPr>
            </w:pPr>
            <w:r>
              <w:rPr>
                <w:rFonts w:ascii="Arial" w:cs="Arial" w:eastAsia="Arial" w:hAnsi="Arial"/>
                <w:sz w:val="18"/>
                <w:szCs w:val="18"/>
                <w:b w:val="1"/>
                <w:bCs w:val="1"/>
                <w:color w:val="auto"/>
                <w:w w:val="90"/>
              </w:rPr>
              <w:t>Stage 2</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09"/>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w:t>
            </w:r>
          </w:p>
        </w:tc>
        <w:tc>
          <w:tcPr>
            <w:tcW w:w="200" w:type="dxa"/>
            <w:vAlign w:val="bottom"/>
          </w:tcPr>
          <w:p>
            <w:pPr>
              <w:spacing w:after="0"/>
              <w:rPr>
                <w:sz w:val="18"/>
                <w:szCs w:val="18"/>
                <w:color w:val="auto"/>
              </w:rPr>
            </w:pPr>
          </w:p>
        </w:tc>
        <w:tc>
          <w:tcPr>
            <w:tcW w:w="920" w:type="dxa"/>
            <w:vAlign w:val="bottom"/>
            <w:tcBorders>
              <w:top w:val="single" w:sz="8" w:color="auto"/>
              <w:bottom w:val="single" w:sz="8" w:color="auto"/>
            </w:tcBorders>
          </w:tcPr>
          <w:p>
            <w:pPr>
              <w:spacing w:after="0"/>
              <w:rPr>
                <w:sz w:val="18"/>
                <w:szCs w:val="18"/>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220" w:type="dxa"/>
            <w:vAlign w:val="bottom"/>
          </w:tcPr>
          <w:p>
            <w:pPr>
              <w:spacing w:after="0"/>
              <w:rPr>
                <w:sz w:val="18"/>
                <w:szCs w:val="18"/>
                <w:color w:val="auto"/>
              </w:rPr>
            </w:pPr>
          </w:p>
        </w:tc>
        <w:tc>
          <w:tcPr>
            <w:tcW w:w="10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195"/>
        </w:trPr>
        <w:tc>
          <w:tcPr>
            <w:tcW w:w="1400" w:type="dxa"/>
            <w:vAlign w:val="bottom"/>
            <w:gridSpan w:val="2"/>
          </w:tcPr>
          <w:p>
            <w:pPr>
              <w:jc w:val="right"/>
              <w:ind w:right="140"/>
              <w:spacing w:after="0" w:line="195" w:lineRule="exact"/>
              <w:rPr>
                <w:sz w:val="20"/>
                <w:szCs w:val="20"/>
                <w:color w:val="auto"/>
              </w:rPr>
            </w:pPr>
            <w:r>
              <w:rPr>
                <w:rFonts w:ascii="Arial" w:cs="Arial" w:eastAsia="Arial" w:hAnsi="Arial"/>
                <w:sz w:val="18"/>
                <w:szCs w:val="18"/>
                <w:color w:val="auto"/>
              </w:rPr>
              <w:t>(1)</w:t>
            </w:r>
          </w:p>
        </w:tc>
        <w:tc>
          <w:tcPr>
            <w:tcW w:w="920" w:type="dxa"/>
            <w:vAlign w:val="bottom"/>
          </w:tcPr>
          <w:p>
            <w:pPr>
              <w:spacing w:after="0"/>
              <w:rPr>
                <w:sz w:val="16"/>
                <w:szCs w:val="16"/>
                <w:color w:val="auto"/>
              </w:rPr>
            </w:pPr>
          </w:p>
        </w:tc>
        <w:tc>
          <w:tcPr>
            <w:tcW w:w="280" w:type="dxa"/>
            <w:vAlign w:val="bottom"/>
          </w:tcPr>
          <w:p>
            <w:pPr>
              <w:jc w:val="right"/>
              <w:spacing w:after="0" w:line="195" w:lineRule="exact"/>
              <w:rPr>
                <w:sz w:val="20"/>
                <w:szCs w:val="20"/>
                <w:color w:val="auto"/>
              </w:rPr>
            </w:pPr>
            <w:r>
              <w:rPr>
                <w:rFonts w:ascii="Arial" w:cs="Arial" w:eastAsia="Arial" w:hAnsi="Arial"/>
                <w:sz w:val="18"/>
                <w:szCs w:val="18"/>
                <w:color w:val="auto"/>
                <w:w w:val="81"/>
              </w:rPr>
              <w:t>(17)</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jc w:val="right"/>
              <w:spacing w:after="0" w:line="195" w:lineRule="exact"/>
              <w:rPr>
                <w:sz w:val="20"/>
                <w:szCs w:val="20"/>
                <w:color w:val="auto"/>
              </w:rPr>
            </w:pPr>
            <w:r>
              <w:rPr>
                <w:rFonts w:ascii="Arial" w:cs="Arial" w:eastAsia="Arial" w:hAnsi="Arial"/>
                <w:sz w:val="18"/>
                <w:szCs w:val="18"/>
                <w:color w:val="auto"/>
              </w:rPr>
              <w:t>-</w:t>
            </w:r>
          </w:p>
        </w:tc>
        <w:tc>
          <w:tcPr>
            <w:tcW w:w="220" w:type="dxa"/>
            <w:vAlign w:val="bottom"/>
          </w:tcPr>
          <w:p>
            <w:pPr>
              <w:spacing w:after="0"/>
              <w:rPr>
                <w:sz w:val="16"/>
                <w:szCs w:val="16"/>
                <w:color w:val="auto"/>
              </w:rPr>
            </w:pPr>
          </w:p>
        </w:tc>
        <w:tc>
          <w:tcPr>
            <w:tcW w:w="1200" w:type="dxa"/>
            <w:vAlign w:val="bottom"/>
            <w:gridSpan w:val="2"/>
          </w:tcPr>
          <w:p>
            <w:pPr>
              <w:jc w:val="right"/>
              <w:ind w:right="20"/>
              <w:spacing w:after="0" w:line="195" w:lineRule="exact"/>
              <w:rPr>
                <w:sz w:val="20"/>
                <w:szCs w:val="20"/>
                <w:color w:val="auto"/>
              </w:rPr>
            </w:pPr>
            <w:r>
              <w:rPr>
                <w:rFonts w:ascii="Arial" w:cs="Arial" w:eastAsia="Arial" w:hAnsi="Arial"/>
                <w:sz w:val="18"/>
                <w:szCs w:val="18"/>
                <w:color w:val="auto"/>
              </w:rPr>
              <w:t>(18)</w:t>
            </w:r>
          </w:p>
        </w:tc>
        <w:tc>
          <w:tcPr>
            <w:tcW w:w="40" w:type="dxa"/>
            <w:vAlign w:val="bottom"/>
          </w:tcPr>
          <w:p>
            <w:pPr>
              <w:spacing w:after="0"/>
              <w:rPr>
                <w:sz w:val="16"/>
                <w:szCs w:val="16"/>
                <w:color w:val="auto"/>
              </w:rPr>
            </w:pPr>
          </w:p>
        </w:tc>
      </w:tr>
      <w:tr>
        <w:trPr>
          <w:trHeight w:val="230"/>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(46)</w:t>
            </w:r>
          </w:p>
        </w:tc>
        <w:tc>
          <w:tcPr>
            <w:tcW w:w="920" w:type="dxa"/>
            <w:vAlign w:val="bottom"/>
          </w:tcPr>
          <w:p>
            <w:pPr>
              <w:spacing w:after="0"/>
              <w:rPr>
                <w:sz w:val="19"/>
                <w:szCs w:val="19"/>
                <w:color w:val="auto"/>
              </w:rPr>
            </w:pPr>
          </w:p>
        </w:tc>
        <w:tc>
          <w:tcPr>
            <w:tcW w:w="5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spacing w:after="0"/>
              <w:rPr>
                <w:sz w:val="19"/>
                <w:szCs w:val="19"/>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(46)</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w:t>
            </w:r>
          </w:p>
        </w:tc>
        <w:tc>
          <w:tcPr>
            <w:tcW w:w="920" w:type="dxa"/>
            <w:vAlign w:val="bottom"/>
          </w:tcPr>
          <w:p>
            <w:pPr>
              <w:spacing w:after="0"/>
              <w:rPr>
                <w:sz w:val="20"/>
                <w:szCs w:val="20"/>
                <w:color w:val="auto"/>
              </w:rPr>
            </w:pPr>
          </w:p>
        </w:tc>
        <w:tc>
          <w:tcPr>
            <w:tcW w:w="5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spacing w:after="0"/>
              <w:rPr>
                <w:sz w:val="20"/>
                <w:szCs w:val="20"/>
                <w:color w:val="auto"/>
              </w:rPr>
            </w:pPr>
          </w:p>
        </w:tc>
        <w:tc>
          <w:tcPr>
            <w:tcW w:w="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37</w:t>
            </w:r>
          </w:p>
        </w:tc>
        <w:tc>
          <w:tcPr>
            <w:tcW w:w="40" w:type="dxa"/>
            <w:vAlign w:val="bottom"/>
          </w:tcPr>
          <w:p>
            <w:pPr>
              <w:spacing w:after="0"/>
              <w:rPr>
                <w:sz w:val="20"/>
                <w:szCs w:val="20"/>
                <w:color w:val="auto"/>
              </w:rPr>
            </w:pP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103</w:t>
            </w:r>
          </w:p>
        </w:tc>
        <w:tc>
          <w:tcPr>
            <w:tcW w:w="200" w:type="dxa"/>
            <w:vAlign w:val="bottom"/>
          </w:tcPr>
          <w:p>
            <w:pPr>
              <w:spacing w:after="0"/>
              <w:rPr>
                <w:sz w:val="19"/>
                <w:szCs w:val="19"/>
                <w:color w:val="auto"/>
              </w:rPr>
            </w:pPr>
          </w:p>
        </w:tc>
        <w:tc>
          <w:tcPr>
            <w:tcW w:w="920" w:type="dxa"/>
            <w:vAlign w:val="bottom"/>
            <w:tcBorders>
              <w:top w:val="single" w:sz="8" w:color="auto"/>
              <w:bottom w:val="single" w:sz="8" w:color="auto"/>
            </w:tcBorders>
          </w:tcPr>
          <w:p>
            <w:pPr>
              <w:spacing w:after="0"/>
              <w:rPr>
                <w:sz w:val="19"/>
                <w:szCs w:val="19"/>
                <w:color w:val="auto"/>
              </w:rPr>
            </w:pPr>
          </w:p>
        </w:tc>
        <w:tc>
          <w:tcPr>
            <w:tcW w:w="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113</w:t>
            </w:r>
          </w:p>
        </w:tc>
        <w:tc>
          <w:tcPr>
            <w:tcW w:w="2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r>
      <w:tr>
        <w:trPr>
          <w:trHeight w:val="856"/>
        </w:trPr>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920" w:type="dxa"/>
            <w:vAlign w:val="bottom"/>
          </w:tcPr>
          <w:p>
            <w:pPr>
              <w:ind w:left="320"/>
              <w:spacing w:after="0"/>
              <w:rPr>
                <w:sz w:val="20"/>
                <w:szCs w:val="20"/>
                <w:color w:val="auto"/>
              </w:rPr>
            </w:pPr>
            <w:r>
              <w:rPr>
                <w:rFonts w:ascii="Arial" w:cs="Arial" w:eastAsia="Arial" w:hAnsi="Arial"/>
                <w:sz w:val="18"/>
                <w:szCs w:val="18"/>
                <w:b w:val="1"/>
                <w:bCs w:val="1"/>
                <w:color w:val="auto"/>
                <w:w w:val="90"/>
              </w:rPr>
              <w:t>Stage 2</w:t>
            </w:r>
          </w:p>
        </w:tc>
        <w:tc>
          <w:tcPr>
            <w:tcW w:w="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-3357245</wp:posOffset>
            </wp:positionH>
            <wp:positionV relativeFrom="paragraph">
              <wp:posOffset>-2484120</wp:posOffset>
            </wp:positionV>
            <wp:extent cx="6840855" cy="14605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2">
                      <a:extLst>
                        <a:ext uri="{28A0092B-C50C-407E-A947-70E740481C1C}"/>
                      </a:extLst>
                    </a:blip>
                    <a:srcRect/>
                    <a:stretch>
                      <a:fillRect/>
                    </a:stretch>
                  </pic:blipFill>
                  <pic:spPr bwMode="auto">
                    <a:xfrm>
                      <a:off x="0" y="0"/>
                      <a:ext cx="6840855" cy="14605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-2192655</wp:posOffset>
            </wp:positionV>
            <wp:extent cx="6840855" cy="13716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3">
                      <a:extLst>
                        <a:ext uri="{28A0092B-C50C-407E-A947-70E740481C1C}"/>
                      </a:extLst>
                    </a:blip>
                    <a:srcRect/>
                    <a:stretch>
                      <a:fillRect/>
                    </a:stretch>
                  </pic:blipFill>
                  <pic:spPr bwMode="auto">
                    <a:xfrm>
                      <a:off x="0" y="0"/>
                      <a:ext cx="6840855" cy="13716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-1918335</wp:posOffset>
            </wp:positionV>
            <wp:extent cx="6840855" cy="1460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4">
                      <a:extLst>
                        <a:ext uri="{28A0092B-C50C-407E-A947-70E740481C1C}"/>
                      </a:extLst>
                    </a:blip>
                    <a:srcRect/>
                    <a:stretch>
                      <a:fillRect/>
                    </a:stretch>
                  </pic:blipFill>
                  <pic:spPr bwMode="auto">
                    <a:xfrm>
                      <a:off x="0" y="0"/>
                      <a:ext cx="6840855" cy="14605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-1309370</wp:posOffset>
            </wp:positionV>
            <wp:extent cx="6840855" cy="14541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5">
                      <a:extLst>
                        <a:ext uri="{28A0092B-C50C-407E-A947-70E740481C1C}"/>
                      </a:extLst>
                    </a:blip>
                    <a:srcRect/>
                    <a:stretch>
                      <a:fillRect/>
                    </a:stretch>
                  </pic:blipFill>
                  <pic:spPr bwMode="auto">
                    <a:xfrm>
                      <a:off x="0" y="0"/>
                      <a:ext cx="6840855" cy="145415"/>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-1018540</wp:posOffset>
            </wp:positionV>
            <wp:extent cx="6840855" cy="13716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6">
                      <a:extLst>
                        <a:ext uri="{28A0092B-C50C-407E-A947-70E740481C1C}"/>
                      </a:extLst>
                    </a:blip>
                    <a:srcRect/>
                    <a:stretch>
                      <a:fillRect/>
                    </a:stretch>
                  </pic:blipFill>
                  <pic:spPr bwMode="auto">
                    <a:xfrm>
                      <a:off x="0" y="0"/>
                      <a:ext cx="6840855" cy="137160"/>
                    </a:xfrm>
                    <a:prstGeom prst="rect">
                      <a:avLst/>
                    </a:prstGeom>
                    <a:noFill/>
                  </pic:spPr>
                </pic:pic>
              </a:graphicData>
            </a:graphic>
          </wp:anchor>
        </w:drawing>
        <w:drawing>
          <wp:anchor simplePos="0" relativeHeight="251657728" behindDoc="1" locked="0" layoutInCell="0" allowOverlap="1">
            <wp:simplePos x="0" y="0"/>
            <wp:positionH relativeFrom="column">
              <wp:posOffset>-3357245</wp:posOffset>
            </wp:positionH>
            <wp:positionV relativeFrom="paragraph">
              <wp:posOffset>-735330</wp:posOffset>
            </wp:positionV>
            <wp:extent cx="6840855" cy="16319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7">
                      <a:extLst>
                        <a:ext uri="{28A0092B-C50C-407E-A947-70E740481C1C}"/>
                      </a:extLst>
                    </a:blip>
                    <a:srcRect/>
                    <a:stretch>
                      <a:fillRect/>
                    </a:stretch>
                  </pic:blipFill>
                  <pic:spPr bwMode="auto">
                    <a:xfrm>
                      <a:off x="0" y="0"/>
                      <a:ext cx="6840855" cy="163195"/>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5380" w:space="240"/>
            <w:col w:w="5620"/>
          </w:cols>
          <w:pgMar w:left="320" w:top="688" w:right="339" w:bottom="1440" w:gutter="0" w:footer="0" w:header="0"/>
          <w:type w:val="continuous"/>
        </w:sectPr>
      </w:pPr>
    </w:p>
    <w:tbl>
      <w:tblPr>
        <w:tblLayout w:type="fixed"/>
        <w:tblInd w:w="0" w:type="dxa"/>
        <w:tblCellMar>
          <w:top w:w="0" w:type="dxa"/>
          <w:left w:w="0" w:type="dxa"/>
          <w:bottom w:w="0" w:type="dxa"/>
          <w:right w:w="0" w:type="dxa"/>
        </w:tblCellMar>
      </w:tblPr>
      <w:tr>
        <w:trPr>
          <w:trHeight w:val="212"/>
        </w:trPr>
        <w:tc>
          <w:tcPr>
            <w:tcW w:w="340" w:type="dxa"/>
            <w:vAlign w:val="bottom"/>
          </w:tcPr>
          <w:p>
            <w:pPr>
              <w:spacing w:after="0"/>
              <w:rPr>
                <w:sz w:val="18"/>
                <w:szCs w:val="18"/>
                <w:color w:val="auto"/>
              </w:rPr>
            </w:pPr>
          </w:p>
        </w:tc>
        <w:tc>
          <w:tcPr>
            <w:tcW w:w="3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87"/>
              </w:rPr>
              <w:t>Allowance for expected credit losses as of</w:t>
            </w:r>
          </w:p>
        </w:tc>
        <w:tc>
          <w:tcPr>
            <w:tcW w:w="1740" w:type="dxa"/>
            <w:vAlign w:val="bottom"/>
            <w:tcBorders>
              <w:top w:val="single" w:sz="8" w:color="CCEEFF"/>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December 31, 2019</w:t>
            </w:r>
          </w:p>
        </w:tc>
        <w:tc>
          <w:tcPr>
            <w:tcW w:w="3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49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w w:val="92"/>
              </w:rPr>
              <w:t>Financial instruments that have been derecognized during the year</w:t>
            </w:r>
          </w:p>
        </w:tc>
        <w:tc>
          <w:tcPr>
            <w:tcW w:w="34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8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3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87"/>
              </w:rPr>
              <w:t>Allowance for expected credit losses as of</w:t>
            </w:r>
          </w:p>
        </w:tc>
        <w:tc>
          <w:tcPr>
            <w:tcW w:w="1740" w:type="dxa"/>
            <w:vAlign w:val="bottom"/>
            <w:tcBorders>
              <w:bottom w:val="single" w:sz="8" w:color="CCEEFF"/>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December 31, 2020</w:t>
            </w:r>
          </w:p>
        </w:tc>
        <w:tc>
          <w:tcPr>
            <w:tcW w:w="34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8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174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419"/>
        </w:trPr>
        <w:tc>
          <w:tcPr>
            <w:tcW w:w="34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gridSpan w:val="3"/>
          </w:tcPr>
          <w:p>
            <w:pPr>
              <w:ind w:left="180"/>
              <w:spacing w:after="0"/>
              <w:rPr>
                <w:sz w:val="20"/>
                <w:szCs w:val="20"/>
                <w:color w:val="auto"/>
              </w:rPr>
            </w:pPr>
            <w:r>
              <w:rPr>
                <w:rFonts w:ascii="Arial" w:cs="Arial" w:eastAsia="Arial" w:hAnsi="Arial"/>
                <w:sz w:val="18"/>
                <w:szCs w:val="18"/>
                <w:color w:val="auto"/>
              </w:rPr>
              <w:t>F-49</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type w:val="continuous"/>
        </w:sectPr>
      </w:pPr>
    </w:p>
    <w:bookmarkStart w:id="185" w:name="page186"/>
    <w:bookmarkEnd w:id="18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8820" w:hanging="332"/>
        <w:spacing w:after="0" w:line="532" w:lineRule="auto"/>
        <w:tabs>
          <w:tab w:leader="none" w:pos="340" w:val="left"/>
        </w:tabs>
        <w:numPr>
          <w:ilvl w:val="0"/>
          <w:numId w:val="190"/>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200" w:type="dxa"/>
            <w:vAlign w:val="bottom"/>
          </w:tcPr>
          <w:p>
            <w:pPr>
              <w:spacing w:after="0"/>
              <w:rPr>
                <w:sz w:val="20"/>
                <w:szCs w:val="20"/>
                <w:color w:val="auto"/>
              </w:rPr>
            </w:pPr>
          </w:p>
        </w:tc>
        <w:tc>
          <w:tcPr>
            <w:tcW w:w="2080" w:type="dxa"/>
            <w:vAlign w:val="bottom"/>
          </w:tcPr>
          <w:p>
            <w:pPr>
              <w:spacing w:after="0"/>
              <w:rPr>
                <w:sz w:val="20"/>
                <w:szCs w:val="20"/>
                <w:color w:val="auto"/>
              </w:rPr>
            </w:pPr>
          </w:p>
        </w:tc>
        <w:tc>
          <w:tcPr>
            <w:tcW w:w="920" w:type="dxa"/>
            <w:vAlign w:val="bottom"/>
          </w:tcPr>
          <w:p>
            <w:pPr>
              <w:ind w:left="320"/>
              <w:spacing w:after="0"/>
              <w:rPr>
                <w:sz w:val="20"/>
                <w:szCs w:val="20"/>
                <w:color w:val="auto"/>
              </w:rPr>
            </w:pPr>
            <w:r>
              <w:rPr>
                <w:rFonts w:ascii="Arial" w:cs="Arial" w:eastAsia="Arial" w:hAnsi="Arial"/>
                <w:sz w:val="18"/>
                <w:szCs w:val="18"/>
                <w:b w:val="1"/>
                <w:bCs w:val="1"/>
                <w:color w:val="auto"/>
                <w:w w:val="90"/>
              </w:rPr>
              <w:t>Stage 1</w:t>
            </w: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20" w:type="dxa"/>
            <w:vAlign w:val="bottom"/>
            <w:gridSpan w:val="2"/>
          </w:tcPr>
          <w:p>
            <w:pPr>
              <w:jc w:val="right"/>
              <w:ind w:right="461"/>
              <w:spacing w:after="0"/>
              <w:rPr>
                <w:sz w:val="20"/>
                <w:szCs w:val="20"/>
                <w:color w:val="auto"/>
              </w:rPr>
            </w:pPr>
            <w:r>
              <w:rPr>
                <w:rFonts w:ascii="Arial" w:cs="Arial" w:eastAsia="Arial" w:hAnsi="Arial"/>
                <w:sz w:val="18"/>
                <w:szCs w:val="18"/>
                <w:b w:val="1"/>
                <w:bCs w:val="1"/>
                <w:color w:val="auto"/>
              </w:rPr>
              <w:t>Stage 2</w:t>
            </w:r>
          </w:p>
        </w:tc>
        <w:tc>
          <w:tcPr>
            <w:tcW w:w="1000" w:type="dxa"/>
            <w:vAlign w:val="bottom"/>
          </w:tcPr>
          <w:p>
            <w:pPr>
              <w:ind w:left="300"/>
              <w:spacing w:after="0"/>
              <w:rPr>
                <w:sz w:val="20"/>
                <w:szCs w:val="20"/>
                <w:color w:val="auto"/>
              </w:rPr>
            </w:pPr>
            <w:r>
              <w:rPr>
                <w:rFonts w:ascii="Arial" w:cs="Arial" w:eastAsia="Arial" w:hAnsi="Arial"/>
                <w:sz w:val="18"/>
                <w:szCs w:val="18"/>
                <w:b w:val="1"/>
                <w:bCs w:val="1"/>
                <w:color w:val="auto"/>
              </w:rPr>
              <w:t>Stage 3</w:t>
            </w:r>
          </w:p>
        </w:tc>
        <w:tc>
          <w:tcPr>
            <w:tcW w:w="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60" w:type="dxa"/>
            <w:vAlign w:val="bottom"/>
            <w:gridSpan w:val="2"/>
          </w:tcPr>
          <w:p>
            <w:pPr>
              <w:jc w:val="right"/>
              <w:ind w:right="401"/>
              <w:spacing w:after="0"/>
              <w:rPr>
                <w:sz w:val="20"/>
                <w:szCs w:val="20"/>
                <w:color w:val="auto"/>
              </w:rPr>
            </w:pPr>
            <w:r>
              <w:rPr>
                <w:rFonts w:ascii="Arial" w:cs="Arial" w:eastAsia="Arial" w:hAnsi="Arial"/>
                <w:sz w:val="18"/>
                <w:szCs w:val="18"/>
                <w:b w:val="1"/>
                <w:bCs w:val="1"/>
                <w:color w:val="auto"/>
              </w:rPr>
              <w:t>Total</w:t>
            </w:r>
          </w:p>
        </w:tc>
      </w:tr>
      <w:tr>
        <w:trPr>
          <w:trHeight w:val="209"/>
        </w:trPr>
        <w:tc>
          <w:tcPr>
            <w:tcW w:w="3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87"/>
              </w:rPr>
              <w:t>Allowance for expected credit losses as of</w:t>
            </w:r>
          </w:p>
        </w:tc>
        <w:tc>
          <w:tcPr>
            <w:tcW w:w="2080" w:type="dxa"/>
            <w:vAlign w:val="bottom"/>
            <w:tcBorders>
              <w:top w:val="single" w:sz="8" w:color="CCEEFF"/>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December 31, 2018</w:t>
            </w: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w:t>
            </w:r>
          </w:p>
        </w:tc>
        <w:tc>
          <w:tcPr>
            <w:tcW w:w="80" w:type="dxa"/>
            <w:vAlign w:val="bottom"/>
            <w:tcBorders>
              <w:top w:val="single" w:sz="8" w:color="CCEEFF"/>
            </w:tcBorders>
            <w:shd w:val="clear" w:color="auto" w:fill="CCEEFF"/>
          </w:tcPr>
          <w:p>
            <w:pPr>
              <w:spacing w:after="0"/>
              <w:rPr>
                <w:sz w:val="18"/>
                <w:szCs w:val="18"/>
                <w:color w:val="auto"/>
              </w:rPr>
            </w:pPr>
          </w:p>
        </w:tc>
      </w:tr>
      <w:tr>
        <w:trPr>
          <w:trHeight w:val="209"/>
        </w:trPr>
        <w:tc>
          <w:tcPr>
            <w:tcW w:w="52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w w:val="98"/>
              </w:rPr>
              <w:t>Financial instruments that have been derecognized during the year</w:t>
            </w:r>
          </w:p>
        </w:tc>
        <w:tc>
          <w:tcPr>
            <w:tcW w:w="920" w:type="dxa"/>
            <w:vAlign w:val="bottom"/>
            <w:tcBorders>
              <w:bottom w:val="single" w:sz="8" w:color="auto"/>
            </w:tcBorders>
          </w:tcPr>
          <w:p>
            <w:pPr>
              <w:spacing w:after="0"/>
              <w:rPr>
                <w:sz w:val="18"/>
                <w:szCs w:val="18"/>
                <w:color w:val="auto"/>
              </w:rPr>
            </w:pPr>
          </w:p>
        </w:tc>
        <w:tc>
          <w:tcPr>
            <w:tcW w:w="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9"/>
              </w:rPr>
              <w:t>(33</w:t>
            </w:r>
          </w:p>
        </w:tc>
        <w:tc>
          <w:tcPr>
            <w:tcW w:w="200" w:type="dxa"/>
            <w:vAlign w:val="bottom"/>
            <w:tcBorders>
              <w:bottom w:val="single" w:sz="8" w:color="CCEEFF"/>
            </w:tcBorders>
          </w:tcPr>
          <w:p>
            <w:pPr>
              <w:jc w:val="right"/>
              <w:ind w:right="61"/>
              <w:spacing w:after="0"/>
              <w:rPr>
                <w:sz w:val="20"/>
                <w:szCs w:val="20"/>
                <w:color w:val="auto"/>
              </w:rPr>
            </w:pPr>
            <w:r>
              <w:rPr>
                <w:rFonts w:ascii="Arial" w:cs="Arial" w:eastAsia="Arial" w:hAnsi="Arial"/>
                <w:sz w:val="16"/>
                <w:szCs w:val="16"/>
                <w:color w:val="auto"/>
                <w:w w:val="7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w:t>
            </w:r>
          </w:p>
        </w:tc>
        <w:tc>
          <w:tcPr>
            <w:tcW w:w="220" w:type="dxa"/>
            <w:vAlign w:val="bottom"/>
            <w:tcBorders>
              <w:bottom w:val="single" w:sz="8" w:color="CCEEFF"/>
            </w:tcBorders>
          </w:tcPr>
          <w:p>
            <w:pPr>
              <w:jc w:val="right"/>
              <w:ind w:right="81"/>
              <w:spacing w:after="0"/>
              <w:rPr>
                <w:sz w:val="20"/>
                <w:szCs w:val="20"/>
                <w:color w:val="auto"/>
              </w:rPr>
            </w:pPr>
            <w:r>
              <w:rPr>
                <w:rFonts w:ascii="Arial" w:cs="Arial" w:eastAsia="Arial" w:hAnsi="Arial"/>
                <w:sz w:val="16"/>
                <w:szCs w:val="16"/>
                <w:color w:val="auto"/>
                <w:w w:val="74"/>
              </w:rPr>
              <w:t>)</w:t>
            </w:r>
          </w:p>
        </w:tc>
        <w:tc>
          <w:tcPr>
            <w:tcW w:w="100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w:t>
            </w:r>
          </w:p>
        </w:tc>
        <w:tc>
          <w:tcPr>
            <w:tcW w:w="8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32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87"/>
              </w:rPr>
              <w:t>Allowance for expected credit losses as of</w:t>
            </w:r>
          </w:p>
        </w:tc>
        <w:tc>
          <w:tcPr>
            <w:tcW w:w="2080" w:type="dxa"/>
            <w:vAlign w:val="bottom"/>
            <w:tcBorders>
              <w:bottom w:val="single" w:sz="8" w:color="CCEEFF"/>
            </w:tcBorders>
            <w:shd w:val="clear" w:color="auto" w:fill="CCEEFF"/>
          </w:tcPr>
          <w:p>
            <w:pPr>
              <w:ind w:left="40"/>
              <w:spacing w:after="0"/>
              <w:rPr>
                <w:sz w:val="20"/>
                <w:szCs w:val="20"/>
                <w:color w:val="auto"/>
              </w:rPr>
            </w:pPr>
            <w:r>
              <w:rPr>
                <w:rFonts w:ascii="Arial" w:cs="Arial" w:eastAsia="Arial" w:hAnsi="Arial"/>
                <w:sz w:val="18"/>
                <w:szCs w:val="18"/>
                <w:b w:val="1"/>
                <w:bCs w:val="1"/>
                <w:color w:val="auto"/>
              </w:rPr>
              <w:t>December 31, 2019</w:t>
            </w:r>
          </w:p>
        </w:tc>
        <w:tc>
          <w:tcPr>
            <w:tcW w:w="920" w:type="dxa"/>
            <w:vAlign w:val="bottom"/>
            <w:tcBorders>
              <w:bottom w:val="single" w:sz="8" w:color="auto"/>
            </w:tcBorders>
            <w:shd w:val="clear" w:color="auto" w:fill="CCEEFF"/>
          </w:tcPr>
          <w:p>
            <w:pPr>
              <w:spacing w:after="0"/>
              <w:rPr>
                <w:sz w:val="19"/>
                <w:szCs w:val="19"/>
                <w:color w:val="auto"/>
              </w:rPr>
            </w:pPr>
          </w:p>
        </w:tc>
        <w:tc>
          <w:tcPr>
            <w:tcW w:w="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3200" w:type="dxa"/>
            <w:vAlign w:val="bottom"/>
          </w:tcPr>
          <w:p>
            <w:pPr>
              <w:spacing w:after="0" w:line="20" w:lineRule="exact"/>
              <w:rPr>
                <w:sz w:val="1"/>
                <w:szCs w:val="1"/>
                <w:color w:val="auto"/>
              </w:rPr>
            </w:pPr>
          </w:p>
        </w:tc>
        <w:tc>
          <w:tcPr>
            <w:tcW w:w="20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a reconciliation between:</w:t>
      </w:r>
    </w:p>
    <w:p>
      <w:pPr>
        <w:spacing w:after="0" w:line="225" w:lineRule="exact"/>
        <w:rPr>
          <w:sz w:val="20"/>
          <w:szCs w:val="20"/>
          <w:color w:val="auto"/>
        </w:rPr>
      </w:pPr>
    </w:p>
    <w:p>
      <w:pPr>
        <w:ind w:left="1140" w:hanging="322"/>
        <w:spacing w:after="0"/>
        <w:tabs>
          <w:tab w:leader="none" w:pos="1140" w:val="left"/>
        </w:tabs>
        <w:numPr>
          <w:ilvl w:val="0"/>
          <w:numId w:val="191"/>
        </w:numPr>
        <w:rPr>
          <w:rFonts w:ascii="Arial" w:cs="Arial" w:eastAsia="Arial" w:hAnsi="Arial"/>
          <w:sz w:val="16"/>
          <w:szCs w:val="16"/>
          <w:color w:val="auto"/>
        </w:rPr>
      </w:pPr>
      <w:r>
        <w:rPr>
          <w:rFonts w:ascii="Arial" w:cs="Arial" w:eastAsia="Arial" w:hAnsi="Arial"/>
          <w:sz w:val="16"/>
          <w:szCs w:val="16"/>
          <w:color w:val="auto"/>
        </w:rPr>
        <w:t>Amounts shown in the previous tables reconciling opening and closing balances of loss allowance per class of financial instrument; and</w:t>
      </w:r>
    </w:p>
    <w:p>
      <w:pPr>
        <w:spacing w:after="0" w:line="248" w:lineRule="exact"/>
        <w:rPr>
          <w:rFonts w:ascii="Arial" w:cs="Arial" w:eastAsia="Arial" w:hAnsi="Arial"/>
          <w:sz w:val="16"/>
          <w:szCs w:val="16"/>
          <w:color w:val="auto"/>
        </w:rPr>
      </w:pPr>
    </w:p>
    <w:p>
      <w:pPr>
        <w:ind w:left="1140" w:hanging="322"/>
        <w:spacing w:after="0"/>
        <w:tabs>
          <w:tab w:leader="none" w:pos="1140" w:val="left"/>
        </w:tabs>
        <w:numPr>
          <w:ilvl w:val="0"/>
          <w:numId w:val="191"/>
        </w:numPr>
        <w:rPr>
          <w:rFonts w:ascii="Arial" w:cs="Arial" w:eastAsia="Arial" w:hAnsi="Arial"/>
          <w:sz w:val="17"/>
          <w:szCs w:val="17"/>
          <w:color w:val="auto"/>
        </w:rPr>
      </w:pPr>
      <w:r>
        <w:rPr>
          <w:rFonts w:ascii="Arial" w:cs="Arial" w:eastAsia="Arial" w:hAnsi="Arial"/>
          <w:sz w:val="17"/>
          <w:szCs w:val="17"/>
          <w:color w:val="auto"/>
        </w:rPr>
        <w:t>The (reversal) provision for credit losses’ line item in the consolidated statement of profit or loss and other comprehensive income.</w:t>
      </w:r>
    </w:p>
    <w:p>
      <w:pPr>
        <w:spacing w:after="0" w:line="25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60" w:type="dxa"/>
            <w:vAlign w:val="bottom"/>
            <w:gridSpan w:val="2"/>
            <w:vMerge w:val="restart"/>
          </w:tcPr>
          <w:p>
            <w:pPr>
              <w:jc w:val="center"/>
              <w:ind w:right="141"/>
              <w:spacing w:after="0"/>
              <w:rPr>
                <w:sz w:val="20"/>
                <w:szCs w:val="20"/>
                <w:color w:val="auto"/>
              </w:rPr>
            </w:pPr>
            <w:r>
              <w:rPr>
                <w:rFonts w:ascii="Arial" w:cs="Arial" w:eastAsia="Arial" w:hAnsi="Arial"/>
                <w:sz w:val="18"/>
                <w:szCs w:val="18"/>
                <w:color w:val="auto"/>
                <w:w w:val="89"/>
              </w:rPr>
              <w:t>Loan</w:t>
            </w:r>
          </w:p>
        </w:tc>
        <w:tc>
          <w:tcPr>
            <w:tcW w:w="1740" w:type="dxa"/>
            <w:vAlign w:val="bottom"/>
            <w:tcBorders>
              <w:bottom w:val="single" w:sz="8" w:color="auto"/>
            </w:tcBorders>
            <w:gridSpan w:val="3"/>
          </w:tcPr>
          <w:p>
            <w:pPr>
              <w:ind w:left="980"/>
              <w:spacing w:after="0"/>
              <w:rPr>
                <w:sz w:val="20"/>
                <w:szCs w:val="20"/>
                <w:color w:val="auto"/>
              </w:rPr>
            </w:pPr>
            <w:r>
              <w:rPr>
                <w:rFonts w:ascii="Arial" w:cs="Arial" w:eastAsia="Arial" w:hAnsi="Arial"/>
                <w:sz w:val="18"/>
                <w:szCs w:val="18"/>
                <w:color w:val="auto"/>
                <w:w w:val="93"/>
              </w:rPr>
              <w:t>Securities</w:t>
            </w:r>
          </w:p>
        </w:tc>
        <w:tc>
          <w:tcPr>
            <w:tcW w:w="9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39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460" w:type="dxa"/>
            <w:vAlign w:val="bottom"/>
            <w:gridSpan w:val="2"/>
            <w:vMerge w:val="continue"/>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center"/>
              <w:ind w:right="161"/>
              <w:spacing w:after="0"/>
              <w:rPr>
                <w:sz w:val="20"/>
                <w:szCs w:val="20"/>
                <w:color w:val="auto"/>
              </w:rPr>
            </w:pPr>
            <w:r>
              <w:rPr>
                <w:rFonts w:ascii="Arial" w:cs="Arial" w:eastAsia="Arial" w:hAnsi="Arial"/>
                <w:sz w:val="18"/>
                <w:szCs w:val="18"/>
                <w:color w:val="auto"/>
                <w:w w:val="91"/>
              </w:rPr>
              <w:t>commitments</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color w:val="auto"/>
                <w:w w:val="86"/>
              </w:rPr>
              <w:t>Loans at</w:t>
            </w:r>
          </w:p>
        </w:tc>
        <w:tc>
          <w:tcPr>
            <w:tcW w:w="140" w:type="dxa"/>
            <w:vAlign w:val="bottom"/>
          </w:tcPr>
          <w:p>
            <w:pPr>
              <w:spacing w:after="0"/>
              <w:rPr>
                <w:sz w:val="18"/>
                <w:szCs w:val="18"/>
                <w:color w:val="auto"/>
              </w:rPr>
            </w:pPr>
          </w:p>
        </w:tc>
        <w:tc>
          <w:tcPr>
            <w:tcW w:w="146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and financial</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gridSpan w:val="2"/>
            <w:vMerge w:val="restart"/>
          </w:tcPr>
          <w:p>
            <w:pPr>
              <w:ind w:left="1260"/>
              <w:spacing w:after="0"/>
              <w:rPr>
                <w:sz w:val="20"/>
                <w:szCs w:val="20"/>
                <w:color w:val="auto"/>
              </w:rPr>
            </w:pPr>
            <w:r>
              <w:rPr>
                <w:rFonts w:ascii="Arial" w:cs="Arial" w:eastAsia="Arial" w:hAnsi="Arial"/>
                <w:sz w:val="18"/>
                <w:szCs w:val="18"/>
                <w:b w:val="1"/>
                <w:bCs w:val="1"/>
                <w:color w:val="auto"/>
              </w:rPr>
              <w:t>December 31, 2020</w:t>
            </w:r>
          </w:p>
        </w:tc>
        <w:tc>
          <w:tcPr>
            <w:tcW w:w="1340" w:type="dxa"/>
            <w:vAlign w:val="bottom"/>
            <w:gridSpan w:val="2"/>
          </w:tcPr>
          <w:p>
            <w:pPr>
              <w:jc w:val="right"/>
              <w:ind w:right="301"/>
              <w:spacing w:after="0"/>
              <w:rPr>
                <w:sz w:val="20"/>
                <w:szCs w:val="20"/>
                <w:color w:val="auto"/>
              </w:rPr>
            </w:pPr>
            <w:r>
              <w:rPr>
                <w:rFonts w:ascii="Arial" w:cs="Arial" w:eastAsia="Arial" w:hAnsi="Arial"/>
                <w:sz w:val="18"/>
                <w:szCs w:val="18"/>
                <w:color w:val="auto"/>
              </w:rPr>
              <w:t>amortized</w:t>
            </w:r>
          </w:p>
        </w:tc>
        <w:tc>
          <w:tcPr>
            <w:tcW w:w="140" w:type="dxa"/>
            <w:vAlign w:val="bottom"/>
          </w:tcPr>
          <w:p>
            <w:pPr>
              <w:spacing w:after="0"/>
              <w:rPr>
                <w:sz w:val="18"/>
                <w:szCs w:val="18"/>
                <w:color w:val="auto"/>
              </w:rPr>
            </w:pPr>
          </w:p>
        </w:tc>
        <w:tc>
          <w:tcPr>
            <w:tcW w:w="1460" w:type="dxa"/>
            <w:vAlign w:val="bottom"/>
            <w:gridSpan w:val="2"/>
          </w:tcPr>
          <w:p>
            <w:pPr>
              <w:jc w:val="center"/>
              <w:ind w:right="121"/>
              <w:spacing w:after="0"/>
              <w:rPr>
                <w:sz w:val="20"/>
                <w:szCs w:val="20"/>
                <w:color w:val="auto"/>
              </w:rPr>
            </w:pPr>
            <w:r>
              <w:rPr>
                <w:rFonts w:ascii="Arial" w:cs="Arial" w:eastAsia="Arial" w:hAnsi="Arial"/>
                <w:sz w:val="18"/>
                <w:szCs w:val="18"/>
                <w:color w:val="auto"/>
                <w:w w:val="86"/>
              </w:rPr>
              <w:t>guarantee</w:t>
            </w:r>
          </w:p>
        </w:tc>
        <w:tc>
          <w:tcPr>
            <w:tcW w:w="1740" w:type="dxa"/>
            <w:vAlign w:val="bottom"/>
            <w:gridSpan w:val="3"/>
          </w:tcPr>
          <w:p>
            <w:pPr>
              <w:jc w:val="center"/>
              <w:ind w:right="520"/>
              <w:spacing w:after="0"/>
              <w:rPr>
                <w:sz w:val="20"/>
                <w:szCs w:val="20"/>
                <w:color w:val="auto"/>
              </w:rPr>
            </w:pPr>
            <w:r>
              <w:rPr>
                <w:rFonts w:ascii="Arial" w:cs="Arial" w:eastAsia="Arial" w:hAnsi="Arial"/>
                <w:sz w:val="18"/>
                <w:szCs w:val="18"/>
                <w:color w:val="auto"/>
                <w:w w:val="92"/>
              </w:rPr>
              <w:t>At amortized</w:t>
            </w: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80" w:type="dxa"/>
            <w:vAlign w:val="bottom"/>
            <w:gridSpan w:val="2"/>
            <w:vMerge w:val="continue"/>
          </w:tcPr>
          <w:p>
            <w:pPr>
              <w:spacing w:after="0"/>
              <w:rPr>
                <w:sz w:val="20"/>
                <w:szCs w:val="20"/>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color w:val="auto"/>
                <w:w w:val="84"/>
              </w:rPr>
              <w:t>cost</w:t>
            </w:r>
          </w:p>
        </w:tc>
        <w:tc>
          <w:tcPr>
            <w:tcW w:w="140" w:type="dxa"/>
            <w:vAlign w:val="bottom"/>
          </w:tcPr>
          <w:p>
            <w:pPr>
              <w:spacing w:after="0"/>
              <w:rPr>
                <w:sz w:val="20"/>
                <w:szCs w:val="20"/>
                <w:color w:val="auto"/>
              </w:rPr>
            </w:pP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color w:val="auto"/>
                <w:w w:val="87"/>
              </w:rPr>
              <w:t>contracts</w:t>
            </w:r>
          </w:p>
        </w:tc>
        <w:tc>
          <w:tcPr>
            <w:tcW w:w="1740" w:type="dxa"/>
            <w:vAlign w:val="bottom"/>
            <w:gridSpan w:val="3"/>
          </w:tcPr>
          <w:p>
            <w:pPr>
              <w:jc w:val="center"/>
              <w:ind w:right="520"/>
              <w:spacing w:after="0"/>
              <w:rPr>
                <w:sz w:val="20"/>
                <w:szCs w:val="20"/>
                <w:color w:val="auto"/>
              </w:rPr>
            </w:pPr>
            <w:r>
              <w:rPr>
                <w:rFonts w:ascii="Arial" w:cs="Arial" w:eastAsia="Arial" w:hAnsi="Arial"/>
                <w:sz w:val="18"/>
                <w:szCs w:val="18"/>
                <w:color w:val="auto"/>
                <w:w w:val="90"/>
              </w:rPr>
              <w:t>cost</w:t>
            </w:r>
          </w:p>
        </w:tc>
        <w:tc>
          <w:tcPr>
            <w:tcW w:w="1140" w:type="dxa"/>
            <w:vAlign w:val="bottom"/>
            <w:gridSpan w:val="2"/>
          </w:tcPr>
          <w:p>
            <w:pPr>
              <w:jc w:val="right"/>
              <w:ind w:right="481"/>
              <w:spacing w:after="0"/>
              <w:rPr>
                <w:sz w:val="20"/>
                <w:szCs w:val="20"/>
                <w:color w:val="auto"/>
              </w:rPr>
            </w:pPr>
            <w:r>
              <w:rPr>
                <w:rFonts w:ascii="Arial" w:cs="Arial" w:eastAsia="Arial" w:hAnsi="Arial"/>
                <w:sz w:val="18"/>
                <w:szCs w:val="18"/>
                <w:color w:val="auto"/>
              </w:rPr>
              <w:t>FVOCI</w:t>
            </w:r>
          </w:p>
        </w:tc>
        <w:tc>
          <w:tcPr>
            <w:tcW w:w="1340" w:type="dxa"/>
            <w:vAlign w:val="bottom"/>
            <w:gridSpan w:val="2"/>
          </w:tcPr>
          <w:p>
            <w:pPr>
              <w:jc w:val="right"/>
              <w:ind w:right="461"/>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5"/>
        </w:trPr>
        <w:tc>
          <w:tcPr>
            <w:tcW w:w="39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1"/>
              </w:rPr>
              <w:t>Net effect of changes in allowance for expected credit</w:t>
            </w:r>
          </w:p>
        </w:tc>
        <w:tc>
          <w:tcPr>
            <w:tcW w:w="1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300" w:type="dxa"/>
            <w:vAlign w:val="bottom"/>
            <w:tcBorders>
              <w:top w:val="single" w:sz="8" w:color="auto"/>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losses</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13,459</w:t>
            </w:r>
          </w:p>
        </w:tc>
        <w:tc>
          <w:tcPr>
            <w:tcW w:w="16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79</w:t>
            </w: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38</w:t>
            </w:r>
          </w:p>
        </w:tc>
        <w:tc>
          <w:tcPr>
            <w:tcW w:w="30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13,576</w:t>
            </w:r>
          </w:p>
        </w:tc>
        <w:tc>
          <w:tcPr>
            <w:tcW w:w="0" w:type="dxa"/>
            <w:vAlign w:val="bottom"/>
          </w:tcPr>
          <w:p>
            <w:pPr>
              <w:spacing w:after="0"/>
              <w:rPr>
                <w:sz w:val="1"/>
                <w:szCs w:val="1"/>
                <w:color w:val="auto"/>
              </w:rPr>
            </w:pPr>
          </w:p>
        </w:tc>
      </w:tr>
      <w:tr>
        <w:trPr>
          <w:trHeight w:val="202"/>
        </w:trPr>
        <w:tc>
          <w:tcPr>
            <w:tcW w:w="4080" w:type="dxa"/>
            <w:vAlign w:val="bottom"/>
            <w:gridSpan w:val="2"/>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80" w:type="dxa"/>
            <w:vAlign w:val="bottom"/>
            <w:gridSpan w:val="2"/>
          </w:tcPr>
          <w:p>
            <w:pPr>
              <w:ind w:left="180"/>
              <w:spacing w:after="0"/>
              <w:rPr>
                <w:sz w:val="20"/>
                <w:szCs w:val="20"/>
                <w:color w:val="auto"/>
              </w:rPr>
            </w:pPr>
            <w:r>
              <w:rPr>
                <w:rFonts w:ascii="Arial" w:cs="Arial" w:eastAsia="Arial" w:hAnsi="Arial"/>
                <w:sz w:val="18"/>
                <w:szCs w:val="18"/>
                <w:color w:val="auto"/>
              </w:rPr>
              <w:t>during the year</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(28,036)</w:t>
            </w:r>
          </w:p>
        </w:tc>
        <w:tc>
          <w:tcPr>
            <w:tcW w:w="1600" w:type="dxa"/>
            <w:vAlign w:val="bottom"/>
            <w:gridSpan w:val="3"/>
          </w:tcPr>
          <w:p>
            <w:pPr>
              <w:jc w:val="right"/>
              <w:ind w:right="81"/>
              <w:spacing w:after="0"/>
              <w:rPr>
                <w:sz w:val="20"/>
                <w:szCs w:val="20"/>
                <w:color w:val="auto"/>
              </w:rPr>
            </w:pPr>
            <w:r>
              <w:rPr>
                <w:rFonts w:ascii="Arial" w:cs="Arial" w:eastAsia="Arial" w:hAnsi="Arial"/>
                <w:sz w:val="18"/>
                <w:szCs w:val="18"/>
                <w:color w:val="auto"/>
              </w:rPr>
              <w:t>(1,885)</w:t>
            </w: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(86)</w:t>
            </w:r>
          </w:p>
        </w:tc>
        <w:tc>
          <w:tcPr>
            <w:tcW w:w="300" w:type="dxa"/>
            <w:vAlign w:val="bottom"/>
          </w:tcPr>
          <w:p>
            <w:pPr>
              <w:spacing w:after="0"/>
              <w:rPr>
                <w:sz w:val="20"/>
                <w:szCs w:val="20"/>
                <w:color w:val="auto"/>
              </w:rPr>
            </w:pPr>
          </w:p>
        </w:tc>
        <w:tc>
          <w:tcPr>
            <w:tcW w:w="11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(30,007)</w:t>
            </w:r>
          </w:p>
        </w:tc>
        <w:tc>
          <w:tcPr>
            <w:tcW w:w="0" w:type="dxa"/>
            <w:vAlign w:val="bottom"/>
          </w:tcPr>
          <w:p>
            <w:pPr>
              <w:spacing w:after="0"/>
              <w:rPr>
                <w:sz w:val="1"/>
                <w:szCs w:val="1"/>
                <w:color w:val="auto"/>
              </w:rPr>
            </w:pPr>
          </w:p>
        </w:tc>
      </w:tr>
      <w:tr>
        <w:trPr>
          <w:trHeight w:val="230"/>
        </w:trPr>
        <w:tc>
          <w:tcPr>
            <w:tcW w:w="4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12,828</w:t>
            </w:r>
          </w:p>
        </w:tc>
        <w:tc>
          <w:tcPr>
            <w:tcW w:w="16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1,666</w:t>
            </w: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430</w:t>
            </w:r>
          </w:p>
        </w:tc>
        <w:tc>
          <w:tcPr>
            <w:tcW w:w="30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43</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14,967</w:t>
            </w:r>
          </w:p>
        </w:tc>
        <w:tc>
          <w:tcPr>
            <w:tcW w:w="0" w:type="dxa"/>
            <w:vAlign w:val="bottom"/>
          </w:tcPr>
          <w:p>
            <w:pPr>
              <w:spacing w:after="0"/>
              <w:rPr>
                <w:sz w:val="1"/>
                <w:szCs w:val="1"/>
                <w:color w:val="auto"/>
              </w:rPr>
            </w:pPr>
          </w:p>
        </w:tc>
      </w:tr>
      <w:tr>
        <w:trPr>
          <w:trHeight w:val="223"/>
        </w:trPr>
        <w:tc>
          <w:tcPr>
            <w:tcW w:w="40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(1,749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382</w:t>
            </w:r>
          </w:p>
        </w:tc>
        <w:tc>
          <w:tcPr>
            <w:tcW w:w="22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(1,464</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9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60" w:type="dxa"/>
            <w:vAlign w:val="bottom"/>
            <w:gridSpan w:val="2"/>
            <w:vMerge w:val="restart"/>
          </w:tcPr>
          <w:p>
            <w:pPr>
              <w:jc w:val="center"/>
              <w:ind w:right="141"/>
              <w:spacing w:after="0"/>
              <w:rPr>
                <w:sz w:val="20"/>
                <w:szCs w:val="20"/>
                <w:color w:val="auto"/>
              </w:rPr>
            </w:pPr>
            <w:r>
              <w:rPr>
                <w:rFonts w:ascii="Arial" w:cs="Arial" w:eastAsia="Arial" w:hAnsi="Arial"/>
                <w:sz w:val="18"/>
                <w:szCs w:val="18"/>
                <w:color w:val="auto"/>
                <w:w w:val="89"/>
              </w:rPr>
              <w:t>Loan</w:t>
            </w:r>
          </w:p>
        </w:tc>
        <w:tc>
          <w:tcPr>
            <w:tcW w:w="1740" w:type="dxa"/>
            <w:vAlign w:val="bottom"/>
            <w:tcBorders>
              <w:bottom w:val="single" w:sz="8" w:color="auto"/>
            </w:tcBorders>
            <w:gridSpan w:val="3"/>
          </w:tcPr>
          <w:p>
            <w:pPr>
              <w:ind w:left="980"/>
              <w:spacing w:after="0"/>
              <w:rPr>
                <w:sz w:val="20"/>
                <w:szCs w:val="20"/>
                <w:color w:val="auto"/>
              </w:rPr>
            </w:pPr>
            <w:r>
              <w:rPr>
                <w:rFonts w:ascii="Arial" w:cs="Arial" w:eastAsia="Arial" w:hAnsi="Arial"/>
                <w:sz w:val="18"/>
                <w:szCs w:val="18"/>
                <w:color w:val="auto"/>
                <w:w w:val="93"/>
              </w:rPr>
              <w:t>Securities</w:t>
            </w:r>
          </w:p>
        </w:tc>
        <w:tc>
          <w:tcPr>
            <w:tcW w:w="9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2"/>
        </w:trPr>
        <w:tc>
          <w:tcPr>
            <w:tcW w:w="39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460" w:type="dxa"/>
            <w:vAlign w:val="bottom"/>
            <w:gridSpan w:val="2"/>
            <w:vMerge w:val="continue"/>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center"/>
              <w:ind w:right="161"/>
              <w:spacing w:after="0"/>
              <w:rPr>
                <w:sz w:val="20"/>
                <w:szCs w:val="20"/>
                <w:color w:val="auto"/>
              </w:rPr>
            </w:pPr>
            <w:r>
              <w:rPr>
                <w:rFonts w:ascii="Arial" w:cs="Arial" w:eastAsia="Arial" w:hAnsi="Arial"/>
                <w:sz w:val="18"/>
                <w:szCs w:val="18"/>
                <w:color w:val="auto"/>
                <w:w w:val="91"/>
              </w:rPr>
              <w:t>commitments</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9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color w:val="auto"/>
                <w:w w:val="86"/>
              </w:rPr>
              <w:t>Loans at</w:t>
            </w:r>
          </w:p>
        </w:tc>
        <w:tc>
          <w:tcPr>
            <w:tcW w:w="140" w:type="dxa"/>
            <w:vAlign w:val="bottom"/>
          </w:tcPr>
          <w:p>
            <w:pPr>
              <w:spacing w:after="0"/>
              <w:rPr>
                <w:sz w:val="18"/>
                <w:szCs w:val="18"/>
                <w:color w:val="auto"/>
              </w:rPr>
            </w:pPr>
          </w:p>
        </w:tc>
        <w:tc>
          <w:tcPr>
            <w:tcW w:w="146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and financial</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gridSpan w:val="2"/>
            <w:vMerge w:val="restart"/>
          </w:tcPr>
          <w:p>
            <w:pPr>
              <w:ind w:left="1260"/>
              <w:spacing w:after="0"/>
              <w:rPr>
                <w:sz w:val="20"/>
                <w:szCs w:val="20"/>
                <w:color w:val="auto"/>
              </w:rPr>
            </w:pPr>
            <w:r>
              <w:rPr>
                <w:rFonts w:ascii="Arial" w:cs="Arial" w:eastAsia="Arial" w:hAnsi="Arial"/>
                <w:sz w:val="18"/>
                <w:szCs w:val="18"/>
                <w:b w:val="1"/>
                <w:bCs w:val="1"/>
                <w:color w:val="auto"/>
              </w:rPr>
              <w:t>December 31, 2019</w:t>
            </w:r>
          </w:p>
        </w:tc>
        <w:tc>
          <w:tcPr>
            <w:tcW w:w="1340" w:type="dxa"/>
            <w:vAlign w:val="bottom"/>
            <w:gridSpan w:val="2"/>
          </w:tcPr>
          <w:p>
            <w:pPr>
              <w:jc w:val="right"/>
              <w:ind w:right="301"/>
              <w:spacing w:after="0"/>
              <w:rPr>
                <w:sz w:val="20"/>
                <w:szCs w:val="20"/>
                <w:color w:val="auto"/>
              </w:rPr>
            </w:pPr>
            <w:r>
              <w:rPr>
                <w:rFonts w:ascii="Arial" w:cs="Arial" w:eastAsia="Arial" w:hAnsi="Arial"/>
                <w:sz w:val="18"/>
                <w:szCs w:val="18"/>
                <w:color w:val="auto"/>
              </w:rPr>
              <w:t>amortized</w:t>
            </w:r>
          </w:p>
        </w:tc>
        <w:tc>
          <w:tcPr>
            <w:tcW w:w="140" w:type="dxa"/>
            <w:vAlign w:val="bottom"/>
          </w:tcPr>
          <w:p>
            <w:pPr>
              <w:spacing w:after="0"/>
              <w:rPr>
                <w:sz w:val="18"/>
                <w:szCs w:val="18"/>
                <w:color w:val="auto"/>
              </w:rPr>
            </w:pPr>
          </w:p>
        </w:tc>
        <w:tc>
          <w:tcPr>
            <w:tcW w:w="1460" w:type="dxa"/>
            <w:vAlign w:val="bottom"/>
            <w:gridSpan w:val="2"/>
          </w:tcPr>
          <w:p>
            <w:pPr>
              <w:jc w:val="center"/>
              <w:ind w:right="121"/>
              <w:spacing w:after="0"/>
              <w:rPr>
                <w:sz w:val="20"/>
                <w:szCs w:val="20"/>
                <w:color w:val="auto"/>
              </w:rPr>
            </w:pPr>
            <w:r>
              <w:rPr>
                <w:rFonts w:ascii="Arial" w:cs="Arial" w:eastAsia="Arial" w:hAnsi="Arial"/>
                <w:sz w:val="18"/>
                <w:szCs w:val="18"/>
                <w:color w:val="auto"/>
                <w:w w:val="86"/>
              </w:rPr>
              <w:t>guarantee</w:t>
            </w:r>
          </w:p>
        </w:tc>
        <w:tc>
          <w:tcPr>
            <w:tcW w:w="1740" w:type="dxa"/>
            <w:vAlign w:val="bottom"/>
            <w:gridSpan w:val="3"/>
          </w:tcPr>
          <w:p>
            <w:pPr>
              <w:jc w:val="center"/>
              <w:ind w:right="520"/>
              <w:spacing w:after="0"/>
              <w:rPr>
                <w:sz w:val="20"/>
                <w:szCs w:val="20"/>
                <w:color w:val="auto"/>
              </w:rPr>
            </w:pPr>
            <w:r>
              <w:rPr>
                <w:rFonts w:ascii="Arial" w:cs="Arial" w:eastAsia="Arial" w:hAnsi="Arial"/>
                <w:sz w:val="18"/>
                <w:szCs w:val="18"/>
                <w:color w:val="auto"/>
                <w:w w:val="92"/>
              </w:rPr>
              <w:t>At amortized</w:t>
            </w: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80" w:type="dxa"/>
            <w:vAlign w:val="bottom"/>
            <w:gridSpan w:val="2"/>
            <w:vMerge w:val="continue"/>
          </w:tcPr>
          <w:p>
            <w:pPr>
              <w:spacing w:after="0"/>
              <w:rPr>
                <w:sz w:val="20"/>
                <w:szCs w:val="20"/>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color w:val="auto"/>
                <w:w w:val="84"/>
              </w:rPr>
              <w:t>cost</w:t>
            </w:r>
          </w:p>
        </w:tc>
        <w:tc>
          <w:tcPr>
            <w:tcW w:w="140" w:type="dxa"/>
            <w:vAlign w:val="bottom"/>
          </w:tcPr>
          <w:p>
            <w:pPr>
              <w:spacing w:after="0"/>
              <w:rPr>
                <w:sz w:val="20"/>
                <w:szCs w:val="20"/>
                <w:color w:val="auto"/>
              </w:rPr>
            </w:pP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color w:val="auto"/>
                <w:w w:val="87"/>
              </w:rPr>
              <w:t>contracts</w:t>
            </w:r>
          </w:p>
        </w:tc>
        <w:tc>
          <w:tcPr>
            <w:tcW w:w="1740" w:type="dxa"/>
            <w:vAlign w:val="bottom"/>
            <w:gridSpan w:val="3"/>
          </w:tcPr>
          <w:p>
            <w:pPr>
              <w:jc w:val="center"/>
              <w:ind w:right="520"/>
              <w:spacing w:after="0"/>
              <w:rPr>
                <w:sz w:val="20"/>
                <w:szCs w:val="20"/>
                <w:color w:val="auto"/>
              </w:rPr>
            </w:pPr>
            <w:r>
              <w:rPr>
                <w:rFonts w:ascii="Arial" w:cs="Arial" w:eastAsia="Arial" w:hAnsi="Arial"/>
                <w:sz w:val="18"/>
                <w:szCs w:val="18"/>
                <w:color w:val="auto"/>
                <w:w w:val="90"/>
              </w:rPr>
              <w:t>cost</w:t>
            </w:r>
          </w:p>
        </w:tc>
        <w:tc>
          <w:tcPr>
            <w:tcW w:w="1140" w:type="dxa"/>
            <w:vAlign w:val="bottom"/>
            <w:gridSpan w:val="2"/>
          </w:tcPr>
          <w:p>
            <w:pPr>
              <w:jc w:val="right"/>
              <w:ind w:right="481"/>
              <w:spacing w:after="0"/>
              <w:rPr>
                <w:sz w:val="20"/>
                <w:szCs w:val="20"/>
                <w:color w:val="auto"/>
              </w:rPr>
            </w:pPr>
            <w:r>
              <w:rPr>
                <w:rFonts w:ascii="Arial" w:cs="Arial" w:eastAsia="Arial" w:hAnsi="Arial"/>
                <w:sz w:val="18"/>
                <w:szCs w:val="18"/>
                <w:color w:val="auto"/>
              </w:rPr>
              <w:t>FVOCI</w:t>
            </w:r>
          </w:p>
        </w:tc>
        <w:tc>
          <w:tcPr>
            <w:tcW w:w="1340" w:type="dxa"/>
            <w:vAlign w:val="bottom"/>
            <w:gridSpan w:val="2"/>
          </w:tcPr>
          <w:p>
            <w:pPr>
              <w:jc w:val="right"/>
              <w:ind w:right="461"/>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5"/>
        </w:trPr>
        <w:tc>
          <w:tcPr>
            <w:tcW w:w="39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1"/>
              </w:rPr>
              <w:t>Net effect of changes in allowance for expected credit</w:t>
            </w:r>
          </w:p>
        </w:tc>
        <w:tc>
          <w:tcPr>
            <w:tcW w:w="1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300" w:type="dxa"/>
            <w:vAlign w:val="bottom"/>
            <w:tcBorders>
              <w:top w:val="single" w:sz="8" w:color="auto"/>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losses</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11,714</w:t>
            </w:r>
          </w:p>
        </w:tc>
        <w:tc>
          <w:tcPr>
            <w:tcW w:w="16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153</w:t>
            </w:r>
          </w:p>
        </w:tc>
        <w:tc>
          <w:tcPr>
            <w:tcW w:w="14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(18)</w:t>
            </w:r>
          </w:p>
        </w:tc>
        <w:tc>
          <w:tcPr>
            <w:tcW w:w="30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11,849</w:t>
            </w:r>
          </w:p>
        </w:tc>
        <w:tc>
          <w:tcPr>
            <w:tcW w:w="0" w:type="dxa"/>
            <w:vAlign w:val="bottom"/>
          </w:tcPr>
          <w:p>
            <w:pPr>
              <w:spacing w:after="0"/>
              <w:rPr>
                <w:sz w:val="1"/>
                <w:szCs w:val="1"/>
                <w:color w:val="auto"/>
              </w:rPr>
            </w:pPr>
          </w:p>
        </w:tc>
      </w:tr>
      <w:tr>
        <w:trPr>
          <w:trHeight w:val="202"/>
        </w:trPr>
        <w:tc>
          <w:tcPr>
            <w:tcW w:w="4080" w:type="dxa"/>
            <w:vAlign w:val="bottom"/>
            <w:gridSpan w:val="2"/>
          </w:tcPr>
          <w:p>
            <w:pPr>
              <w:spacing w:after="0" w:line="201" w:lineRule="exact"/>
              <w:rPr>
                <w:sz w:val="20"/>
                <w:szCs w:val="20"/>
                <w:color w:val="auto"/>
              </w:rPr>
            </w:pPr>
            <w:r>
              <w:rPr>
                <w:rFonts w:ascii="Arial" w:cs="Arial" w:eastAsia="Arial" w:hAnsi="Arial"/>
                <w:sz w:val="18"/>
                <w:szCs w:val="18"/>
                <w:color w:val="auto"/>
                <w:w w:val="99"/>
              </w:rPr>
              <w:t>Financial instruments that have been derecognized</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80" w:type="dxa"/>
            <w:vAlign w:val="bottom"/>
            <w:gridSpan w:val="2"/>
          </w:tcPr>
          <w:p>
            <w:pPr>
              <w:ind w:left="180"/>
              <w:spacing w:after="0"/>
              <w:rPr>
                <w:sz w:val="20"/>
                <w:szCs w:val="20"/>
                <w:color w:val="auto"/>
              </w:rPr>
            </w:pPr>
            <w:r>
              <w:rPr>
                <w:rFonts w:ascii="Arial" w:cs="Arial" w:eastAsia="Arial" w:hAnsi="Arial"/>
                <w:sz w:val="18"/>
                <w:szCs w:val="18"/>
                <w:color w:val="auto"/>
              </w:rPr>
              <w:t>during the year</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(36,534)</w:t>
            </w:r>
          </w:p>
        </w:tc>
        <w:tc>
          <w:tcPr>
            <w:tcW w:w="1600" w:type="dxa"/>
            <w:vAlign w:val="bottom"/>
            <w:gridSpan w:val="3"/>
          </w:tcPr>
          <w:p>
            <w:pPr>
              <w:jc w:val="right"/>
              <w:ind w:right="81"/>
              <w:spacing w:after="0"/>
              <w:rPr>
                <w:sz w:val="20"/>
                <w:szCs w:val="20"/>
                <w:color w:val="auto"/>
              </w:rPr>
            </w:pPr>
            <w:r>
              <w:rPr>
                <w:rFonts w:ascii="Arial" w:cs="Arial" w:eastAsia="Arial" w:hAnsi="Arial"/>
                <w:sz w:val="18"/>
                <w:szCs w:val="18"/>
                <w:color w:val="auto"/>
              </w:rPr>
              <w:t>(2,506)</w:t>
            </w: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(46)</w:t>
            </w:r>
          </w:p>
        </w:tc>
        <w:tc>
          <w:tcPr>
            <w:tcW w:w="300" w:type="dxa"/>
            <w:vAlign w:val="bottom"/>
          </w:tcPr>
          <w:p>
            <w:pPr>
              <w:spacing w:after="0"/>
              <w:rPr>
                <w:sz w:val="20"/>
                <w:szCs w:val="20"/>
                <w:color w:val="auto"/>
              </w:rPr>
            </w:pPr>
          </w:p>
        </w:tc>
        <w:tc>
          <w:tcPr>
            <w:tcW w:w="1140" w:type="dxa"/>
            <w:vAlign w:val="bottom"/>
            <w:gridSpan w:val="2"/>
          </w:tcPr>
          <w:p>
            <w:pPr>
              <w:jc w:val="right"/>
              <w:ind w:right="81"/>
              <w:spacing w:after="0"/>
              <w:rPr>
                <w:sz w:val="20"/>
                <w:szCs w:val="20"/>
                <w:color w:val="auto"/>
              </w:rPr>
            </w:pPr>
            <w:r>
              <w:rPr>
                <w:rFonts w:ascii="Arial" w:cs="Arial" w:eastAsia="Arial" w:hAnsi="Arial"/>
                <w:sz w:val="18"/>
                <w:szCs w:val="18"/>
                <w:color w:val="auto"/>
              </w:rPr>
              <w:t>(173)</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(39,259)</w:t>
            </w:r>
          </w:p>
        </w:tc>
        <w:tc>
          <w:tcPr>
            <w:tcW w:w="0" w:type="dxa"/>
            <w:vAlign w:val="bottom"/>
          </w:tcPr>
          <w:p>
            <w:pPr>
              <w:spacing w:after="0"/>
              <w:rPr>
                <w:sz w:val="1"/>
                <w:szCs w:val="1"/>
                <w:color w:val="auto"/>
              </w:rPr>
            </w:pPr>
          </w:p>
        </w:tc>
      </w:tr>
      <w:tr>
        <w:trPr>
          <w:trHeight w:val="230"/>
        </w:trPr>
        <w:tc>
          <w:tcPr>
            <w:tcW w:w="40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25,695</w:t>
            </w:r>
          </w:p>
        </w:tc>
        <w:tc>
          <w:tcPr>
            <w:tcW w:w="16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2,108</w:t>
            </w: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37</w:t>
            </w:r>
          </w:p>
        </w:tc>
        <w:tc>
          <w:tcPr>
            <w:tcW w:w="30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27,840</w:t>
            </w:r>
          </w:p>
        </w:tc>
        <w:tc>
          <w:tcPr>
            <w:tcW w:w="0" w:type="dxa"/>
            <w:vAlign w:val="bottom"/>
          </w:tcPr>
          <w:p>
            <w:pPr>
              <w:spacing w:after="0"/>
              <w:rPr>
                <w:sz w:val="1"/>
                <w:szCs w:val="1"/>
                <w:color w:val="auto"/>
              </w:rPr>
            </w:pPr>
          </w:p>
        </w:tc>
      </w:tr>
      <w:tr>
        <w:trPr>
          <w:trHeight w:val="223"/>
        </w:trPr>
        <w:tc>
          <w:tcPr>
            <w:tcW w:w="40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875</w:t>
            </w:r>
          </w:p>
        </w:tc>
        <w:tc>
          <w:tcPr>
            <w:tcW w:w="1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(245</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30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(173</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39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right"/>
              <w:ind w:right="1141"/>
              <w:spacing w:after="0"/>
              <w:rPr>
                <w:sz w:val="20"/>
                <w:szCs w:val="20"/>
                <w:color w:val="auto"/>
              </w:rPr>
            </w:pPr>
            <w:r>
              <w:rPr>
                <w:rFonts w:ascii="Arial" w:cs="Arial" w:eastAsia="Arial" w:hAnsi="Arial"/>
                <w:sz w:val="18"/>
                <w:szCs w:val="18"/>
                <w:color w:val="auto"/>
                <w:w w:val="97"/>
              </w:rPr>
              <w:t>F-50</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86" w:name="page187"/>
    <w:bookmarkEnd w:id="186"/>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54610</wp:posOffset>
            </wp:positionV>
            <wp:extent cx="7132320" cy="825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p>
      <w:pPr>
        <w:spacing w:after="0" w:line="365" w:lineRule="exact"/>
        <w:rPr>
          <w:sz w:val="20"/>
          <w:szCs w:val="20"/>
          <w:color w:val="auto"/>
        </w:rPr>
      </w:pPr>
    </w:p>
    <w:p>
      <w:pPr>
        <w:ind w:left="340" w:right="1480" w:hanging="332"/>
        <w:spacing w:after="0" w:line="578" w:lineRule="auto"/>
        <w:tabs>
          <w:tab w:leader="none" w:pos="340" w:val="left"/>
        </w:tabs>
        <w:numPr>
          <w:ilvl w:val="0"/>
          <w:numId w:val="19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left="60"/>
        <w:spacing w:after="0"/>
        <w:rPr>
          <w:sz w:val="20"/>
          <w:szCs w:val="20"/>
          <w:color w:val="auto"/>
        </w:rPr>
      </w:pPr>
      <w:r>
        <w:rPr>
          <w:rFonts w:ascii="Arial" w:cs="Arial" w:eastAsia="Arial" w:hAnsi="Arial"/>
          <w:sz w:val="18"/>
          <w:szCs w:val="18"/>
          <w:b w:val="1"/>
          <w:bCs w:val="1"/>
          <w:color w:val="auto"/>
        </w:rPr>
        <w:t>December 31, 2018</w:t>
      </w:r>
    </w:p>
    <w:p>
      <w:pPr>
        <w:spacing w:after="0" w:line="40" w:lineRule="exact"/>
        <w:rPr>
          <w:sz w:val="20"/>
          <w:szCs w:val="20"/>
          <w:color w:val="auto"/>
        </w:rPr>
      </w:pPr>
    </w:p>
    <w:p>
      <w:pPr>
        <w:spacing w:after="0" w:line="258" w:lineRule="auto"/>
        <w:rPr>
          <w:sz w:val="20"/>
          <w:szCs w:val="20"/>
          <w:color w:val="auto"/>
        </w:rPr>
      </w:pPr>
      <w:r>
        <w:rPr>
          <w:rFonts w:ascii="Arial" w:cs="Arial" w:eastAsia="Arial" w:hAnsi="Arial"/>
          <w:sz w:val="18"/>
          <w:szCs w:val="18"/>
          <w:color w:val="auto"/>
        </w:rPr>
        <w:t>Net effect of changes in allowance for expected credit losses</w:t>
      </w:r>
    </w:p>
    <w:p>
      <w:pPr>
        <w:spacing w:after="0" w:line="1" w:lineRule="exact"/>
        <w:rPr>
          <w:sz w:val="20"/>
          <w:szCs w:val="20"/>
          <w:color w:val="auto"/>
        </w:rPr>
      </w:pPr>
    </w:p>
    <w:p>
      <w:pPr>
        <w:ind w:right="240"/>
        <w:spacing w:after="0" w:line="250" w:lineRule="auto"/>
        <w:rPr>
          <w:sz w:val="20"/>
          <w:szCs w:val="20"/>
          <w:color w:val="auto"/>
        </w:rPr>
      </w:pPr>
      <w:r>
        <w:rPr>
          <w:rFonts w:ascii="Arial" w:cs="Arial" w:eastAsia="Arial" w:hAnsi="Arial"/>
          <w:sz w:val="18"/>
          <w:szCs w:val="18"/>
          <w:color w:val="auto"/>
        </w:rPr>
        <w:t>Financial instruments that have been derecognized during the year</w:t>
      </w:r>
    </w:p>
    <w:p>
      <w:pPr>
        <w:spacing w:after="0" w:line="1" w:lineRule="exact"/>
        <w:rPr>
          <w:sz w:val="20"/>
          <w:szCs w:val="20"/>
          <w:color w:val="auto"/>
        </w:rPr>
      </w:pPr>
    </w:p>
    <w:p>
      <w:pPr>
        <w:ind w:right="660"/>
        <w:spacing w:after="0" w:line="307" w:lineRule="auto"/>
        <w:rPr>
          <w:sz w:val="20"/>
          <w:szCs w:val="20"/>
          <w:color w:val="auto"/>
        </w:rPr>
      </w:pPr>
      <w:r>
        <w:rPr>
          <w:rFonts w:ascii="Arial" w:cs="Arial" w:eastAsia="Arial" w:hAnsi="Arial"/>
          <w:sz w:val="18"/>
          <w:szCs w:val="18"/>
          <w:color w:val="auto"/>
        </w:rPr>
        <w:t>New financial assets originated or purchased Total</w:t>
      </w:r>
    </w:p>
    <w:p>
      <w:pPr>
        <w:spacing w:after="0" w:line="212" w:lineRule="exact"/>
        <w:rPr>
          <w:sz w:val="20"/>
          <w:szCs w:val="20"/>
          <w:color w:val="auto"/>
        </w:rPr>
      </w:pPr>
    </w:p>
    <w:p>
      <w:pPr>
        <w:ind w:left="1140" w:hanging="376"/>
        <w:spacing w:after="0"/>
        <w:tabs>
          <w:tab w:leader="none" w:pos="1140" w:val="left"/>
        </w:tabs>
        <w:numPr>
          <w:ilvl w:val="0"/>
          <w:numId w:val="193"/>
        </w:numPr>
        <w:rPr>
          <w:rFonts w:ascii="Arial" w:cs="Arial" w:eastAsia="Arial" w:hAnsi="Arial"/>
          <w:sz w:val="18"/>
          <w:szCs w:val="18"/>
          <w:color w:val="auto"/>
        </w:rPr>
      </w:pPr>
      <w:r>
        <w:rPr>
          <w:rFonts w:ascii="Arial" w:cs="Arial" w:eastAsia="Arial" w:hAnsi="Arial"/>
          <w:sz w:val="18"/>
          <w:szCs w:val="18"/>
          <w:color w:val="auto"/>
        </w:rPr>
        <w:t>Credit-impaired financial assets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2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60" w:type="dxa"/>
            <w:vAlign w:val="bottom"/>
            <w:gridSpan w:val="2"/>
            <w:vMerge w:val="restart"/>
          </w:tcPr>
          <w:p>
            <w:pPr>
              <w:jc w:val="center"/>
              <w:ind w:right="141"/>
              <w:spacing w:after="0"/>
              <w:rPr>
                <w:sz w:val="20"/>
                <w:szCs w:val="20"/>
                <w:color w:val="auto"/>
              </w:rPr>
            </w:pPr>
            <w:r>
              <w:rPr>
                <w:rFonts w:ascii="Arial" w:cs="Arial" w:eastAsia="Arial" w:hAnsi="Arial"/>
                <w:sz w:val="18"/>
                <w:szCs w:val="18"/>
                <w:color w:val="auto"/>
                <w:w w:val="89"/>
              </w:rPr>
              <w:t>Loan</w:t>
            </w:r>
          </w:p>
        </w:tc>
        <w:tc>
          <w:tcPr>
            <w:tcW w:w="1740" w:type="dxa"/>
            <w:vAlign w:val="bottom"/>
            <w:tcBorders>
              <w:bottom w:val="single" w:sz="8" w:color="auto"/>
            </w:tcBorders>
            <w:gridSpan w:val="3"/>
          </w:tcPr>
          <w:p>
            <w:pPr>
              <w:ind w:left="980"/>
              <w:spacing w:after="0"/>
              <w:rPr>
                <w:sz w:val="20"/>
                <w:szCs w:val="20"/>
                <w:color w:val="auto"/>
              </w:rPr>
            </w:pPr>
            <w:r>
              <w:rPr>
                <w:rFonts w:ascii="Arial" w:cs="Arial" w:eastAsia="Arial" w:hAnsi="Arial"/>
                <w:sz w:val="18"/>
                <w:szCs w:val="18"/>
                <w:color w:val="auto"/>
                <w:w w:val="93"/>
              </w:rPr>
              <w:t>Securities</w:t>
            </w:r>
          </w:p>
        </w:tc>
        <w:tc>
          <w:tcPr>
            <w:tcW w:w="9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2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60" w:type="dxa"/>
            <w:vAlign w:val="bottom"/>
            <w:gridSpan w:val="2"/>
            <w:vMerge w:val="continue"/>
          </w:tcPr>
          <w:p>
            <w:pPr>
              <w:spacing w:after="0"/>
              <w:rPr>
                <w:sz w:val="15"/>
                <w:szCs w:val="15"/>
                <w:color w:val="auto"/>
              </w:rPr>
            </w:pPr>
          </w:p>
        </w:tc>
        <w:tc>
          <w:tcPr>
            <w:tcW w:w="1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2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gridSpan w:val="2"/>
          </w:tcPr>
          <w:p>
            <w:pPr>
              <w:jc w:val="right"/>
              <w:ind w:right="281"/>
              <w:spacing w:after="0"/>
              <w:rPr>
                <w:sz w:val="20"/>
                <w:szCs w:val="20"/>
                <w:color w:val="auto"/>
              </w:rPr>
            </w:pPr>
            <w:r>
              <w:rPr>
                <w:rFonts w:ascii="Arial" w:cs="Arial" w:eastAsia="Arial" w:hAnsi="Arial"/>
                <w:sz w:val="18"/>
                <w:szCs w:val="18"/>
                <w:color w:val="auto"/>
              </w:rPr>
              <w:t>commitments</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80" w:type="dxa"/>
            <w:vAlign w:val="bottom"/>
            <w:gridSpan w:val="2"/>
          </w:tcPr>
          <w:p>
            <w:pPr>
              <w:jc w:val="right"/>
              <w:ind w:right="560"/>
              <w:spacing w:after="0"/>
              <w:rPr>
                <w:sz w:val="20"/>
                <w:szCs w:val="20"/>
                <w:color w:val="auto"/>
              </w:rPr>
            </w:pPr>
            <w:r>
              <w:rPr>
                <w:rFonts w:ascii="Arial" w:cs="Arial" w:eastAsia="Arial" w:hAnsi="Arial"/>
                <w:sz w:val="18"/>
                <w:szCs w:val="18"/>
                <w:color w:val="auto"/>
              </w:rPr>
              <w:t>Loans at</w:t>
            </w:r>
          </w:p>
        </w:tc>
        <w:tc>
          <w:tcPr>
            <w:tcW w:w="1460" w:type="dxa"/>
            <w:vAlign w:val="bottom"/>
            <w:gridSpan w:val="2"/>
          </w:tcPr>
          <w:p>
            <w:pPr>
              <w:jc w:val="right"/>
              <w:ind w:right="321"/>
              <w:spacing w:after="0"/>
              <w:rPr>
                <w:sz w:val="20"/>
                <w:szCs w:val="20"/>
                <w:color w:val="auto"/>
              </w:rPr>
            </w:pPr>
            <w:r>
              <w:rPr>
                <w:rFonts w:ascii="Arial" w:cs="Arial" w:eastAsia="Arial" w:hAnsi="Arial"/>
                <w:sz w:val="18"/>
                <w:szCs w:val="18"/>
                <w:color w:val="auto"/>
              </w:rPr>
              <w:t>and financial</w:t>
            </w: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480" w:type="dxa"/>
            <w:vAlign w:val="bottom"/>
            <w:gridSpan w:val="2"/>
          </w:tcPr>
          <w:p>
            <w:pPr>
              <w:jc w:val="right"/>
              <w:ind w:right="520"/>
              <w:spacing w:after="0"/>
              <w:rPr>
                <w:sz w:val="20"/>
                <w:szCs w:val="20"/>
                <w:color w:val="auto"/>
              </w:rPr>
            </w:pPr>
            <w:r>
              <w:rPr>
                <w:rFonts w:ascii="Arial" w:cs="Arial" w:eastAsia="Arial" w:hAnsi="Arial"/>
                <w:sz w:val="18"/>
                <w:szCs w:val="18"/>
                <w:color w:val="auto"/>
              </w:rPr>
              <w:t>amortized</w:t>
            </w:r>
          </w:p>
        </w:tc>
        <w:tc>
          <w:tcPr>
            <w:tcW w:w="1460" w:type="dxa"/>
            <w:vAlign w:val="bottom"/>
            <w:gridSpan w:val="2"/>
          </w:tcPr>
          <w:p>
            <w:pPr>
              <w:jc w:val="center"/>
              <w:ind w:right="121"/>
              <w:spacing w:after="0"/>
              <w:rPr>
                <w:sz w:val="20"/>
                <w:szCs w:val="20"/>
                <w:color w:val="auto"/>
              </w:rPr>
            </w:pPr>
            <w:r>
              <w:rPr>
                <w:rFonts w:ascii="Arial" w:cs="Arial" w:eastAsia="Arial" w:hAnsi="Arial"/>
                <w:sz w:val="18"/>
                <w:szCs w:val="18"/>
                <w:color w:val="auto"/>
                <w:w w:val="86"/>
              </w:rPr>
              <w:t>guarantee</w:t>
            </w:r>
          </w:p>
        </w:tc>
        <w:tc>
          <w:tcPr>
            <w:tcW w:w="1740" w:type="dxa"/>
            <w:vAlign w:val="bottom"/>
            <w:gridSpan w:val="3"/>
          </w:tcPr>
          <w:p>
            <w:pPr>
              <w:ind w:left="140"/>
              <w:spacing w:after="0"/>
              <w:rPr>
                <w:sz w:val="20"/>
                <w:szCs w:val="20"/>
                <w:color w:val="auto"/>
              </w:rPr>
            </w:pPr>
            <w:r>
              <w:rPr>
                <w:rFonts w:ascii="Arial" w:cs="Arial" w:eastAsia="Arial" w:hAnsi="Arial"/>
                <w:sz w:val="18"/>
                <w:szCs w:val="18"/>
                <w:color w:val="auto"/>
              </w:rPr>
              <w:t>At amortized</w:t>
            </w: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2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color w:val="auto"/>
              </w:rPr>
              <w:t>cost</w:t>
            </w:r>
          </w:p>
        </w:tc>
        <w:tc>
          <w:tcPr>
            <w:tcW w:w="240" w:type="dxa"/>
            <w:vAlign w:val="bottom"/>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7"/>
              </w:rPr>
              <w:t>contracts</w:t>
            </w:r>
          </w:p>
        </w:tc>
        <w:tc>
          <w:tcPr>
            <w:tcW w:w="220" w:type="dxa"/>
            <w:vAlign w:val="bottom"/>
          </w:tcPr>
          <w:p>
            <w:pPr>
              <w:spacing w:after="0"/>
              <w:rPr>
                <w:sz w:val="20"/>
                <w:szCs w:val="20"/>
                <w:color w:val="auto"/>
              </w:rPr>
            </w:pPr>
          </w:p>
        </w:tc>
        <w:tc>
          <w:tcPr>
            <w:tcW w:w="122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color w:val="auto"/>
              </w:rPr>
              <w:t>cost</w:t>
            </w:r>
          </w:p>
        </w:tc>
        <w:tc>
          <w:tcPr>
            <w:tcW w:w="220" w:type="dxa"/>
            <w:vAlign w:val="bottom"/>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9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color w:val="auto"/>
              </w:rPr>
              <w:t>FVOCI</w:t>
            </w:r>
          </w:p>
        </w:tc>
        <w:tc>
          <w:tcPr>
            <w:tcW w:w="22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480" w:type="dxa"/>
            <w:vAlign w:val="bottom"/>
            <w:gridSpan w:val="2"/>
          </w:tcPr>
          <w:p>
            <w:pPr>
              <w:jc w:val="right"/>
              <w:ind w:right="240"/>
              <w:spacing w:after="0"/>
              <w:rPr>
                <w:sz w:val="20"/>
                <w:szCs w:val="20"/>
                <w:color w:val="auto"/>
              </w:rPr>
            </w:pPr>
            <w:r>
              <w:rPr>
                <w:rFonts w:ascii="Arial" w:cs="Arial" w:eastAsia="Arial" w:hAnsi="Arial"/>
                <w:sz w:val="18"/>
                <w:szCs w:val="18"/>
                <w:color w:val="auto"/>
              </w:rPr>
              <w:t>56,311</w:t>
            </w:r>
          </w:p>
        </w:tc>
        <w:tc>
          <w:tcPr>
            <w:tcW w:w="1460" w:type="dxa"/>
            <w:vAlign w:val="bottom"/>
            <w:gridSpan w:val="2"/>
          </w:tcPr>
          <w:p>
            <w:pPr>
              <w:jc w:val="right"/>
              <w:ind w:right="141"/>
              <w:spacing w:after="0"/>
              <w:rPr>
                <w:sz w:val="20"/>
                <w:szCs w:val="20"/>
                <w:color w:val="auto"/>
              </w:rPr>
            </w:pPr>
            <w:r>
              <w:rPr>
                <w:rFonts w:ascii="Arial" w:cs="Arial" w:eastAsia="Arial" w:hAnsi="Arial"/>
                <w:sz w:val="18"/>
                <w:szCs w:val="18"/>
                <w:color w:val="auto"/>
              </w:rPr>
              <w:t>182</w:t>
            </w: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(48)</w:t>
            </w:r>
          </w:p>
        </w:tc>
        <w:tc>
          <w:tcPr>
            <w:tcW w:w="300" w:type="dxa"/>
            <w:vAlign w:val="bottom"/>
          </w:tcPr>
          <w:p>
            <w:pPr>
              <w:spacing w:after="0"/>
              <w:rPr>
                <w:sz w:val="24"/>
                <w:szCs w:val="24"/>
                <w:color w:val="auto"/>
              </w:rPr>
            </w:pPr>
          </w:p>
        </w:tc>
        <w:tc>
          <w:tcPr>
            <w:tcW w:w="1140" w:type="dxa"/>
            <w:vAlign w:val="bottom"/>
            <w:gridSpan w:val="2"/>
          </w:tcPr>
          <w:p>
            <w:pPr>
              <w:jc w:val="right"/>
              <w:ind w:right="81"/>
              <w:spacing w:after="0"/>
              <w:rPr>
                <w:sz w:val="20"/>
                <w:szCs w:val="20"/>
                <w:color w:val="auto"/>
              </w:rPr>
            </w:pPr>
            <w:r>
              <w:rPr>
                <w:rFonts w:ascii="Arial" w:cs="Arial" w:eastAsia="Arial" w:hAnsi="Arial"/>
                <w:sz w:val="18"/>
                <w:szCs w:val="18"/>
                <w:color w:val="auto"/>
              </w:rPr>
              <w:t>(63)</w:t>
            </w:r>
          </w:p>
        </w:tc>
        <w:tc>
          <w:tcPr>
            <w:tcW w:w="1240" w:type="dxa"/>
            <w:vAlign w:val="bottom"/>
          </w:tcPr>
          <w:p>
            <w:pPr>
              <w:jc w:val="right"/>
              <w:spacing w:after="0"/>
              <w:rPr>
                <w:sz w:val="20"/>
                <w:szCs w:val="20"/>
                <w:color w:val="auto"/>
              </w:rPr>
            </w:pPr>
            <w:r>
              <w:rPr>
                <w:rFonts w:ascii="Arial" w:cs="Arial" w:eastAsia="Arial" w:hAnsi="Arial"/>
                <w:sz w:val="18"/>
                <w:szCs w:val="18"/>
                <w:color w:val="auto"/>
              </w:rPr>
              <w:t>56,382</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1"/>
        </w:trPr>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(27,490)</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(6,666)</w:t>
            </w: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(64)</w:t>
            </w:r>
          </w:p>
        </w:tc>
        <w:tc>
          <w:tcPr>
            <w:tcW w:w="300" w:type="dxa"/>
            <w:vAlign w:val="bottom"/>
          </w:tcPr>
          <w:p>
            <w:pPr>
              <w:spacing w:after="0"/>
              <w:rPr>
                <w:sz w:val="24"/>
                <w:szCs w:val="24"/>
                <w:color w:val="auto"/>
              </w:rPr>
            </w:pPr>
          </w:p>
        </w:tc>
        <w:tc>
          <w:tcPr>
            <w:tcW w:w="11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(34,220)</w:t>
            </w:r>
          </w:p>
        </w:tc>
        <w:tc>
          <w:tcPr>
            <w:tcW w:w="0" w:type="dxa"/>
            <w:vAlign w:val="bottom"/>
          </w:tcPr>
          <w:p>
            <w:pPr>
              <w:spacing w:after="0"/>
              <w:rPr>
                <w:sz w:val="1"/>
                <w:szCs w:val="1"/>
                <w:color w:val="auto"/>
              </w:rPr>
            </w:pPr>
          </w:p>
        </w:tc>
      </w:tr>
      <w:tr>
        <w:trPr>
          <w:trHeight w:val="230"/>
        </w:trPr>
        <w:tc>
          <w:tcPr>
            <w:tcW w:w="1480" w:type="dxa"/>
            <w:vAlign w:val="bottom"/>
            <w:gridSpan w:val="2"/>
          </w:tcPr>
          <w:p>
            <w:pPr>
              <w:jc w:val="right"/>
              <w:ind w:right="240"/>
              <w:spacing w:after="0"/>
              <w:rPr>
                <w:sz w:val="20"/>
                <w:szCs w:val="20"/>
                <w:color w:val="auto"/>
              </w:rPr>
            </w:pPr>
            <w:r>
              <w:rPr>
                <w:rFonts w:ascii="Arial" w:cs="Arial" w:eastAsia="Arial" w:hAnsi="Arial"/>
                <w:sz w:val="18"/>
                <w:szCs w:val="18"/>
                <w:color w:val="auto"/>
              </w:rPr>
              <w:t>32,355</w:t>
            </w:r>
          </w:p>
        </w:tc>
        <w:tc>
          <w:tcPr>
            <w:tcW w:w="1460" w:type="dxa"/>
            <w:vAlign w:val="bottom"/>
            <w:gridSpan w:val="2"/>
          </w:tcPr>
          <w:p>
            <w:pPr>
              <w:jc w:val="right"/>
              <w:ind w:right="141"/>
              <w:spacing w:after="0"/>
              <w:rPr>
                <w:sz w:val="20"/>
                <w:szCs w:val="20"/>
                <w:color w:val="auto"/>
              </w:rPr>
            </w:pPr>
            <w:r>
              <w:rPr>
                <w:rFonts w:ascii="Arial" w:cs="Arial" w:eastAsia="Arial" w:hAnsi="Arial"/>
                <w:sz w:val="18"/>
                <w:szCs w:val="18"/>
                <w:color w:val="auto"/>
              </w:rPr>
              <w:t>2,928</w:t>
            </w: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56</w:t>
            </w:r>
          </w:p>
        </w:tc>
        <w:tc>
          <w:tcPr>
            <w:tcW w:w="300" w:type="dxa"/>
            <w:vAlign w:val="bottom"/>
          </w:tcPr>
          <w:p>
            <w:pPr>
              <w:spacing w:after="0"/>
              <w:rPr>
                <w:sz w:val="20"/>
                <w:szCs w:val="20"/>
                <w:color w:val="auto"/>
              </w:rPr>
            </w:pPr>
          </w:p>
        </w:tc>
        <w:tc>
          <w:tcPr>
            <w:tcW w:w="1140" w:type="dxa"/>
            <w:vAlign w:val="bottom"/>
            <w:gridSpan w:val="2"/>
          </w:tcPr>
          <w:p>
            <w:pPr>
              <w:jc w:val="right"/>
              <w:ind w:right="141"/>
              <w:spacing w:after="0"/>
              <w:rPr>
                <w:sz w:val="20"/>
                <w:szCs w:val="20"/>
                <w:color w:val="auto"/>
              </w:rPr>
            </w:pPr>
            <w:r>
              <w:rPr>
                <w:rFonts w:ascii="Arial" w:cs="Arial" w:eastAsia="Arial" w:hAnsi="Arial"/>
                <w:sz w:val="18"/>
                <w:szCs w:val="18"/>
                <w:color w:val="auto"/>
              </w:rPr>
              <w:t>14</w:t>
            </w:r>
          </w:p>
        </w:tc>
        <w:tc>
          <w:tcPr>
            <w:tcW w:w="1240" w:type="dxa"/>
            <w:vAlign w:val="bottom"/>
          </w:tcPr>
          <w:p>
            <w:pPr>
              <w:jc w:val="right"/>
              <w:spacing w:after="0"/>
              <w:rPr>
                <w:sz w:val="20"/>
                <w:szCs w:val="20"/>
                <w:color w:val="auto"/>
              </w:rPr>
            </w:pPr>
            <w:r>
              <w:rPr>
                <w:rFonts w:ascii="Arial" w:cs="Arial" w:eastAsia="Arial" w:hAnsi="Arial"/>
                <w:sz w:val="18"/>
                <w:szCs w:val="18"/>
                <w:color w:val="auto"/>
              </w:rPr>
              <w:t>35,353</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12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2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30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4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61,176</w:t>
            </w: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(3,556</w:t>
            </w:r>
          </w:p>
        </w:tc>
        <w:tc>
          <w:tcPr>
            <w:tcW w:w="220" w:type="dxa"/>
            <w:vAlign w:val="bottom"/>
            <w:vMerge w:val="continue"/>
          </w:tcPr>
          <w:p>
            <w:pPr>
              <w:spacing w:after="0"/>
              <w:rPr>
                <w:sz w:val="21"/>
                <w:szCs w:val="21"/>
                <w:color w:val="auto"/>
              </w:rPr>
            </w:pPr>
          </w:p>
        </w:tc>
        <w:tc>
          <w:tcPr>
            <w:tcW w:w="1220" w:type="dxa"/>
            <w:vAlign w:val="bottom"/>
          </w:tcPr>
          <w:p>
            <w:pPr>
              <w:jc w:val="right"/>
              <w:spacing w:after="0"/>
              <w:rPr>
                <w:sz w:val="20"/>
                <w:szCs w:val="20"/>
                <w:color w:val="auto"/>
              </w:rPr>
            </w:pPr>
            <w:r>
              <w:rPr>
                <w:rFonts w:ascii="Arial" w:cs="Arial" w:eastAsia="Arial" w:hAnsi="Arial"/>
                <w:sz w:val="18"/>
                <w:szCs w:val="18"/>
                <w:b w:val="1"/>
                <w:bCs w:val="1"/>
                <w:color w:val="auto"/>
              </w:rPr>
              <w:t>(56</w:t>
            </w:r>
          </w:p>
        </w:tc>
        <w:tc>
          <w:tcPr>
            <w:tcW w:w="220" w:type="dxa"/>
            <w:vAlign w:val="bottom"/>
            <w:vMerge w:val="continue"/>
          </w:tcPr>
          <w:p>
            <w:pPr>
              <w:spacing w:after="0"/>
              <w:rPr>
                <w:sz w:val="21"/>
                <w:szCs w:val="21"/>
                <w:color w:val="auto"/>
              </w:rPr>
            </w:pPr>
          </w:p>
        </w:tc>
        <w:tc>
          <w:tcPr>
            <w:tcW w:w="300" w:type="dxa"/>
            <w:vAlign w:val="bottom"/>
          </w:tcPr>
          <w:p>
            <w:pPr>
              <w:spacing w:after="0"/>
              <w:rPr>
                <w:sz w:val="21"/>
                <w:szCs w:val="21"/>
                <w:color w:val="auto"/>
              </w:rPr>
            </w:pPr>
          </w:p>
        </w:tc>
        <w:tc>
          <w:tcPr>
            <w:tcW w:w="920" w:type="dxa"/>
            <w:vAlign w:val="bottom"/>
          </w:tcPr>
          <w:p>
            <w:pPr>
              <w:jc w:val="right"/>
              <w:spacing w:after="0"/>
              <w:rPr>
                <w:sz w:val="20"/>
                <w:szCs w:val="20"/>
                <w:color w:val="auto"/>
              </w:rPr>
            </w:pPr>
            <w:r>
              <w:rPr>
                <w:rFonts w:ascii="Arial" w:cs="Arial" w:eastAsia="Arial" w:hAnsi="Arial"/>
                <w:sz w:val="18"/>
                <w:szCs w:val="18"/>
                <w:b w:val="1"/>
                <w:bCs w:val="1"/>
                <w:color w:val="auto"/>
              </w:rPr>
              <w:t>(49</w:t>
            </w:r>
          </w:p>
        </w:tc>
        <w:tc>
          <w:tcPr>
            <w:tcW w:w="220" w:type="dxa"/>
            <w:vAlign w:val="bottom"/>
            <w:vMerge w:val="continue"/>
          </w:tcPr>
          <w:p>
            <w:pPr>
              <w:spacing w:after="0"/>
              <w:rPr>
                <w:sz w:val="21"/>
                <w:szCs w:val="21"/>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57,515</w:t>
            </w: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2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-2585085</wp:posOffset>
            </wp:positionH>
            <wp:positionV relativeFrom="paragraph">
              <wp:posOffset>-342265</wp:posOffset>
            </wp:positionV>
            <wp:extent cx="7132320" cy="14541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0">
                      <a:extLst>
                        <a:ext uri="{28A0092B-C50C-407E-A947-70E740481C1C}"/>
                      </a:extLst>
                    </a:blip>
                    <a:srcRect/>
                    <a:stretch>
                      <a:fillRect/>
                    </a:stretch>
                  </pic:blipFill>
                  <pic:spPr bwMode="auto">
                    <a:xfrm>
                      <a:off x="0" y="0"/>
                      <a:ext cx="7132320" cy="145415"/>
                    </a:xfrm>
                    <a:prstGeom prst="rect">
                      <a:avLst/>
                    </a:prstGeom>
                    <a:noFill/>
                  </pic:spPr>
                </pic:pic>
              </a:graphicData>
            </a:graphic>
          </wp:anchor>
        </w:drawing>
        <w:drawing>
          <wp:anchor simplePos="0" relativeHeight="251657728" behindDoc="1" locked="0" layoutInCell="0" allowOverlap="1">
            <wp:simplePos x="0" y="0"/>
            <wp:positionH relativeFrom="column">
              <wp:posOffset>-2585085</wp:posOffset>
            </wp:positionH>
            <wp:positionV relativeFrom="paragraph">
              <wp:posOffset>-899795</wp:posOffset>
            </wp:positionV>
            <wp:extent cx="7132320" cy="28321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1">
                      <a:extLst>
                        <a:ext uri="{28A0092B-C50C-407E-A947-70E740481C1C}"/>
                      </a:extLst>
                    </a:blip>
                    <a:srcRect/>
                    <a:stretch>
                      <a:fillRect/>
                    </a:stretch>
                  </pic:blipFill>
                  <pic:spPr bwMode="auto">
                    <a:xfrm>
                      <a:off x="0" y="0"/>
                      <a:ext cx="7132320" cy="283210"/>
                    </a:xfrm>
                    <a:prstGeom prst="rect">
                      <a:avLst/>
                    </a:prstGeom>
                    <a:noFill/>
                  </pic:spPr>
                </pic:pic>
              </a:graphicData>
            </a:graphic>
          </wp:anchor>
        </w:drawing>
      </w:r>
    </w:p>
    <w:p>
      <w:pPr>
        <w:spacing w:after="0" w:line="608" w:lineRule="exact"/>
        <w:rPr>
          <w:sz w:val="20"/>
          <w:szCs w:val="20"/>
          <w:color w:val="auto"/>
        </w:rPr>
      </w:pPr>
    </w:p>
    <w:p>
      <w:pPr>
        <w:sectPr>
          <w:pgSz w:w="11900" w:h="16838" w:orient="portrait"/>
          <w:cols w:equalWidth="0" w:num="2">
            <w:col w:w="3900" w:space="180"/>
            <w:col w:w="7160"/>
          </w:cols>
          <w:pgMar w:left="320" w:top="688" w:right="339" w:bottom="1440" w:gutter="0" w:footer="0" w:header="0"/>
          <w:type w:val="continuous"/>
        </w:sectPr>
      </w:pPr>
    </w:p>
    <w:p>
      <w:pPr>
        <w:spacing w:after="0" w:line="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Credit-impaired loans and advances are graded 8 to 10 in the Bank’s internal credit risk grading system.</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a reconciliation of changes in the net carrying amount of allowance for credit losses for credit-impaired loans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30"/>
        </w:trPr>
        <w:tc>
          <w:tcPr>
            <w:tcW w:w="7020" w:type="dxa"/>
            <w:vAlign w:val="bottom"/>
          </w:tcPr>
          <w:p>
            <w:pPr>
              <w:spacing w:after="0"/>
              <w:rPr>
                <w:sz w:val="19"/>
                <w:szCs w:val="19"/>
                <w:color w:val="auto"/>
              </w:rPr>
            </w:pPr>
          </w:p>
        </w:tc>
        <w:tc>
          <w:tcPr>
            <w:tcW w:w="15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gridSpan w:val="3"/>
          </w:tcPr>
          <w:p>
            <w:pPr>
              <w:jc w:val="right"/>
              <w:ind w:right="2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0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r>
      <w:tr>
        <w:trPr>
          <w:trHeight w:val="209"/>
        </w:trPr>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and advances at beginning of year</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54,573</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49,439</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020" w:type="dxa"/>
            <w:vAlign w:val="bottom"/>
          </w:tcPr>
          <w:p>
            <w:pPr>
              <w:spacing w:after="0"/>
              <w:rPr>
                <w:sz w:val="20"/>
                <w:szCs w:val="20"/>
                <w:color w:val="auto"/>
              </w:rPr>
            </w:pPr>
            <w:r>
              <w:rPr>
                <w:rFonts w:ascii="Arial" w:cs="Arial" w:eastAsia="Arial" w:hAnsi="Arial"/>
                <w:sz w:val="18"/>
                <w:szCs w:val="18"/>
                <w:color w:val="auto"/>
              </w:rPr>
              <w:t>Classified as credit-impaired during the year</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2,100</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Change in allowance for expected credit losses</w:t>
            </w:r>
          </w:p>
        </w:tc>
        <w:tc>
          <w:tcPr>
            <w:tcW w:w="15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(744)</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7,164</w:t>
            </w:r>
          </w:p>
        </w:tc>
        <w:tc>
          <w:tcPr>
            <w:tcW w:w="100" w:type="dxa"/>
            <w:vAlign w:val="bottom"/>
            <w:shd w:val="clear" w:color="auto" w:fill="CCEEFF"/>
          </w:tcPr>
          <w:p>
            <w:pPr>
              <w:spacing w:after="0"/>
              <w:rPr>
                <w:sz w:val="18"/>
                <w:szCs w:val="18"/>
                <w:color w:val="auto"/>
              </w:rPr>
            </w:pPr>
          </w:p>
        </w:tc>
      </w:tr>
      <w:tr>
        <w:trPr>
          <w:trHeight w:val="216"/>
        </w:trPr>
        <w:tc>
          <w:tcPr>
            <w:tcW w:w="7020" w:type="dxa"/>
            <w:vAlign w:val="bottom"/>
          </w:tcPr>
          <w:p>
            <w:pPr>
              <w:spacing w:after="0"/>
              <w:rPr>
                <w:sz w:val="20"/>
                <w:szCs w:val="20"/>
                <w:color w:val="auto"/>
              </w:rPr>
            </w:pPr>
            <w:r>
              <w:rPr>
                <w:rFonts w:ascii="Arial" w:cs="Arial" w:eastAsia="Arial" w:hAnsi="Arial"/>
                <w:sz w:val="18"/>
                <w:szCs w:val="18"/>
                <w:color w:val="auto"/>
              </w:rPr>
              <w:t>Recoveries of amounts previously written off</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139</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52</w:t>
            </w:r>
          </w:p>
        </w:tc>
        <w:tc>
          <w:tcPr>
            <w:tcW w:w="100" w:type="dxa"/>
            <w:vAlign w:val="bottom"/>
          </w:tcPr>
          <w:p>
            <w:pPr>
              <w:spacing w:after="0"/>
              <w:rPr>
                <w:sz w:val="18"/>
                <w:szCs w:val="18"/>
                <w:color w:val="auto"/>
              </w:rPr>
            </w:pPr>
          </w:p>
        </w:tc>
      </w:tr>
      <w:tr>
        <w:trPr>
          <w:trHeight w:val="216"/>
        </w:trPr>
        <w:tc>
          <w:tcPr>
            <w:tcW w:w="702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5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626</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323</w:t>
            </w:r>
          </w:p>
        </w:tc>
        <w:tc>
          <w:tcPr>
            <w:tcW w:w="100" w:type="dxa"/>
            <w:vAlign w:val="bottom"/>
            <w:shd w:val="clear" w:color="auto" w:fill="CCEEFF"/>
          </w:tcPr>
          <w:p>
            <w:pPr>
              <w:spacing w:after="0"/>
              <w:rPr>
                <w:sz w:val="18"/>
                <w:szCs w:val="18"/>
                <w:color w:val="auto"/>
              </w:rPr>
            </w:pPr>
          </w:p>
        </w:tc>
      </w:tr>
      <w:tr>
        <w:trPr>
          <w:trHeight w:val="230"/>
        </w:trPr>
        <w:tc>
          <w:tcPr>
            <w:tcW w:w="7020" w:type="dxa"/>
            <w:vAlign w:val="bottom"/>
          </w:tcPr>
          <w:p>
            <w:pPr>
              <w:spacing w:after="0"/>
              <w:rPr>
                <w:sz w:val="20"/>
                <w:szCs w:val="20"/>
                <w:color w:val="auto"/>
              </w:rPr>
            </w:pPr>
            <w:r>
              <w:rPr>
                <w:rFonts w:ascii="Arial" w:cs="Arial" w:eastAsia="Arial" w:hAnsi="Arial"/>
                <w:sz w:val="18"/>
                <w:szCs w:val="18"/>
                <w:color w:val="auto"/>
              </w:rPr>
              <w:t>Write-offs</w:t>
            </w:r>
          </w:p>
        </w:tc>
        <w:tc>
          <w:tcPr>
            <w:tcW w:w="1580" w:type="dxa"/>
            <w:vAlign w:val="bottom"/>
            <w:gridSpan w:val="2"/>
          </w:tcPr>
          <w:p>
            <w:pPr>
              <w:jc w:val="right"/>
              <w:ind w:right="140"/>
              <w:spacing w:after="0"/>
              <w:rPr>
                <w:sz w:val="20"/>
                <w:szCs w:val="20"/>
                <w:color w:val="auto"/>
              </w:rPr>
            </w:pPr>
            <w:r>
              <w:rPr>
                <w:rFonts w:ascii="Arial" w:cs="Arial" w:eastAsia="Arial" w:hAnsi="Arial"/>
                <w:sz w:val="18"/>
                <w:szCs w:val="18"/>
                <w:color w:val="auto"/>
              </w:rPr>
              <w:t>(52,106)</w:t>
            </w:r>
          </w:p>
        </w:tc>
        <w:tc>
          <w:tcPr>
            <w:tcW w:w="1500" w:type="dxa"/>
            <w:vAlign w:val="bottom"/>
            <w:gridSpan w:val="3"/>
          </w:tcPr>
          <w:p>
            <w:pPr>
              <w:jc w:val="right"/>
              <w:ind w:right="60"/>
              <w:spacing w:after="0"/>
              <w:rPr>
                <w:sz w:val="20"/>
                <w:szCs w:val="20"/>
                <w:color w:val="auto"/>
              </w:rPr>
            </w:pPr>
            <w:r>
              <w:rPr>
                <w:rFonts w:ascii="Arial" w:cs="Arial" w:eastAsia="Arial" w:hAnsi="Arial"/>
                <w:sz w:val="18"/>
                <w:szCs w:val="18"/>
                <w:color w:val="auto"/>
              </w:rPr>
              <w:t>(2,405)</w:t>
            </w:r>
          </w:p>
        </w:tc>
      </w:tr>
      <w:tr>
        <w:trPr>
          <w:trHeight w:val="223"/>
        </w:trPr>
        <w:tc>
          <w:tcPr>
            <w:tcW w:w="70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spacing w:after="0"/>
              <w:rPr>
                <w:sz w:val="19"/>
                <w:szCs w:val="19"/>
                <w:color w:val="auto"/>
              </w:rPr>
            </w:pPr>
          </w:p>
        </w:tc>
        <w:tc>
          <w:tcPr>
            <w:tcW w:w="2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r>
      <w:tr>
        <w:trPr>
          <w:trHeight w:val="256"/>
        </w:trPr>
        <w:tc>
          <w:tcPr>
            <w:tcW w:w="7020" w:type="dxa"/>
            <w:vAlign w:val="bottom"/>
          </w:tcPr>
          <w:p>
            <w:pPr>
              <w:spacing w:after="0"/>
              <w:rPr>
                <w:sz w:val="20"/>
                <w:szCs w:val="20"/>
                <w:color w:val="auto"/>
              </w:rPr>
            </w:pPr>
            <w:r>
              <w:rPr>
                <w:rFonts w:ascii="Arial" w:cs="Arial" w:eastAsia="Arial" w:hAnsi="Arial"/>
                <w:sz w:val="18"/>
                <w:szCs w:val="18"/>
                <w:color w:val="auto"/>
              </w:rPr>
              <w:t>Credit-impaired loans and advances at end of year</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4,588</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54,573</w:t>
            </w:r>
          </w:p>
        </w:tc>
        <w:tc>
          <w:tcPr>
            <w:tcW w:w="100" w:type="dxa"/>
            <w:vAlign w:val="bottom"/>
          </w:tcPr>
          <w:p>
            <w:pPr>
              <w:spacing w:after="0"/>
              <w:rPr>
                <w:sz w:val="22"/>
                <w:szCs w:val="22"/>
                <w:color w:val="auto"/>
              </w:rPr>
            </w:pPr>
          </w:p>
        </w:tc>
      </w:tr>
      <w:tr>
        <w:trPr>
          <w:trHeight w:val="20"/>
        </w:trPr>
        <w:tc>
          <w:tcPr>
            <w:tcW w:w="702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During the year ended December 31, 2020, the sale of the outstanding credit-impaired loan in Stage 3, classified at amortized cost, was made for $11.6 million. This sale resulted in a write off against the allowance for credit losses of $ 52.1 million.</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187" w:name="page188"/>
    <w:bookmarkEnd w:id="18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8820" w:hanging="332"/>
        <w:spacing w:after="0" w:line="532" w:lineRule="auto"/>
        <w:tabs>
          <w:tab w:leader="none" w:pos="340" w:val="left"/>
        </w:tabs>
        <w:numPr>
          <w:ilvl w:val="0"/>
          <w:numId w:val="19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rFonts w:ascii="Arial" w:cs="Arial" w:eastAsia="Arial" w:hAnsi="Arial"/>
          <w:sz w:val="17"/>
          <w:szCs w:val="17"/>
          <w:b w:val="1"/>
          <w:bCs w:val="1"/>
          <w:color w:val="auto"/>
        </w:rPr>
      </w:pPr>
    </w:p>
    <w:p>
      <w:pPr>
        <w:ind w:left="1140" w:hanging="498"/>
        <w:spacing w:after="0"/>
        <w:tabs>
          <w:tab w:leader="none" w:pos="1140" w:val="left"/>
        </w:tabs>
        <w:numPr>
          <w:ilvl w:val="2"/>
          <w:numId w:val="194"/>
        </w:numPr>
        <w:rPr>
          <w:rFonts w:ascii="Arial" w:cs="Arial" w:eastAsia="Arial" w:hAnsi="Arial"/>
          <w:sz w:val="18"/>
          <w:szCs w:val="18"/>
          <w:color w:val="auto"/>
        </w:rPr>
      </w:pPr>
      <w:r>
        <w:rPr>
          <w:rFonts w:ascii="Arial" w:cs="Arial" w:eastAsia="Arial" w:hAnsi="Arial"/>
          <w:sz w:val="18"/>
          <w:szCs w:val="18"/>
          <w:color w:val="auto"/>
        </w:rPr>
        <w:t>Concentrations of credit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230"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3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160" w:type="dxa"/>
            <w:vAlign w:val="bottom"/>
            <w:gridSpan w:val="4"/>
            <w:vMerge w:val="restart"/>
          </w:tcPr>
          <w:p>
            <w:pPr>
              <w:jc w:val="center"/>
              <w:ind w:right="220"/>
              <w:spacing w:after="0"/>
              <w:rPr>
                <w:sz w:val="20"/>
                <w:szCs w:val="20"/>
                <w:color w:val="auto"/>
              </w:rPr>
            </w:pPr>
            <w:r>
              <w:rPr>
                <w:rFonts w:ascii="Arial" w:cs="Arial" w:eastAsia="Arial" w:hAnsi="Arial"/>
                <w:sz w:val="14"/>
                <w:szCs w:val="14"/>
                <w:b w:val="1"/>
                <w:bCs w:val="1"/>
                <w:color w:val="auto"/>
                <w:w w:val="92"/>
              </w:rPr>
              <w:t>Loan commitments and</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ind w:left="660"/>
              <w:spacing w:after="0"/>
              <w:rPr>
                <w:sz w:val="20"/>
                <w:szCs w:val="20"/>
                <w:color w:val="auto"/>
              </w:rPr>
            </w:pPr>
            <w:r>
              <w:rPr>
                <w:rFonts w:ascii="Arial" w:cs="Arial" w:eastAsia="Arial" w:hAnsi="Arial"/>
                <w:sz w:val="14"/>
                <w:szCs w:val="14"/>
                <w:b w:val="1"/>
                <w:bCs w:val="1"/>
                <w:color w:val="auto"/>
              </w:rPr>
              <w:t>Securities</w:t>
            </w:r>
          </w:p>
        </w:tc>
        <w:tc>
          <w:tcPr>
            <w:tcW w:w="8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6"/>
        </w:trPr>
        <w:tc>
          <w:tcPr>
            <w:tcW w:w="2300" w:type="dxa"/>
            <w:vAlign w:val="bottom"/>
          </w:tcPr>
          <w:p>
            <w:pPr>
              <w:spacing w:after="0"/>
              <w:rPr>
                <w:sz w:val="9"/>
                <w:szCs w:val="9"/>
                <w:color w:val="auto"/>
              </w:rPr>
            </w:pPr>
          </w:p>
        </w:tc>
        <w:tc>
          <w:tcPr>
            <w:tcW w:w="2220" w:type="dxa"/>
            <w:vAlign w:val="bottom"/>
            <w:gridSpan w:val="4"/>
            <w:vMerge w:val="restart"/>
          </w:tcPr>
          <w:p>
            <w:pPr>
              <w:ind w:left="260"/>
              <w:spacing w:after="0"/>
              <w:rPr>
                <w:sz w:val="20"/>
                <w:szCs w:val="20"/>
                <w:color w:val="auto"/>
              </w:rPr>
            </w:pPr>
            <w:r>
              <w:rPr>
                <w:rFonts w:ascii="Arial" w:cs="Arial" w:eastAsia="Arial" w:hAnsi="Arial"/>
                <w:sz w:val="14"/>
                <w:szCs w:val="14"/>
                <w:b w:val="1"/>
                <w:bCs w:val="1"/>
                <w:color w:val="auto"/>
              </w:rPr>
              <w:t>Loans at amortized cost</w:t>
            </w:r>
          </w:p>
        </w:tc>
        <w:tc>
          <w:tcPr>
            <w:tcW w:w="2160" w:type="dxa"/>
            <w:vAlign w:val="bottom"/>
            <w:gridSpan w:val="4"/>
            <w:vMerge w:val="continue"/>
          </w:tcPr>
          <w:p>
            <w:pPr>
              <w:spacing w:after="0"/>
              <w:rPr>
                <w:sz w:val="9"/>
                <w:szCs w:val="9"/>
                <w:color w:val="auto"/>
              </w:rPr>
            </w:pPr>
          </w:p>
        </w:tc>
        <w:tc>
          <w:tcPr>
            <w:tcW w:w="2160" w:type="dxa"/>
            <w:vAlign w:val="bottom"/>
            <w:gridSpan w:val="4"/>
            <w:vMerge w:val="restart"/>
          </w:tcPr>
          <w:p>
            <w:pPr>
              <w:ind w:left="420"/>
              <w:spacing w:after="0"/>
              <w:rPr>
                <w:sz w:val="20"/>
                <w:szCs w:val="20"/>
                <w:color w:val="auto"/>
              </w:rPr>
            </w:pPr>
            <w:r>
              <w:rPr>
                <w:rFonts w:ascii="Arial" w:cs="Arial" w:eastAsia="Arial" w:hAnsi="Arial"/>
                <w:sz w:val="14"/>
                <w:szCs w:val="14"/>
                <w:b w:val="1"/>
                <w:bCs w:val="1"/>
                <w:color w:val="auto"/>
              </w:rPr>
              <w:t>At amortized cost</w:t>
            </w:r>
          </w:p>
        </w:tc>
        <w:tc>
          <w:tcPr>
            <w:tcW w:w="2040" w:type="dxa"/>
            <w:vAlign w:val="bottom"/>
            <w:gridSpan w:val="4"/>
            <w:vMerge w:val="restart"/>
          </w:tcPr>
          <w:p>
            <w:pPr>
              <w:ind w:left="740"/>
              <w:spacing w:after="0"/>
              <w:rPr>
                <w:sz w:val="20"/>
                <w:szCs w:val="20"/>
                <w:color w:val="auto"/>
              </w:rPr>
            </w:pPr>
            <w:r>
              <w:rPr>
                <w:rFonts w:ascii="Arial" w:cs="Arial" w:eastAsia="Arial" w:hAnsi="Arial"/>
                <w:sz w:val="14"/>
                <w:szCs w:val="14"/>
                <w:b w:val="1"/>
                <w:bCs w:val="1"/>
                <w:color w:val="auto"/>
              </w:rPr>
              <w:t>FVOCI</w:t>
            </w:r>
          </w:p>
        </w:tc>
        <w:tc>
          <w:tcPr>
            <w:tcW w:w="0" w:type="dxa"/>
            <w:vAlign w:val="bottom"/>
          </w:tcPr>
          <w:p>
            <w:pPr>
              <w:spacing w:after="0"/>
              <w:rPr>
                <w:sz w:val="1"/>
                <w:szCs w:val="1"/>
                <w:color w:val="auto"/>
              </w:rPr>
            </w:pPr>
          </w:p>
        </w:tc>
      </w:tr>
      <w:tr>
        <w:trPr>
          <w:trHeight w:val="171"/>
        </w:trPr>
        <w:tc>
          <w:tcPr>
            <w:tcW w:w="2300" w:type="dxa"/>
            <w:vAlign w:val="bottom"/>
          </w:tcPr>
          <w:p>
            <w:pPr>
              <w:spacing w:after="0"/>
              <w:rPr>
                <w:sz w:val="14"/>
                <w:szCs w:val="14"/>
                <w:color w:val="auto"/>
              </w:rPr>
            </w:pPr>
          </w:p>
        </w:tc>
        <w:tc>
          <w:tcPr>
            <w:tcW w:w="2220" w:type="dxa"/>
            <w:vAlign w:val="bottom"/>
            <w:gridSpan w:val="4"/>
            <w:vMerge w:val="continue"/>
          </w:tcPr>
          <w:p>
            <w:pPr>
              <w:spacing w:after="0"/>
              <w:rPr>
                <w:sz w:val="14"/>
                <w:szCs w:val="14"/>
                <w:color w:val="auto"/>
              </w:rPr>
            </w:pPr>
          </w:p>
        </w:tc>
        <w:tc>
          <w:tcPr>
            <w:tcW w:w="2160" w:type="dxa"/>
            <w:vAlign w:val="bottom"/>
            <w:gridSpan w:val="4"/>
          </w:tcPr>
          <w:p>
            <w:pPr>
              <w:jc w:val="center"/>
              <w:ind w:right="220"/>
              <w:spacing w:after="0"/>
              <w:rPr>
                <w:sz w:val="20"/>
                <w:szCs w:val="20"/>
                <w:color w:val="auto"/>
              </w:rPr>
            </w:pPr>
            <w:r>
              <w:rPr>
                <w:rFonts w:ascii="Arial" w:cs="Arial" w:eastAsia="Arial" w:hAnsi="Arial"/>
                <w:sz w:val="14"/>
                <w:szCs w:val="14"/>
                <w:b w:val="1"/>
                <w:bCs w:val="1"/>
                <w:color w:val="auto"/>
                <w:w w:val="91"/>
              </w:rPr>
              <w:t>financial guarantee contracts</w:t>
            </w:r>
          </w:p>
        </w:tc>
        <w:tc>
          <w:tcPr>
            <w:tcW w:w="2160" w:type="dxa"/>
            <w:vAlign w:val="bottom"/>
            <w:gridSpan w:val="4"/>
            <w:vMerge w:val="continue"/>
          </w:tcPr>
          <w:p>
            <w:pPr>
              <w:spacing w:after="0"/>
              <w:rPr>
                <w:sz w:val="14"/>
                <w:szCs w:val="14"/>
                <w:color w:val="auto"/>
              </w:rPr>
            </w:pPr>
          </w:p>
        </w:tc>
        <w:tc>
          <w:tcPr>
            <w:tcW w:w="2040" w:type="dxa"/>
            <w:vAlign w:val="bottom"/>
            <w:gridSpan w:val="4"/>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2300" w:type="dxa"/>
            <w:vAlign w:val="bottom"/>
          </w:tcPr>
          <w:p>
            <w:pPr>
              <w:spacing w:after="0"/>
              <w:rPr>
                <w:sz w:val="11"/>
                <w:szCs w:val="11"/>
                <w:color w:val="auto"/>
              </w:rPr>
            </w:pPr>
          </w:p>
        </w:tc>
        <w:tc>
          <w:tcPr>
            <w:tcW w:w="1140" w:type="dxa"/>
            <w:vAlign w:val="bottom"/>
            <w:tcBorders>
              <w:top w:val="single" w:sz="8" w:color="auto"/>
            </w:tcBorders>
            <w:gridSpan w:val="2"/>
          </w:tcPr>
          <w:p>
            <w:pPr>
              <w:ind w:left="20"/>
              <w:spacing w:after="0" w:line="133" w:lineRule="exact"/>
              <w:rPr>
                <w:sz w:val="20"/>
                <w:szCs w:val="20"/>
                <w:color w:val="auto"/>
              </w:rPr>
            </w:pPr>
            <w:r>
              <w:rPr>
                <w:rFonts w:ascii="Arial" w:cs="Arial" w:eastAsia="Arial" w:hAnsi="Arial"/>
                <w:sz w:val="14"/>
                <w:szCs w:val="14"/>
                <w:b w:val="1"/>
                <w:bCs w:val="1"/>
                <w:color w:val="auto"/>
              </w:rPr>
              <w:t>December 31,</w:t>
            </w:r>
          </w:p>
        </w:tc>
        <w:tc>
          <w:tcPr>
            <w:tcW w:w="8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0"/>
              </w:rPr>
              <w:t>December 31,</w:t>
            </w:r>
          </w:p>
        </w:tc>
        <w:tc>
          <w:tcPr>
            <w:tcW w:w="220" w:type="dxa"/>
            <w:vAlign w:val="bottom"/>
          </w:tcPr>
          <w:p>
            <w:pPr>
              <w:spacing w:after="0"/>
              <w:rPr>
                <w:sz w:val="11"/>
                <w:szCs w:val="11"/>
                <w:color w:val="auto"/>
              </w:rPr>
            </w:pPr>
          </w:p>
        </w:tc>
        <w:tc>
          <w:tcPr>
            <w:tcW w:w="1080" w:type="dxa"/>
            <w:vAlign w:val="bottom"/>
            <w:tcBorders>
              <w:top w:val="single" w:sz="8" w:color="auto"/>
            </w:tcBorders>
            <w:gridSpan w:val="2"/>
          </w:tcPr>
          <w:p>
            <w:pPr>
              <w:spacing w:after="0" w:line="133" w:lineRule="exact"/>
              <w:rPr>
                <w:sz w:val="20"/>
                <w:szCs w:val="20"/>
                <w:color w:val="auto"/>
              </w:rPr>
            </w:pPr>
            <w:r>
              <w:rPr>
                <w:rFonts w:ascii="Arial" w:cs="Arial" w:eastAsia="Arial" w:hAnsi="Arial"/>
                <w:sz w:val="14"/>
                <w:szCs w:val="14"/>
                <w:b w:val="1"/>
                <w:bCs w:val="1"/>
                <w:color w:val="auto"/>
              </w:rPr>
              <w:t>December 31,</w:t>
            </w:r>
          </w:p>
        </w:tc>
        <w:tc>
          <w:tcPr>
            <w:tcW w:w="8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0"/>
              </w:rPr>
              <w:t>December 31,</w:t>
            </w:r>
          </w:p>
        </w:tc>
        <w:tc>
          <w:tcPr>
            <w:tcW w:w="220" w:type="dxa"/>
            <w:vAlign w:val="bottom"/>
          </w:tcPr>
          <w:p>
            <w:pPr>
              <w:spacing w:after="0"/>
              <w:rPr>
                <w:sz w:val="11"/>
                <w:szCs w:val="11"/>
                <w:color w:val="auto"/>
              </w:rPr>
            </w:pPr>
          </w:p>
        </w:tc>
        <w:tc>
          <w:tcPr>
            <w:tcW w:w="1080" w:type="dxa"/>
            <w:vAlign w:val="bottom"/>
            <w:tcBorders>
              <w:top w:val="single" w:sz="8" w:color="auto"/>
            </w:tcBorders>
            <w:gridSpan w:val="2"/>
          </w:tcPr>
          <w:p>
            <w:pPr>
              <w:spacing w:after="0" w:line="133" w:lineRule="exact"/>
              <w:rPr>
                <w:sz w:val="20"/>
                <w:szCs w:val="20"/>
                <w:color w:val="auto"/>
              </w:rPr>
            </w:pPr>
            <w:r>
              <w:rPr>
                <w:rFonts w:ascii="Arial" w:cs="Arial" w:eastAsia="Arial" w:hAnsi="Arial"/>
                <w:sz w:val="14"/>
                <w:szCs w:val="14"/>
                <w:b w:val="1"/>
                <w:bCs w:val="1"/>
                <w:color w:val="auto"/>
              </w:rPr>
              <w:t>December 31,</w:t>
            </w:r>
          </w:p>
        </w:tc>
        <w:tc>
          <w:tcPr>
            <w:tcW w:w="8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0"/>
              </w:rPr>
              <w:t>December 31,</w:t>
            </w:r>
          </w:p>
        </w:tc>
        <w:tc>
          <w:tcPr>
            <w:tcW w:w="220" w:type="dxa"/>
            <w:vAlign w:val="bottom"/>
          </w:tcPr>
          <w:p>
            <w:pPr>
              <w:spacing w:after="0"/>
              <w:rPr>
                <w:sz w:val="11"/>
                <w:szCs w:val="11"/>
                <w:color w:val="auto"/>
              </w:rPr>
            </w:pPr>
          </w:p>
        </w:tc>
        <w:tc>
          <w:tcPr>
            <w:tcW w:w="1080" w:type="dxa"/>
            <w:vAlign w:val="bottom"/>
            <w:tcBorders>
              <w:top w:val="single" w:sz="8" w:color="auto"/>
            </w:tcBorders>
            <w:gridSpan w:val="2"/>
          </w:tcPr>
          <w:p>
            <w:pPr>
              <w:spacing w:after="0" w:line="133" w:lineRule="exact"/>
              <w:rPr>
                <w:sz w:val="20"/>
                <w:szCs w:val="20"/>
                <w:color w:val="auto"/>
              </w:rPr>
            </w:pPr>
            <w:r>
              <w:rPr>
                <w:rFonts w:ascii="Arial" w:cs="Arial" w:eastAsia="Arial" w:hAnsi="Arial"/>
                <w:sz w:val="14"/>
                <w:szCs w:val="14"/>
                <w:b w:val="1"/>
                <w:bCs w:val="1"/>
                <w:color w:val="auto"/>
              </w:rPr>
              <w:t>December 31,</w:t>
            </w:r>
          </w:p>
        </w:tc>
        <w:tc>
          <w:tcPr>
            <w:tcW w:w="86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0"/>
              </w:rPr>
              <w:t>December 31,</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23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2019</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2019</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2019</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2019</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30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4,911,397</w:t>
            </w:r>
          </w:p>
        </w:tc>
        <w:tc>
          <w:tcPr>
            <w:tcW w:w="24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5,892,997</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74,366</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115,682</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164,074</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74,547</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231,348</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5,094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00" w:type="dxa"/>
            <w:vAlign w:val="bottom"/>
          </w:tcPr>
          <w:p>
            <w:pPr>
              <w:spacing w:after="0" w:line="149" w:lineRule="exact"/>
              <w:rPr>
                <w:sz w:val="20"/>
                <w:szCs w:val="20"/>
                <w:color w:val="auto"/>
              </w:rPr>
            </w:pPr>
            <w:r>
              <w:rPr>
                <w:rFonts w:ascii="Arial" w:cs="Arial" w:eastAsia="Arial" w:hAnsi="Arial"/>
                <w:sz w:val="14"/>
                <w:szCs w:val="14"/>
                <w:color w:val="auto"/>
              </w:rPr>
              <w:t>Amount committed/guaranteed</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564,898</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493,372</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sector</w:t>
            </w: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Corporations:</w:t>
            </w: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00" w:type="dxa"/>
            <w:vAlign w:val="bottom"/>
          </w:tcPr>
          <w:p>
            <w:pPr>
              <w:ind w:left="160"/>
              <w:spacing w:after="0" w:line="149" w:lineRule="exact"/>
              <w:rPr>
                <w:sz w:val="20"/>
                <w:szCs w:val="20"/>
                <w:color w:val="auto"/>
              </w:rPr>
            </w:pPr>
            <w:r>
              <w:rPr>
                <w:rFonts w:ascii="Arial" w:cs="Arial" w:eastAsia="Arial" w:hAnsi="Arial"/>
                <w:sz w:val="14"/>
                <w:szCs w:val="14"/>
                <w:color w:val="auto"/>
              </w:rPr>
              <w:t>Private</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1,425,929</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1,782,808</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276,249</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213,161</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56,979</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2,998</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60,403</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State-owned</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741,791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780,491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92,299</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69,822</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29,985</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23,792</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23,858</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tcPr>
          <w:p>
            <w:pPr>
              <w:spacing w:after="0" w:line="149" w:lineRule="exact"/>
              <w:rPr>
                <w:sz w:val="20"/>
                <w:szCs w:val="20"/>
                <w:color w:val="auto"/>
              </w:rPr>
            </w:pPr>
            <w:r>
              <w:rPr>
                <w:rFonts w:ascii="Arial" w:cs="Arial" w:eastAsia="Arial" w:hAnsi="Arial"/>
                <w:sz w:val="14"/>
                <w:szCs w:val="14"/>
                <w:color w:val="auto"/>
              </w:rPr>
              <w:t>Financial institutions:</w:t>
            </w: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Private</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2,231,742</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2,692,787</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65,434</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75,130</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33,715</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19,276</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tcPr>
          <w:p>
            <w:pPr>
              <w:ind w:left="160"/>
              <w:spacing w:after="0" w:line="149" w:lineRule="exact"/>
              <w:rPr>
                <w:sz w:val="20"/>
                <w:szCs w:val="20"/>
                <w:color w:val="auto"/>
              </w:rPr>
            </w:pPr>
            <w:r>
              <w:rPr>
                <w:rFonts w:ascii="Arial" w:cs="Arial" w:eastAsia="Arial" w:hAnsi="Arial"/>
                <w:sz w:val="14"/>
                <w:szCs w:val="14"/>
                <w:color w:val="auto"/>
              </w:rPr>
              <w:t>State-owned</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476,520</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589,690</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205,282</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250,941</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28,276</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141,974</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300" w:type="dxa"/>
            <w:vAlign w:val="bottom"/>
            <w:shd w:val="clear" w:color="auto" w:fill="CCEEFF"/>
          </w:tcPr>
          <w:p>
            <w:pPr>
              <w:spacing w:after="0"/>
              <w:rPr>
                <w:sz w:val="20"/>
                <w:szCs w:val="20"/>
                <w:color w:val="auto"/>
              </w:rPr>
            </w:pPr>
            <w:r>
              <w:rPr>
                <w:rFonts w:ascii="Arial" w:cs="Arial" w:eastAsia="Arial" w:hAnsi="Arial"/>
                <w:sz w:val="14"/>
                <w:szCs w:val="14"/>
                <w:color w:val="auto"/>
              </w:rPr>
              <w:t>Sovereign</w:t>
            </w: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35,415</w:t>
            </w:r>
          </w:p>
        </w:tc>
        <w:tc>
          <w:tcPr>
            <w:tcW w:w="24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47,221</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15,119</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28,481</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5,113</w:t>
            </w:r>
          </w:p>
        </w:tc>
        <w:tc>
          <w:tcPr>
            <w:tcW w:w="220" w:type="dxa"/>
            <w:vAlign w:val="bottom"/>
            <w:shd w:val="clear" w:color="auto" w:fill="CCEEFF"/>
          </w:tcPr>
          <w:p>
            <w:pPr>
              <w:spacing w:after="0"/>
              <w:rPr>
                <w:sz w:val="14"/>
                <w:szCs w:val="14"/>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5,094</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3"/>
        </w:trPr>
        <w:tc>
          <w:tcPr>
            <w:tcW w:w="2300" w:type="dxa"/>
            <w:vAlign w:val="bottom"/>
          </w:tcPr>
          <w:p>
            <w:pPr>
              <w:spacing w:after="0"/>
              <w:rPr>
                <w:sz w:val="20"/>
                <w:szCs w:val="20"/>
                <w:color w:val="auto"/>
              </w:rPr>
            </w:pPr>
            <w:r>
              <w:rPr>
                <w:rFonts w:ascii="Arial" w:cs="Arial" w:eastAsia="Arial" w:hAnsi="Arial"/>
                <w:sz w:val="14"/>
                <w:szCs w:val="14"/>
                <w:color w:val="auto"/>
              </w:rPr>
              <w:t>Total</w:t>
            </w:r>
          </w:p>
        </w:tc>
        <w:tc>
          <w:tcPr>
            <w:tcW w:w="114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4,911,397</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5,892,997</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639,264</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609,054</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164,074</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74,547</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rPr>
              <w:t>231,348</w:t>
            </w:r>
          </w:p>
        </w:tc>
        <w:tc>
          <w:tcPr>
            <w:tcW w:w="960" w:type="dxa"/>
            <w:vAlign w:val="bottom"/>
            <w:gridSpan w:val="2"/>
          </w:tcPr>
          <w:p>
            <w:pPr>
              <w:jc w:val="right"/>
              <w:ind w:right="100"/>
              <w:spacing w:after="0"/>
              <w:rPr>
                <w:sz w:val="20"/>
                <w:szCs w:val="20"/>
                <w:color w:val="auto"/>
              </w:rPr>
            </w:pPr>
            <w:r>
              <w:rPr>
                <w:rFonts w:ascii="Arial" w:cs="Arial" w:eastAsia="Arial" w:hAnsi="Arial"/>
                <w:sz w:val="14"/>
                <w:szCs w:val="14"/>
                <w:b w:val="1"/>
                <w:bCs w:val="1"/>
                <w:color w:val="auto"/>
              </w:rPr>
              <w:t>5,094</w:t>
            </w:r>
          </w:p>
        </w:tc>
        <w:tc>
          <w:tcPr>
            <w:tcW w:w="0" w:type="dxa"/>
            <w:vAlign w:val="bottom"/>
          </w:tcPr>
          <w:p>
            <w:pPr>
              <w:spacing w:after="0"/>
              <w:rPr>
                <w:sz w:val="1"/>
                <w:szCs w:val="1"/>
                <w:color w:val="auto"/>
              </w:rPr>
            </w:pPr>
          </w:p>
        </w:tc>
      </w:tr>
      <w:tr>
        <w:trPr>
          <w:trHeight w:val="129"/>
        </w:trPr>
        <w:tc>
          <w:tcPr>
            <w:tcW w:w="230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30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industry</w:t>
            </w: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institutions</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2,708,262</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3,282,477</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270,716</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326,071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61,991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19,276</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141,974</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tcPr>
          <w:p>
            <w:pPr>
              <w:spacing w:after="0" w:line="149" w:lineRule="exact"/>
              <w:rPr>
                <w:sz w:val="20"/>
                <w:szCs w:val="20"/>
                <w:color w:val="auto"/>
              </w:rPr>
            </w:pPr>
            <w:r>
              <w:rPr>
                <w:rFonts w:ascii="Arial" w:cs="Arial" w:eastAsia="Arial" w:hAnsi="Arial"/>
                <w:sz w:val="14"/>
                <w:szCs w:val="14"/>
                <w:color w:val="auto"/>
              </w:rPr>
              <w:t>Manufacturing</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760,985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925,375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173,493</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143,560</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66,053</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21,658</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45,654</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Oil and petroleum derived products</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586,030</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561,068</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98,189</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71,571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20,911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5,132</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38,607</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tcPr>
          <w:p>
            <w:pPr>
              <w:spacing w:after="0" w:line="149" w:lineRule="exact"/>
              <w:rPr>
                <w:sz w:val="20"/>
                <w:szCs w:val="20"/>
                <w:color w:val="auto"/>
              </w:rPr>
            </w:pPr>
            <w:r>
              <w:rPr>
                <w:rFonts w:ascii="Arial" w:cs="Arial" w:eastAsia="Arial" w:hAnsi="Arial"/>
                <w:sz w:val="14"/>
                <w:szCs w:val="14"/>
                <w:color w:val="auto"/>
              </w:rPr>
              <w:t>Agricultural</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336,715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327,288</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Services</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264,597</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370,753</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63,086</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20,497</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tcPr>
          <w:p>
            <w:pPr>
              <w:spacing w:after="0" w:line="149" w:lineRule="exact"/>
              <w:rPr>
                <w:sz w:val="20"/>
                <w:szCs w:val="20"/>
                <w:color w:val="auto"/>
              </w:rPr>
            </w:pPr>
            <w:r>
              <w:rPr>
                <w:rFonts w:ascii="Arial" w:cs="Arial" w:eastAsia="Arial" w:hAnsi="Arial"/>
                <w:sz w:val="14"/>
                <w:szCs w:val="14"/>
                <w:color w:val="auto"/>
              </w:rPr>
              <w:t>Mining</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94,955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162,364</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Sovereign</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35,415</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47,221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15,119</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28,481</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5,113</w:t>
            </w: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5,094</w:t>
            </w:r>
          </w:p>
        </w:tc>
        <w:tc>
          <w:tcPr>
            <w:tcW w:w="0" w:type="dxa"/>
            <w:vAlign w:val="bottom"/>
          </w:tcPr>
          <w:p>
            <w:pPr>
              <w:spacing w:after="0"/>
              <w:rPr>
                <w:sz w:val="1"/>
                <w:szCs w:val="1"/>
                <w:color w:val="auto"/>
              </w:rPr>
            </w:pPr>
          </w:p>
        </w:tc>
      </w:tr>
      <w:tr>
        <w:trPr>
          <w:trHeight w:val="162"/>
        </w:trPr>
        <w:tc>
          <w:tcPr>
            <w:tcW w:w="2300" w:type="dxa"/>
            <w:vAlign w:val="bottom"/>
            <w:tcBorders>
              <w:bottom w:val="single" w:sz="8" w:color="CCEEFF"/>
            </w:tcBorders>
          </w:tcPr>
          <w:p>
            <w:pPr>
              <w:spacing w:after="0"/>
              <w:rPr>
                <w:sz w:val="20"/>
                <w:szCs w:val="20"/>
                <w:color w:val="auto"/>
              </w:rPr>
            </w:pPr>
            <w:r>
              <w:rPr>
                <w:rFonts w:ascii="Arial" w:cs="Arial" w:eastAsia="Arial" w:hAnsi="Arial"/>
                <w:sz w:val="14"/>
                <w:szCs w:val="14"/>
                <w:color w:val="auto"/>
              </w:rPr>
              <w:t>Other</w:t>
            </w: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124,438</w:t>
            </w:r>
          </w:p>
        </w:tc>
        <w:tc>
          <w:tcPr>
            <w:tcW w:w="24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216,451</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33,780</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47,355</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2300" w:type="dxa"/>
            <w:vAlign w:val="bottom"/>
            <w:shd w:val="clear" w:color="auto" w:fill="CCEEFF"/>
          </w:tcPr>
          <w:p>
            <w:pPr>
              <w:spacing w:after="0"/>
              <w:rPr>
                <w:sz w:val="20"/>
                <w:szCs w:val="20"/>
                <w:color w:val="auto"/>
              </w:rPr>
            </w:pPr>
            <w:r>
              <w:rPr>
                <w:rFonts w:ascii="Arial" w:cs="Arial" w:eastAsia="Arial" w:hAnsi="Arial"/>
                <w:sz w:val="14"/>
                <w:szCs w:val="14"/>
                <w:color w:val="auto"/>
              </w:rPr>
              <w:t>Total</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4,911,397</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5,892,997</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639,264</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609,054</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164,074</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74,547</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231,348</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b w:val="1"/>
                <w:bCs w:val="1"/>
                <w:color w:val="auto"/>
              </w:rPr>
              <w:t>5,094</w:t>
            </w:r>
          </w:p>
        </w:tc>
        <w:tc>
          <w:tcPr>
            <w:tcW w:w="0" w:type="dxa"/>
            <w:vAlign w:val="bottom"/>
          </w:tcPr>
          <w:p>
            <w:pPr>
              <w:spacing w:after="0"/>
              <w:rPr>
                <w:sz w:val="1"/>
                <w:szCs w:val="1"/>
                <w:color w:val="auto"/>
              </w:rPr>
            </w:pP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88" w:name="page189"/>
    <w:bookmarkEnd w:id="18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8820" w:hanging="332"/>
        <w:spacing w:after="0" w:line="532" w:lineRule="auto"/>
        <w:tabs>
          <w:tab w:leader="none" w:pos="340" w:val="left"/>
        </w:tabs>
        <w:numPr>
          <w:ilvl w:val="0"/>
          <w:numId w:val="19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230"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8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160" w:type="dxa"/>
            <w:vAlign w:val="bottom"/>
            <w:gridSpan w:val="4"/>
            <w:vMerge w:val="restart"/>
          </w:tcPr>
          <w:p>
            <w:pPr>
              <w:jc w:val="center"/>
              <w:ind w:right="200"/>
              <w:spacing w:after="0"/>
              <w:rPr>
                <w:sz w:val="20"/>
                <w:szCs w:val="20"/>
                <w:color w:val="auto"/>
              </w:rPr>
            </w:pPr>
            <w:r>
              <w:rPr>
                <w:rFonts w:ascii="Arial" w:cs="Arial" w:eastAsia="Arial" w:hAnsi="Arial"/>
                <w:sz w:val="14"/>
                <w:szCs w:val="14"/>
                <w:b w:val="1"/>
                <w:bCs w:val="1"/>
                <w:color w:val="auto"/>
                <w:w w:val="91"/>
              </w:rPr>
              <w:t>Loan commitments and</w:t>
            </w:r>
          </w:p>
        </w:tc>
        <w:tc>
          <w:tcPr>
            <w:tcW w:w="8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ind w:left="680"/>
              <w:spacing w:after="0"/>
              <w:rPr>
                <w:sz w:val="20"/>
                <w:szCs w:val="20"/>
                <w:color w:val="auto"/>
              </w:rPr>
            </w:pPr>
            <w:r>
              <w:rPr>
                <w:rFonts w:ascii="Arial" w:cs="Arial" w:eastAsia="Arial" w:hAnsi="Arial"/>
                <w:sz w:val="14"/>
                <w:szCs w:val="14"/>
                <w:b w:val="1"/>
                <w:bCs w:val="1"/>
                <w:color w:val="auto"/>
              </w:rPr>
              <w:t>Securities</w:t>
            </w: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06"/>
        </w:trPr>
        <w:tc>
          <w:tcPr>
            <w:tcW w:w="880" w:type="dxa"/>
            <w:vAlign w:val="bottom"/>
          </w:tcPr>
          <w:p>
            <w:pPr>
              <w:spacing w:after="0"/>
              <w:rPr>
                <w:sz w:val="9"/>
                <w:szCs w:val="9"/>
                <w:color w:val="auto"/>
              </w:rPr>
            </w:pPr>
          </w:p>
        </w:tc>
        <w:tc>
          <w:tcPr>
            <w:tcW w:w="420" w:type="dxa"/>
            <w:vAlign w:val="bottom"/>
          </w:tcPr>
          <w:p>
            <w:pPr>
              <w:spacing w:after="0"/>
              <w:rPr>
                <w:sz w:val="9"/>
                <w:szCs w:val="9"/>
                <w:color w:val="auto"/>
              </w:rPr>
            </w:pPr>
          </w:p>
        </w:tc>
        <w:tc>
          <w:tcPr>
            <w:tcW w:w="1000" w:type="dxa"/>
            <w:vAlign w:val="bottom"/>
          </w:tcPr>
          <w:p>
            <w:pPr>
              <w:spacing w:after="0"/>
              <w:rPr>
                <w:sz w:val="9"/>
                <w:szCs w:val="9"/>
                <w:color w:val="auto"/>
              </w:rPr>
            </w:pPr>
          </w:p>
        </w:tc>
        <w:tc>
          <w:tcPr>
            <w:tcW w:w="2220" w:type="dxa"/>
            <w:vAlign w:val="bottom"/>
            <w:gridSpan w:val="4"/>
            <w:vMerge w:val="restart"/>
          </w:tcPr>
          <w:p>
            <w:pPr>
              <w:ind w:left="280"/>
              <w:spacing w:after="0"/>
              <w:rPr>
                <w:sz w:val="20"/>
                <w:szCs w:val="20"/>
                <w:color w:val="auto"/>
              </w:rPr>
            </w:pPr>
            <w:r>
              <w:rPr>
                <w:rFonts w:ascii="Arial" w:cs="Arial" w:eastAsia="Arial" w:hAnsi="Arial"/>
                <w:sz w:val="14"/>
                <w:szCs w:val="14"/>
                <w:b w:val="1"/>
                <w:bCs w:val="1"/>
                <w:color w:val="auto"/>
              </w:rPr>
              <w:t>Loans at amortized cost</w:t>
            </w:r>
          </w:p>
        </w:tc>
        <w:tc>
          <w:tcPr>
            <w:tcW w:w="2160" w:type="dxa"/>
            <w:vAlign w:val="bottom"/>
            <w:gridSpan w:val="4"/>
            <w:vMerge w:val="continue"/>
          </w:tcPr>
          <w:p>
            <w:pPr>
              <w:spacing w:after="0"/>
              <w:rPr>
                <w:sz w:val="9"/>
                <w:szCs w:val="9"/>
                <w:color w:val="auto"/>
              </w:rPr>
            </w:pPr>
          </w:p>
        </w:tc>
        <w:tc>
          <w:tcPr>
            <w:tcW w:w="2160" w:type="dxa"/>
            <w:vAlign w:val="bottom"/>
            <w:gridSpan w:val="4"/>
            <w:vMerge w:val="restart"/>
          </w:tcPr>
          <w:p>
            <w:pPr>
              <w:ind w:left="440"/>
              <w:spacing w:after="0"/>
              <w:rPr>
                <w:sz w:val="20"/>
                <w:szCs w:val="20"/>
                <w:color w:val="auto"/>
              </w:rPr>
            </w:pPr>
            <w:r>
              <w:rPr>
                <w:rFonts w:ascii="Arial" w:cs="Arial" w:eastAsia="Arial" w:hAnsi="Arial"/>
                <w:sz w:val="14"/>
                <w:szCs w:val="14"/>
                <w:b w:val="1"/>
                <w:bCs w:val="1"/>
                <w:color w:val="auto"/>
              </w:rPr>
              <w:t>At amortized cost</w:t>
            </w:r>
          </w:p>
        </w:tc>
        <w:tc>
          <w:tcPr>
            <w:tcW w:w="2060" w:type="dxa"/>
            <w:vAlign w:val="bottom"/>
            <w:gridSpan w:val="4"/>
            <w:vMerge w:val="restart"/>
          </w:tcPr>
          <w:p>
            <w:pPr>
              <w:ind w:left="740"/>
              <w:spacing w:after="0"/>
              <w:rPr>
                <w:sz w:val="20"/>
                <w:szCs w:val="20"/>
                <w:color w:val="auto"/>
              </w:rPr>
            </w:pPr>
            <w:r>
              <w:rPr>
                <w:rFonts w:ascii="Arial" w:cs="Arial" w:eastAsia="Arial" w:hAnsi="Arial"/>
                <w:sz w:val="14"/>
                <w:szCs w:val="14"/>
                <w:b w:val="1"/>
                <w:bCs w:val="1"/>
                <w:color w:val="auto"/>
              </w:rPr>
              <w:t>FVOCI</w:t>
            </w:r>
          </w:p>
        </w:tc>
        <w:tc>
          <w:tcPr>
            <w:tcW w:w="0" w:type="dxa"/>
            <w:vAlign w:val="bottom"/>
          </w:tcPr>
          <w:p>
            <w:pPr>
              <w:spacing w:after="0"/>
              <w:rPr>
                <w:sz w:val="1"/>
                <w:szCs w:val="1"/>
                <w:color w:val="auto"/>
              </w:rPr>
            </w:pPr>
          </w:p>
        </w:tc>
      </w:tr>
      <w:tr>
        <w:trPr>
          <w:trHeight w:val="171"/>
        </w:trPr>
        <w:tc>
          <w:tcPr>
            <w:tcW w:w="8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20" w:type="dxa"/>
            <w:vAlign w:val="bottom"/>
            <w:gridSpan w:val="4"/>
            <w:vMerge w:val="continue"/>
          </w:tcPr>
          <w:p>
            <w:pPr>
              <w:spacing w:after="0"/>
              <w:rPr>
                <w:sz w:val="14"/>
                <w:szCs w:val="14"/>
                <w:color w:val="auto"/>
              </w:rPr>
            </w:pPr>
          </w:p>
        </w:tc>
        <w:tc>
          <w:tcPr>
            <w:tcW w:w="2160" w:type="dxa"/>
            <w:vAlign w:val="bottom"/>
            <w:gridSpan w:val="4"/>
          </w:tcPr>
          <w:p>
            <w:pPr>
              <w:jc w:val="center"/>
              <w:ind w:right="200"/>
              <w:spacing w:after="0"/>
              <w:rPr>
                <w:sz w:val="20"/>
                <w:szCs w:val="20"/>
                <w:color w:val="auto"/>
              </w:rPr>
            </w:pPr>
            <w:r>
              <w:rPr>
                <w:rFonts w:ascii="Arial" w:cs="Arial" w:eastAsia="Arial" w:hAnsi="Arial"/>
                <w:sz w:val="14"/>
                <w:szCs w:val="14"/>
                <w:b w:val="1"/>
                <w:bCs w:val="1"/>
                <w:color w:val="auto"/>
                <w:w w:val="92"/>
              </w:rPr>
              <w:t>financial guarantee contracts</w:t>
            </w:r>
          </w:p>
        </w:tc>
        <w:tc>
          <w:tcPr>
            <w:tcW w:w="2160" w:type="dxa"/>
            <w:vAlign w:val="bottom"/>
            <w:gridSpan w:val="4"/>
            <w:vMerge w:val="continue"/>
          </w:tcPr>
          <w:p>
            <w:pPr>
              <w:spacing w:after="0"/>
              <w:rPr>
                <w:sz w:val="14"/>
                <w:szCs w:val="14"/>
                <w:color w:val="auto"/>
              </w:rPr>
            </w:pPr>
          </w:p>
        </w:tc>
        <w:tc>
          <w:tcPr>
            <w:tcW w:w="2060" w:type="dxa"/>
            <w:vAlign w:val="bottom"/>
            <w:gridSpan w:val="4"/>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8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140" w:type="dxa"/>
            <w:vAlign w:val="bottom"/>
            <w:tcBorders>
              <w:top w:val="single" w:sz="8" w:color="auto"/>
            </w:tcBorders>
            <w:gridSpan w:val="2"/>
          </w:tcPr>
          <w:p>
            <w:pPr>
              <w:ind w:left="20"/>
              <w:spacing w:after="0" w:line="133" w:lineRule="exact"/>
              <w:rPr>
                <w:sz w:val="20"/>
                <w:szCs w:val="20"/>
                <w:color w:val="auto"/>
              </w:rPr>
            </w:pPr>
            <w:r>
              <w:rPr>
                <w:rFonts w:ascii="Arial" w:cs="Arial" w:eastAsia="Arial" w:hAnsi="Arial"/>
                <w:sz w:val="14"/>
                <w:szCs w:val="14"/>
                <w:b w:val="1"/>
                <w:bCs w:val="1"/>
                <w:color w:val="auto"/>
              </w:rPr>
              <w:t>December 31,</w:t>
            </w:r>
          </w:p>
        </w:tc>
        <w:tc>
          <w:tcPr>
            <w:tcW w:w="8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200" w:type="dxa"/>
            <w:vAlign w:val="bottom"/>
          </w:tcPr>
          <w:p>
            <w:pPr>
              <w:spacing w:after="0"/>
              <w:rPr>
                <w:sz w:val="11"/>
                <w:szCs w:val="11"/>
                <w:color w:val="auto"/>
              </w:rPr>
            </w:pPr>
          </w:p>
        </w:tc>
        <w:tc>
          <w:tcPr>
            <w:tcW w:w="1080" w:type="dxa"/>
            <w:vAlign w:val="bottom"/>
            <w:tcBorders>
              <w:top w:val="single" w:sz="8" w:color="auto"/>
            </w:tcBorders>
            <w:gridSpan w:val="2"/>
          </w:tcPr>
          <w:p>
            <w:pPr>
              <w:ind w:left="20"/>
              <w:spacing w:after="0" w:line="133" w:lineRule="exact"/>
              <w:rPr>
                <w:sz w:val="20"/>
                <w:szCs w:val="20"/>
                <w:color w:val="auto"/>
              </w:rPr>
            </w:pPr>
            <w:r>
              <w:rPr>
                <w:rFonts w:ascii="Arial" w:cs="Arial" w:eastAsia="Arial" w:hAnsi="Arial"/>
                <w:sz w:val="14"/>
                <w:szCs w:val="14"/>
                <w:b w:val="1"/>
                <w:bCs w:val="1"/>
                <w:color w:val="auto"/>
              </w:rPr>
              <w:t>December 31,</w:t>
            </w:r>
          </w:p>
        </w:tc>
        <w:tc>
          <w:tcPr>
            <w:tcW w:w="8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200" w:type="dxa"/>
            <w:vAlign w:val="bottom"/>
          </w:tcPr>
          <w:p>
            <w:pPr>
              <w:spacing w:after="0"/>
              <w:rPr>
                <w:sz w:val="11"/>
                <w:szCs w:val="11"/>
                <w:color w:val="auto"/>
              </w:rPr>
            </w:pPr>
          </w:p>
        </w:tc>
        <w:tc>
          <w:tcPr>
            <w:tcW w:w="1080" w:type="dxa"/>
            <w:vAlign w:val="bottom"/>
            <w:tcBorders>
              <w:top w:val="single" w:sz="8" w:color="auto"/>
            </w:tcBorders>
            <w:gridSpan w:val="2"/>
          </w:tcPr>
          <w:p>
            <w:pPr>
              <w:ind w:left="20"/>
              <w:spacing w:after="0" w:line="133" w:lineRule="exact"/>
              <w:rPr>
                <w:sz w:val="20"/>
                <w:szCs w:val="20"/>
                <w:color w:val="auto"/>
              </w:rPr>
            </w:pPr>
            <w:r>
              <w:rPr>
                <w:rFonts w:ascii="Arial" w:cs="Arial" w:eastAsia="Arial" w:hAnsi="Arial"/>
                <w:sz w:val="14"/>
                <w:szCs w:val="14"/>
                <w:b w:val="1"/>
                <w:bCs w:val="1"/>
                <w:color w:val="auto"/>
              </w:rPr>
              <w:t>December 31,</w:t>
            </w:r>
          </w:p>
        </w:tc>
        <w:tc>
          <w:tcPr>
            <w:tcW w:w="8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200" w:type="dxa"/>
            <w:vAlign w:val="bottom"/>
          </w:tcPr>
          <w:p>
            <w:pPr>
              <w:spacing w:after="0"/>
              <w:rPr>
                <w:sz w:val="11"/>
                <w:szCs w:val="11"/>
                <w:color w:val="auto"/>
              </w:rPr>
            </w:pPr>
          </w:p>
        </w:tc>
        <w:tc>
          <w:tcPr>
            <w:tcW w:w="1080" w:type="dxa"/>
            <w:vAlign w:val="bottom"/>
            <w:tcBorders>
              <w:top w:val="single" w:sz="8" w:color="auto"/>
            </w:tcBorders>
            <w:gridSpan w:val="2"/>
          </w:tcPr>
          <w:p>
            <w:pPr>
              <w:ind w:left="20"/>
              <w:spacing w:after="0" w:line="133" w:lineRule="exact"/>
              <w:rPr>
                <w:sz w:val="20"/>
                <w:szCs w:val="20"/>
                <w:color w:val="auto"/>
              </w:rPr>
            </w:pPr>
            <w:r>
              <w:rPr>
                <w:rFonts w:ascii="Arial" w:cs="Arial" w:eastAsia="Arial" w:hAnsi="Arial"/>
                <w:sz w:val="14"/>
                <w:szCs w:val="14"/>
                <w:b w:val="1"/>
                <w:bCs w:val="1"/>
                <w:color w:val="auto"/>
              </w:rPr>
              <w:t>December 31,</w:t>
            </w:r>
          </w:p>
        </w:tc>
        <w:tc>
          <w:tcPr>
            <w:tcW w:w="8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880" w:type="dxa"/>
            <w:vAlign w:val="bottom"/>
            <w:tcBorders>
              <w:bottom w:val="single" w:sz="8" w:color="CCEEFF"/>
            </w:tcBorders>
          </w:tcPr>
          <w:p>
            <w:pPr>
              <w:spacing w:after="0"/>
              <w:rPr>
                <w:sz w:val="14"/>
                <w:szCs w:val="14"/>
                <w:color w:val="auto"/>
              </w:rPr>
            </w:pPr>
          </w:p>
        </w:tc>
        <w:tc>
          <w:tcPr>
            <w:tcW w:w="420" w:type="dxa"/>
            <w:vAlign w:val="bottom"/>
            <w:tcBorders>
              <w:bottom w:val="single" w:sz="8" w:color="CCEEFF"/>
            </w:tcBorders>
          </w:tcPr>
          <w:p>
            <w:pPr>
              <w:spacing w:after="0"/>
              <w:rPr>
                <w:sz w:val="14"/>
                <w:szCs w:val="14"/>
                <w:color w:val="auto"/>
              </w:rPr>
            </w:pPr>
          </w:p>
        </w:tc>
        <w:tc>
          <w:tcPr>
            <w:tcW w:w="10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0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300" w:type="dxa"/>
            <w:vAlign w:val="bottom"/>
            <w:gridSpan w:val="3"/>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4,911,397</w:t>
            </w: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5,892,997</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74,366</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115,682</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164,074</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74,547</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231,348</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5,094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00" w:type="dxa"/>
            <w:vAlign w:val="bottom"/>
            <w:gridSpan w:val="3"/>
          </w:tcPr>
          <w:p>
            <w:pPr>
              <w:spacing w:after="0" w:line="149" w:lineRule="exact"/>
              <w:rPr>
                <w:sz w:val="20"/>
                <w:szCs w:val="20"/>
                <w:color w:val="auto"/>
              </w:rPr>
            </w:pPr>
            <w:r>
              <w:rPr>
                <w:rFonts w:ascii="Arial" w:cs="Arial" w:eastAsia="Arial" w:hAnsi="Arial"/>
                <w:sz w:val="14"/>
                <w:szCs w:val="14"/>
                <w:color w:val="auto"/>
              </w:rPr>
              <w:t>Amount committed/guaranteed</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564,898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493,372</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88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880" w:type="dxa"/>
            <w:vAlign w:val="bottom"/>
          </w:tcPr>
          <w:p>
            <w:pPr>
              <w:spacing w:after="0"/>
              <w:rPr>
                <w:sz w:val="11"/>
                <w:szCs w:val="11"/>
                <w:color w:val="auto"/>
              </w:rPr>
            </w:pPr>
          </w:p>
        </w:tc>
        <w:tc>
          <w:tcPr>
            <w:tcW w:w="420" w:type="dxa"/>
            <w:vAlign w:val="bottom"/>
            <w:tcBorders>
              <w:bottom w:val="single" w:sz="8" w:color="auto"/>
            </w:tcBorders>
          </w:tcPr>
          <w:p>
            <w:pPr>
              <w:spacing w:after="0" w:line="135" w:lineRule="exact"/>
              <w:rPr>
                <w:sz w:val="20"/>
                <w:szCs w:val="20"/>
                <w:color w:val="auto"/>
              </w:rPr>
            </w:pPr>
            <w:r>
              <w:rPr>
                <w:rFonts w:ascii="Arial" w:cs="Arial" w:eastAsia="Arial" w:hAnsi="Arial"/>
                <w:sz w:val="14"/>
                <w:szCs w:val="14"/>
                <w:b w:val="1"/>
                <w:bCs w:val="1"/>
                <w:color w:val="auto"/>
                <w:w w:val="91"/>
              </w:rPr>
              <w:t>Rating</w:t>
            </w:r>
          </w:p>
        </w:tc>
        <w:tc>
          <w:tcPr>
            <w:tcW w:w="10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2"/>
        </w:trPr>
        <w:tc>
          <w:tcPr>
            <w:tcW w:w="1300" w:type="dxa"/>
            <w:vAlign w:val="bottom"/>
            <w:gridSpan w:val="2"/>
            <w:shd w:val="clear" w:color="auto" w:fill="CCEEFF"/>
          </w:tcPr>
          <w:p>
            <w:pPr>
              <w:jc w:val="center"/>
              <w:ind w:left="788"/>
              <w:spacing w:after="0" w:line="142" w:lineRule="exact"/>
              <w:rPr>
                <w:sz w:val="20"/>
                <w:szCs w:val="20"/>
                <w:color w:val="auto"/>
              </w:rPr>
            </w:pPr>
            <w:r>
              <w:rPr>
                <w:rFonts w:ascii="Arial" w:cs="Arial" w:eastAsia="Arial" w:hAnsi="Arial"/>
                <w:sz w:val="14"/>
                <w:szCs w:val="14"/>
                <w:color w:val="auto"/>
                <w:w w:val="98"/>
              </w:rPr>
              <w:t>1-4</w:t>
            </w:r>
          </w:p>
        </w:tc>
        <w:tc>
          <w:tcPr>
            <w:tcW w:w="10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2,582,794</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2,928,401</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247,425</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167,241</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108,505</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73,047</w:t>
            </w:r>
          </w:p>
        </w:tc>
        <w:tc>
          <w:tcPr>
            <w:tcW w:w="108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231,348</w:t>
            </w:r>
          </w:p>
        </w:tc>
        <w:tc>
          <w:tcPr>
            <w:tcW w:w="980" w:type="dxa"/>
            <w:vAlign w:val="bottom"/>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5,094</w:t>
            </w:r>
          </w:p>
        </w:tc>
        <w:tc>
          <w:tcPr>
            <w:tcW w:w="0" w:type="dxa"/>
            <w:vAlign w:val="bottom"/>
          </w:tcPr>
          <w:p>
            <w:pPr>
              <w:spacing w:after="0"/>
              <w:rPr>
                <w:sz w:val="1"/>
                <w:szCs w:val="1"/>
                <w:color w:val="auto"/>
              </w:rPr>
            </w:pPr>
          </w:p>
        </w:tc>
      </w:tr>
      <w:tr>
        <w:trPr>
          <w:trHeight w:val="148"/>
        </w:trPr>
        <w:tc>
          <w:tcPr>
            <w:tcW w:w="1300" w:type="dxa"/>
            <w:vAlign w:val="bottom"/>
            <w:gridSpan w:val="2"/>
          </w:tcPr>
          <w:p>
            <w:pPr>
              <w:jc w:val="center"/>
              <w:ind w:left="788"/>
              <w:spacing w:after="0" w:line="149" w:lineRule="exact"/>
              <w:rPr>
                <w:sz w:val="20"/>
                <w:szCs w:val="20"/>
                <w:color w:val="auto"/>
              </w:rPr>
            </w:pPr>
            <w:r>
              <w:rPr>
                <w:rFonts w:ascii="Arial" w:cs="Arial" w:eastAsia="Arial" w:hAnsi="Arial"/>
                <w:sz w:val="14"/>
                <w:szCs w:val="14"/>
                <w:color w:val="auto"/>
                <w:w w:val="98"/>
              </w:rPr>
              <w:t>5-6</w:t>
            </w:r>
          </w:p>
        </w:tc>
        <w:tc>
          <w:tcPr>
            <w:tcW w:w="1000" w:type="dxa"/>
            <w:vAlign w:val="bottom"/>
          </w:tcPr>
          <w:p>
            <w:pPr>
              <w:spacing w:after="0"/>
              <w:rPr>
                <w:sz w:val="12"/>
                <w:szCs w:val="12"/>
                <w:color w:val="auto"/>
              </w:rPr>
            </w:pP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2,096,138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2,415,323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237,807</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183,568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55,569</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1300" w:type="dxa"/>
            <w:vAlign w:val="bottom"/>
            <w:gridSpan w:val="2"/>
            <w:shd w:val="clear" w:color="auto" w:fill="CCEEFF"/>
          </w:tcPr>
          <w:p>
            <w:pPr>
              <w:jc w:val="center"/>
              <w:ind w:left="788"/>
              <w:spacing w:after="0" w:line="149" w:lineRule="exact"/>
              <w:rPr>
                <w:sz w:val="20"/>
                <w:szCs w:val="20"/>
                <w:color w:val="auto"/>
              </w:rPr>
            </w:pPr>
            <w:r>
              <w:rPr>
                <w:rFonts w:ascii="Arial" w:cs="Arial" w:eastAsia="Arial" w:hAnsi="Arial"/>
                <w:sz w:val="14"/>
                <w:szCs w:val="14"/>
                <w:color w:val="auto"/>
                <w:w w:val="98"/>
              </w:rPr>
              <w:t>7-8</w:t>
            </w:r>
          </w:p>
        </w:tc>
        <w:tc>
          <w:tcPr>
            <w:tcW w:w="100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232,465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487,428</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154,032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258,245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1300" w:type="dxa"/>
            <w:vAlign w:val="bottom"/>
            <w:gridSpan w:val="2"/>
          </w:tcPr>
          <w:p>
            <w:pPr>
              <w:jc w:val="center"/>
              <w:ind w:left="808"/>
              <w:spacing w:after="0"/>
              <w:rPr>
                <w:sz w:val="20"/>
                <w:szCs w:val="20"/>
                <w:color w:val="auto"/>
              </w:rPr>
            </w:pPr>
            <w:r>
              <w:rPr>
                <w:rFonts w:ascii="Arial" w:cs="Arial" w:eastAsia="Arial" w:hAnsi="Arial"/>
                <w:sz w:val="14"/>
                <w:szCs w:val="14"/>
                <w:color w:val="auto"/>
                <w:w w:val="89"/>
              </w:rPr>
              <w:t>10</w:t>
            </w:r>
          </w:p>
        </w:tc>
        <w:tc>
          <w:tcPr>
            <w:tcW w:w="1000" w:type="dxa"/>
            <w:vAlign w:val="bottom"/>
          </w:tcPr>
          <w:p>
            <w:pPr>
              <w:spacing w:after="0"/>
              <w:rPr>
                <w:sz w:val="14"/>
                <w:szCs w:val="14"/>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61,845</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5"/>
        </w:trPr>
        <w:tc>
          <w:tcPr>
            <w:tcW w:w="230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609,054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8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88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Concentration by country</w:t>
            </w: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Argentina</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130,944</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226,481</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Belgium</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9,807</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13,742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Bolivia</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12,000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7,000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2,800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Brazil</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971,652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1,015,316</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50,000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50,000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41,128</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Canada</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657</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Chile</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533,945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683,132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7,911</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11,992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28,972</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5,094</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Colombia</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714,258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906,092</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50,333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50,610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29,998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15,338</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Costa Rica</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146,200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220,380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56,876</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59,161</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Dominican Republic</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202,433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289,853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16,500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16,500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Ecuador</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45,511</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174,267</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165,275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252,391</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El Salvador</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40,000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54,233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1,087</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5,555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France</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150,810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152,530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84,862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47,906</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Germany</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34,613</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Guatemala</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281,485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278,557</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43,845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44,200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Honduras</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10,199</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128,937</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345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Hong Kong</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10,400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Jamaica</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23,274</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38,312</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Luxembourg</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50,000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59,813</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Mexico</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607,099</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754,465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4,995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27,377</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43,910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21,505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Panama</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241,097</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268,356</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61,435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25,304</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10,399</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36,204</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Paraguay</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100,816</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127,970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11,800</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10,652</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Peru</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272,752</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150,301</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47,245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8,033</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26,647</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Singapore</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75,095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90,955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Switzerland</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10,000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Trinidad and Tobago</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165,995</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181,676</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United States of America</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113,816</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25,000</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89,794</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United Kingdom</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10,409</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rPr>
              <w:t>Uruguay</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619</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33,955</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300" w:type="dxa"/>
            <w:vAlign w:val="bottom"/>
            <w:gridSpan w:val="3"/>
          </w:tcPr>
          <w:p>
            <w:pPr>
              <w:ind w:left="160"/>
              <w:spacing w:after="0"/>
              <w:rPr>
                <w:sz w:val="20"/>
                <w:szCs w:val="20"/>
                <w:color w:val="auto"/>
              </w:rPr>
            </w:pPr>
            <w:r>
              <w:rPr>
                <w:rFonts w:ascii="Arial" w:cs="Arial" w:eastAsia="Arial" w:hAnsi="Arial"/>
                <w:sz w:val="14"/>
                <w:szCs w:val="14"/>
                <w:color w:val="auto"/>
              </w:rPr>
              <w:t>Multinational</w:t>
            </w: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4"/>
                <w:szCs w:val="14"/>
                <w:color w:val="auto"/>
              </w:rPr>
              <w:t>112,582</w:t>
            </w: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5"/>
        </w:trPr>
        <w:tc>
          <w:tcPr>
            <w:tcW w:w="230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609,054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88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189" w:name="page190"/>
    <w:bookmarkEnd w:id="18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19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vi.</w:t>
      </w:r>
      <w:r>
        <w:rPr>
          <w:sz w:val="20"/>
          <w:szCs w:val="20"/>
          <w:color w:val="auto"/>
        </w:rPr>
        <w:tab/>
      </w:r>
      <w:r>
        <w:rPr>
          <w:rFonts w:ascii="Arial" w:cs="Arial" w:eastAsia="Arial" w:hAnsi="Arial"/>
          <w:sz w:val="16"/>
          <w:szCs w:val="16"/>
          <w:color w:val="auto"/>
        </w:rPr>
        <w:t>Offsetting financial assets and liabilities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tables include financial assets and liabilities that are offset in the consolidated financial statement or subject to an enforceable master netting arrangement:</w:t>
      </w:r>
    </w:p>
    <w:p>
      <w:pPr>
        <w:spacing w:after="0" w:line="170" w:lineRule="exact"/>
        <w:rPr>
          <w:sz w:val="20"/>
          <w:szCs w:val="20"/>
          <w:color w:val="auto"/>
        </w:rPr>
      </w:pPr>
    </w:p>
    <w:p>
      <w:pPr>
        <w:ind w:left="1020" w:hanging="324"/>
        <w:spacing w:after="0"/>
        <w:tabs>
          <w:tab w:leader="none" w:pos="1020" w:val="left"/>
        </w:tabs>
        <w:numPr>
          <w:ilvl w:val="0"/>
          <w:numId w:val="19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1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78"/>
              </w:rPr>
              <w:t>assets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presented</w:t>
            </w:r>
          </w:p>
        </w:tc>
        <w:tc>
          <w:tcPr>
            <w:tcW w:w="2640" w:type="dxa"/>
            <w:vAlign w:val="bottom"/>
            <w:gridSpan w:val="4"/>
          </w:tcPr>
          <w:p>
            <w:pPr>
              <w:jc w:val="center"/>
              <w:ind w:right="141"/>
              <w:spacing w:after="0"/>
              <w:rPr>
                <w:sz w:val="20"/>
                <w:szCs w:val="20"/>
                <w:color w:val="auto"/>
              </w:rPr>
            </w:pPr>
            <w:r>
              <w:rPr>
                <w:rFonts w:ascii="Arial" w:cs="Arial" w:eastAsia="Arial" w:hAnsi="Arial"/>
                <w:sz w:val="18"/>
                <w:szCs w:val="18"/>
                <w:b w:val="1"/>
                <w:bCs w:val="1"/>
                <w:color w:val="auto"/>
                <w:w w:val="87"/>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 the</w:t>
            </w:r>
          </w:p>
        </w:tc>
        <w:tc>
          <w:tcPr>
            <w:tcW w:w="2640" w:type="dxa"/>
            <w:vAlign w:val="bottom"/>
            <w:gridSpan w:val="4"/>
          </w:tcPr>
          <w:p>
            <w:pPr>
              <w:jc w:val="center"/>
              <w:ind w:right="181"/>
              <w:spacing w:after="0"/>
              <w:rPr>
                <w:sz w:val="20"/>
                <w:szCs w:val="20"/>
                <w:color w:val="auto"/>
              </w:rPr>
            </w:pPr>
            <w:r>
              <w:rPr>
                <w:rFonts w:ascii="Arial" w:cs="Arial" w:eastAsia="Arial" w:hAnsi="Arial"/>
                <w:sz w:val="18"/>
                <w:szCs w:val="18"/>
                <w:b w:val="1"/>
                <w:bCs w:val="1"/>
                <w:color w:val="auto"/>
                <w:w w:val="86"/>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center"/>
              <w:ind w:right="1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8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amounts of</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Financial</w:t>
            </w:r>
          </w:p>
        </w:tc>
        <w:tc>
          <w:tcPr>
            <w:tcW w:w="132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280" w:type="dxa"/>
            <w:vAlign w:val="bottom"/>
            <w:gridSpan w:val="2"/>
          </w:tcPr>
          <w:p>
            <w:pPr>
              <w:ind w:left="1140"/>
              <w:spacing w:after="0"/>
              <w:rPr>
                <w:sz w:val="20"/>
                <w:szCs w:val="20"/>
                <w:color w:val="auto"/>
              </w:rPr>
            </w:pPr>
            <w:r>
              <w:rPr>
                <w:rFonts w:ascii="Arial" w:cs="Arial" w:eastAsia="Arial" w:hAnsi="Arial"/>
                <w:sz w:val="18"/>
                <w:szCs w:val="18"/>
                <w:b w:val="1"/>
                <w:bCs w:val="1"/>
                <w:color w:val="auto"/>
              </w:rPr>
              <w:t>Description</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32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rPr>
              <w:t>Net Amount</w:t>
            </w:r>
          </w:p>
        </w:tc>
        <w:tc>
          <w:tcPr>
            <w:tcW w:w="0" w:type="dxa"/>
            <w:vAlign w:val="bottom"/>
          </w:tcPr>
          <w:p>
            <w:pPr>
              <w:spacing w:after="0"/>
              <w:rPr>
                <w:sz w:val="1"/>
                <w:szCs w:val="1"/>
                <w:color w:val="auto"/>
              </w:rPr>
            </w:pPr>
          </w:p>
        </w:tc>
      </w:tr>
      <w:tr>
        <w:trPr>
          <w:trHeight w:val="195"/>
        </w:trPr>
        <w:tc>
          <w:tcPr>
            <w:tcW w:w="31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 for</w:t>
            </w:r>
          </w:p>
        </w:tc>
        <w:tc>
          <w:tcPr>
            <w:tcW w:w="1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27,778</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27,778</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(24,720)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3,058</w:t>
            </w:r>
          </w:p>
        </w:tc>
        <w:tc>
          <w:tcPr>
            <w:tcW w:w="0" w:type="dxa"/>
            <w:vAlign w:val="bottom"/>
          </w:tcPr>
          <w:p>
            <w:pPr>
              <w:spacing w:after="0"/>
              <w:rPr>
                <w:sz w:val="1"/>
                <w:szCs w:val="1"/>
                <w:color w:val="auto"/>
              </w:rPr>
            </w:pPr>
          </w:p>
        </w:tc>
      </w:tr>
      <w:tr>
        <w:trPr>
          <w:trHeight w:val="20"/>
        </w:trPr>
        <w:tc>
          <w:tcPr>
            <w:tcW w:w="3280" w:type="dxa"/>
            <w:vAlign w:val="bottom"/>
            <w:gridSpan w:val="2"/>
            <w:vMerge w:val="restart"/>
          </w:tcPr>
          <w:p>
            <w:pPr>
              <w:spacing w:after="0"/>
              <w:rPr>
                <w:sz w:val="20"/>
                <w:szCs w:val="20"/>
                <w:color w:val="auto"/>
              </w:rPr>
            </w:pPr>
            <w:r>
              <w:rPr>
                <w:rFonts w:ascii="Arial" w:cs="Arial" w:eastAsia="Arial" w:hAnsi="Arial"/>
                <w:sz w:val="18"/>
                <w:szCs w:val="18"/>
                <w:color w:val="auto"/>
              </w:rPr>
              <w:t>Total</w:t>
            </w:r>
          </w:p>
        </w:tc>
        <w:tc>
          <w:tcPr>
            <w:tcW w:w="11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280" w:type="dxa"/>
            <w:vAlign w:val="bottom"/>
            <w:gridSpan w:val="2"/>
            <w:vMerge w:val="continue"/>
          </w:tcPr>
          <w:p>
            <w:pPr>
              <w:spacing w:after="0"/>
              <w:rPr>
                <w:sz w:val="21"/>
                <w:szCs w:val="21"/>
                <w:color w:val="auto"/>
              </w:rPr>
            </w:pPr>
          </w:p>
        </w:tc>
        <w:tc>
          <w:tcPr>
            <w:tcW w:w="13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27,778</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vMerge w:val="continue"/>
          </w:tcPr>
          <w:p>
            <w:pPr>
              <w:spacing w:after="0"/>
              <w:rPr>
                <w:sz w:val="21"/>
                <w:szCs w:val="21"/>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27,778</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vMerge w:val="continue"/>
          </w:tcPr>
          <w:p>
            <w:pPr>
              <w:spacing w:after="0"/>
              <w:rPr>
                <w:sz w:val="21"/>
                <w:szCs w:val="21"/>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rPr>
              <w:t>(24,720</w:t>
            </w:r>
          </w:p>
        </w:tc>
        <w:tc>
          <w:tcPr>
            <w:tcW w:w="220" w:type="dxa"/>
            <w:vAlign w:val="bottom"/>
            <w:vMerge w:val="continue"/>
          </w:tcPr>
          <w:p>
            <w:pPr>
              <w:spacing w:after="0"/>
              <w:rPr>
                <w:sz w:val="21"/>
                <w:szCs w:val="21"/>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3,058</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gridSpan w:val="4"/>
          </w:tcPr>
          <w:p>
            <w:pPr>
              <w:jc w:val="right"/>
              <w:ind w:right="1020"/>
              <w:spacing w:after="0"/>
              <w:rPr>
                <w:sz w:val="20"/>
                <w:szCs w:val="20"/>
                <w:color w:val="auto"/>
              </w:rPr>
            </w:pPr>
            <w:r>
              <w:rPr>
                <w:rFonts w:ascii="Arial" w:cs="Arial" w:eastAsia="Arial" w:hAnsi="Arial"/>
                <w:sz w:val="18"/>
                <w:szCs w:val="18"/>
                <w:b w:val="1"/>
                <w:bCs w:val="1"/>
                <w:color w:val="auto"/>
              </w:rPr>
              <w:t>December 31, 2019</w:t>
            </w: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78"/>
              </w:rPr>
              <w:t>assets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presented</w:t>
            </w:r>
          </w:p>
        </w:tc>
        <w:tc>
          <w:tcPr>
            <w:tcW w:w="2640" w:type="dxa"/>
            <w:vAlign w:val="bottom"/>
            <w:gridSpan w:val="4"/>
          </w:tcPr>
          <w:p>
            <w:pPr>
              <w:jc w:val="center"/>
              <w:ind w:right="141"/>
              <w:spacing w:after="0"/>
              <w:rPr>
                <w:sz w:val="20"/>
                <w:szCs w:val="20"/>
                <w:color w:val="auto"/>
              </w:rPr>
            </w:pPr>
            <w:r>
              <w:rPr>
                <w:rFonts w:ascii="Arial" w:cs="Arial" w:eastAsia="Arial" w:hAnsi="Arial"/>
                <w:sz w:val="18"/>
                <w:szCs w:val="18"/>
                <w:b w:val="1"/>
                <w:bCs w:val="1"/>
                <w:color w:val="auto"/>
                <w:w w:val="87"/>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 the</w:t>
            </w:r>
          </w:p>
        </w:tc>
        <w:tc>
          <w:tcPr>
            <w:tcW w:w="2640" w:type="dxa"/>
            <w:vAlign w:val="bottom"/>
            <w:gridSpan w:val="4"/>
          </w:tcPr>
          <w:p>
            <w:pPr>
              <w:jc w:val="center"/>
              <w:ind w:right="181"/>
              <w:spacing w:after="0"/>
              <w:rPr>
                <w:sz w:val="20"/>
                <w:szCs w:val="20"/>
                <w:color w:val="auto"/>
              </w:rPr>
            </w:pPr>
            <w:r>
              <w:rPr>
                <w:rFonts w:ascii="Arial" w:cs="Arial" w:eastAsia="Arial" w:hAnsi="Arial"/>
                <w:sz w:val="18"/>
                <w:szCs w:val="18"/>
                <w:b w:val="1"/>
                <w:bCs w:val="1"/>
                <w:color w:val="auto"/>
                <w:w w:val="86"/>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center"/>
              <w:ind w:right="1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8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Cash</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6"/>
              </w:rPr>
              <w:t>amounts of</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Financial</w:t>
            </w:r>
          </w:p>
        </w:tc>
        <w:tc>
          <w:tcPr>
            <w:tcW w:w="132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280" w:type="dxa"/>
            <w:vAlign w:val="bottom"/>
            <w:gridSpan w:val="2"/>
          </w:tcPr>
          <w:p>
            <w:pPr>
              <w:ind w:left="1140"/>
              <w:spacing w:after="0"/>
              <w:rPr>
                <w:sz w:val="20"/>
                <w:szCs w:val="20"/>
                <w:color w:val="auto"/>
              </w:rPr>
            </w:pPr>
            <w:r>
              <w:rPr>
                <w:rFonts w:ascii="Arial" w:cs="Arial" w:eastAsia="Arial" w:hAnsi="Arial"/>
                <w:sz w:val="18"/>
                <w:szCs w:val="18"/>
                <w:b w:val="1"/>
                <w:bCs w:val="1"/>
                <w:color w:val="auto"/>
              </w:rPr>
              <w:t>Description</w:t>
            </w: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78"/>
              </w:rPr>
              <w:t>assets</w:t>
            </w: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5"/>
              </w:rPr>
              <w:t>position</w:t>
            </w:r>
          </w:p>
        </w:tc>
        <w:tc>
          <w:tcPr>
            <w:tcW w:w="13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32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rPr>
              <w:t>Net Amount</w:t>
            </w:r>
          </w:p>
        </w:tc>
        <w:tc>
          <w:tcPr>
            <w:tcW w:w="0" w:type="dxa"/>
            <w:vAlign w:val="bottom"/>
          </w:tcPr>
          <w:p>
            <w:pPr>
              <w:spacing w:after="0"/>
              <w:rPr>
                <w:sz w:val="1"/>
                <w:szCs w:val="1"/>
                <w:color w:val="auto"/>
              </w:rPr>
            </w:pPr>
          </w:p>
        </w:tc>
      </w:tr>
      <w:tr>
        <w:trPr>
          <w:trHeight w:val="195"/>
        </w:trPr>
        <w:tc>
          <w:tcPr>
            <w:tcW w:w="31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8"/>
              </w:rPr>
              <w:t>Derivative financial instruments used for</w:t>
            </w:r>
          </w:p>
        </w:tc>
        <w:tc>
          <w:tcPr>
            <w:tcW w:w="1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11,157</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11,157</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(9,350)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1,807</w:t>
            </w:r>
          </w:p>
        </w:tc>
        <w:tc>
          <w:tcPr>
            <w:tcW w:w="0" w:type="dxa"/>
            <w:vAlign w:val="bottom"/>
          </w:tcPr>
          <w:p>
            <w:pPr>
              <w:spacing w:after="0"/>
              <w:rPr>
                <w:sz w:val="1"/>
                <w:szCs w:val="1"/>
                <w:color w:val="auto"/>
              </w:rPr>
            </w:pPr>
          </w:p>
        </w:tc>
      </w:tr>
      <w:tr>
        <w:trPr>
          <w:trHeight w:val="20"/>
        </w:trPr>
        <w:tc>
          <w:tcPr>
            <w:tcW w:w="3280" w:type="dxa"/>
            <w:vAlign w:val="bottom"/>
            <w:gridSpan w:val="2"/>
            <w:vMerge w:val="restart"/>
          </w:tcPr>
          <w:p>
            <w:pPr>
              <w:spacing w:after="0"/>
              <w:rPr>
                <w:sz w:val="20"/>
                <w:szCs w:val="20"/>
                <w:color w:val="auto"/>
              </w:rPr>
            </w:pPr>
            <w:r>
              <w:rPr>
                <w:rFonts w:ascii="Arial" w:cs="Arial" w:eastAsia="Arial" w:hAnsi="Arial"/>
                <w:sz w:val="18"/>
                <w:szCs w:val="18"/>
                <w:color w:val="auto"/>
              </w:rPr>
              <w:t>Total</w:t>
            </w:r>
          </w:p>
        </w:tc>
        <w:tc>
          <w:tcPr>
            <w:tcW w:w="112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280" w:type="dxa"/>
            <w:vAlign w:val="bottom"/>
            <w:gridSpan w:val="2"/>
            <w:vMerge w:val="continue"/>
          </w:tcPr>
          <w:p>
            <w:pPr>
              <w:spacing w:after="0"/>
              <w:rPr>
                <w:sz w:val="21"/>
                <w:szCs w:val="21"/>
                <w:color w:val="auto"/>
              </w:rPr>
            </w:pPr>
          </w:p>
        </w:tc>
        <w:tc>
          <w:tcPr>
            <w:tcW w:w="13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11,157</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vMerge w:val="continue"/>
          </w:tcPr>
          <w:p>
            <w:pPr>
              <w:spacing w:after="0"/>
              <w:rPr>
                <w:sz w:val="21"/>
                <w:szCs w:val="21"/>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11,157</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vMerge w:val="continue"/>
          </w:tcPr>
          <w:p>
            <w:pPr>
              <w:spacing w:after="0"/>
              <w:rPr>
                <w:sz w:val="21"/>
                <w:szCs w:val="21"/>
                <w:color w:val="auto"/>
              </w:rPr>
            </w:pPr>
          </w:p>
        </w:tc>
        <w:tc>
          <w:tcPr>
            <w:tcW w:w="1100" w:type="dxa"/>
            <w:vAlign w:val="bottom"/>
          </w:tcPr>
          <w:p>
            <w:pPr>
              <w:jc w:val="right"/>
              <w:spacing w:after="0"/>
              <w:rPr>
                <w:sz w:val="20"/>
                <w:szCs w:val="20"/>
                <w:color w:val="auto"/>
              </w:rPr>
            </w:pPr>
            <w:r>
              <w:rPr>
                <w:rFonts w:ascii="Arial" w:cs="Arial" w:eastAsia="Arial" w:hAnsi="Arial"/>
                <w:sz w:val="18"/>
                <w:szCs w:val="18"/>
                <w:b w:val="1"/>
                <w:bCs w:val="1"/>
                <w:color w:val="auto"/>
              </w:rPr>
              <w:t>(9,350</w:t>
            </w:r>
          </w:p>
        </w:tc>
        <w:tc>
          <w:tcPr>
            <w:tcW w:w="220" w:type="dxa"/>
            <w:vAlign w:val="bottom"/>
            <w:vMerge w:val="continue"/>
          </w:tcPr>
          <w:p>
            <w:pPr>
              <w:spacing w:after="0"/>
              <w:rPr>
                <w:sz w:val="21"/>
                <w:szCs w:val="21"/>
                <w:color w:val="auto"/>
              </w:rPr>
            </w:pPr>
          </w:p>
        </w:tc>
        <w:tc>
          <w:tcPr>
            <w:tcW w:w="12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1,807</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220"/>
              <w:spacing w:after="0"/>
              <w:rPr>
                <w:sz w:val="20"/>
                <w:szCs w:val="20"/>
                <w:color w:val="auto"/>
              </w:rPr>
            </w:pPr>
            <w:r>
              <w:rPr>
                <w:rFonts w:ascii="Arial" w:cs="Arial" w:eastAsia="Arial" w:hAnsi="Arial"/>
                <w:sz w:val="18"/>
                <w:szCs w:val="18"/>
                <w:color w:val="auto"/>
              </w:rPr>
              <w:t>F-54</w:t>
            </w: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90" w:name="page191"/>
    <w:bookmarkEnd w:id="19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19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rFonts w:ascii="Arial" w:cs="Arial" w:eastAsia="Arial" w:hAnsi="Arial"/>
          <w:sz w:val="17"/>
          <w:szCs w:val="17"/>
          <w:b w:val="1"/>
          <w:bCs w:val="1"/>
          <w:color w:val="auto"/>
        </w:rPr>
      </w:pPr>
    </w:p>
    <w:p>
      <w:pPr>
        <w:ind w:left="980" w:hanging="324"/>
        <w:spacing w:after="0"/>
        <w:tabs>
          <w:tab w:leader="none" w:pos="980" w:val="left"/>
        </w:tabs>
        <w:numPr>
          <w:ilvl w:val="2"/>
          <w:numId w:val="198"/>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agreements and derivative financial instruments – liabilities</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1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141"/>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liabilities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85"/>
              </w:rPr>
              <w:t>presented</w:t>
            </w:r>
          </w:p>
        </w:tc>
        <w:tc>
          <w:tcPr>
            <w:tcW w:w="2640" w:type="dxa"/>
            <w:vAlign w:val="bottom"/>
            <w:gridSpan w:val="4"/>
          </w:tcPr>
          <w:p>
            <w:pPr>
              <w:jc w:val="right"/>
              <w:ind w:right="400"/>
              <w:spacing w:after="0"/>
              <w:rPr>
                <w:sz w:val="20"/>
                <w:szCs w:val="20"/>
                <w:color w:val="auto"/>
              </w:rPr>
            </w:pPr>
            <w:r>
              <w:rPr>
                <w:rFonts w:ascii="Arial" w:cs="Arial" w:eastAsia="Arial" w:hAnsi="Arial"/>
                <w:sz w:val="18"/>
                <w:szCs w:val="18"/>
                <w:b w:val="1"/>
                <w:bCs w:val="1"/>
                <w:color w:val="auto"/>
                <w:w w:val="92"/>
              </w:rPr>
              <w:t>Gross amounts not offset in</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1"/>
              </w:rPr>
              <w:t>in the</w:t>
            </w:r>
          </w:p>
        </w:tc>
        <w:tc>
          <w:tcPr>
            <w:tcW w:w="2640" w:type="dxa"/>
            <w:vAlign w:val="bottom"/>
            <w:gridSpan w:val="4"/>
          </w:tcPr>
          <w:p>
            <w:pPr>
              <w:ind w:left="80"/>
              <w:spacing w:after="0"/>
              <w:rPr>
                <w:sz w:val="20"/>
                <w:szCs w:val="20"/>
                <w:color w:val="auto"/>
              </w:rPr>
            </w:pPr>
            <w:r>
              <w:rPr>
                <w:rFonts w:ascii="Arial" w:cs="Arial" w:eastAsia="Arial" w:hAnsi="Arial"/>
                <w:sz w:val="18"/>
                <w:szCs w:val="18"/>
                <w:b w:val="1"/>
                <w:bCs w:val="1"/>
                <w:color w:val="auto"/>
                <w:w w:val="99"/>
              </w:rPr>
              <w:t>the 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right"/>
              <w:ind w:right="760"/>
              <w:spacing w:after="0"/>
              <w:rPr>
                <w:sz w:val="20"/>
                <w:szCs w:val="20"/>
                <w:color w:val="auto"/>
              </w:rPr>
            </w:pPr>
            <w:r>
              <w:rPr>
                <w:rFonts w:ascii="Arial" w:cs="Arial" w:eastAsia="Arial" w:hAnsi="Arial"/>
                <w:sz w:val="18"/>
                <w:szCs w:val="18"/>
                <w:b w:val="1"/>
                <w:bCs w:val="1"/>
                <w:color w:val="auto"/>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80" w:type="dxa"/>
            <w:vAlign w:val="bottom"/>
            <w:gridSpan w:val="2"/>
          </w:tcPr>
          <w:p>
            <w:pPr>
              <w:jc w:val="center"/>
              <w:ind w:right="221"/>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60" w:type="dxa"/>
            <w:vAlign w:val="bottom"/>
            <w:gridSpan w:val="2"/>
          </w:tcPr>
          <w:p>
            <w:pPr>
              <w:jc w:val="center"/>
              <w:ind w:right="181"/>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gridSpan w:val="2"/>
          </w:tcPr>
          <w:p>
            <w:pPr>
              <w:jc w:val="center"/>
              <w:ind w:right="221"/>
              <w:spacing w:after="0"/>
              <w:rPr>
                <w:sz w:val="20"/>
                <w:szCs w:val="20"/>
                <w:color w:val="auto"/>
              </w:rPr>
            </w:pPr>
            <w:r>
              <w:rPr>
                <w:rFonts w:ascii="Arial" w:cs="Arial" w:eastAsia="Arial" w:hAnsi="Arial"/>
                <w:sz w:val="18"/>
                <w:szCs w:val="18"/>
                <w:b w:val="1"/>
                <w:bCs w:val="1"/>
                <w:color w:val="auto"/>
                <w:w w:val="86"/>
              </w:rPr>
              <w:t>amounts of</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Financial</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collateral</w:t>
            </w:r>
          </w:p>
        </w:tc>
        <w:tc>
          <w:tcPr>
            <w:tcW w:w="1220" w:type="dxa"/>
            <w:vAlign w:val="bottom"/>
            <w:gridSpan w:val="2"/>
          </w:tcPr>
          <w:p>
            <w:pPr>
              <w:jc w:val="right"/>
              <w:ind w:right="461"/>
              <w:spacing w:after="0"/>
              <w:rPr>
                <w:sz w:val="20"/>
                <w:szCs w:val="20"/>
                <w:color w:val="auto"/>
              </w:rPr>
            </w:pPr>
            <w:r>
              <w:rPr>
                <w:rFonts w:ascii="Arial" w:cs="Arial" w:eastAsia="Arial" w:hAnsi="Arial"/>
                <w:sz w:val="18"/>
                <w:szCs w:val="18"/>
                <w:b w:val="1"/>
                <w:bCs w:val="1"/>
                <w:color w:val="auto"/>
              </w:rPr>
              <w:t>Net</w:t>
            </w:r>
          </w:p>
        </w:tc>
        <w:tc>
          <w:tcPr>
            <w:tcW w:w="0" w:type="dxa"/>
            <w:vAlign w:val="bottom"/>
          </w:tcPr>
          <w:p>
            <w:pPr>
              <w:spacing w:after="0"/>
              <w:rPr>
                <w:sz w:val="1"/>
                <w:szCs w:val="1"/>
                <w:color w:val="auto"/>
              </w:rPr>
            </w:pPr>
          </w:p>
        </w:tc>
      </w:tr>
      <w:tr>
        <w:trPr>
          <w:trHeight w:val="234"/>
        </w:trPr>
        <w:tc>
          <w:tcPr>
            <w:tcW w:w="3280" w:type="dxa"/>
            <w:vAlign w:val="bottom"/>
            <w:gridSpan w:val="2"/>
          </w:tcPr>
          <w:p>
            <w:pPr>
              <w:ind w:left="1140"/>
              <w:spacing w:after="0"/>
              <w:rPr>
                <w:sz w:val="20"/>
                <w:szCs w:val="20"/>
                <w:color w:val="auto"/>
              </w:rPr>
            </w:pPr>
            <w:r>
              <w:rPr>
                <w:rFonts w:ascii="Arial" w:cs="Arial" w:eastAsia="Arial" w:hAnsi="Arial"/>
                <w:sz w:val="18"/>
                <w:szCs w:val="18"/>
                <w:b w:val="1"/>
                <w:bCs w:val="1"/>
                <w:color w:val="auto"/>
              </w:rPr>
              <w:t>Description</w:t>
            </w:r>
          </w:p>
        </w:tc>
        <w:tc>
          <w:tcPr>
            <w:tcW w:w="138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liabilities</w:t>
            </w: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5"/>
              </w:rPr>
              <w:t>position</w:t>
            </w:r>
          </w:p>
        </w:tc>
        <w:tc>
          <w:tcPr>
            <w:tcW w:w="1320" w:type="dxa"/>
            <w:vAlign w:val="bottom"/>
            <w:gridSpan w:val="2"/>
          </w:tcPr>
          <w:p>
            <w:pPr>
              <w:ind w:left="100"/>
              <w:spacing w:after="0"/>
              <w:rPr>
                <w:sz w:val="20"/>
                <w:szCs w:val="20"/>
                <w:color w:val="auto"/>
              </w:rPr>
            </w:pPr>
            <w:r>
              <w:rPr>
                <w:rFonts w:ascii="Arial" w:cs="Arial" w:eastAsia="Arial" w:hAnsi="Arial"/>
                <w:sz w:val="18"/>
                <w:szCs w:val="18"/>
                <w:b w:val="1"/>
                <w:bCs w:val="1"/>
                <w:color w:val="auto"/>
              </w:rPr>
              <w:t>instruments</w:t>
            </w:r>
          </w:p>
        </w:tc>
        <w:tc>
          <w:tcPr>
            <w:tcW w:w="13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pledged</w:t>
            </w:r>
          </w:p>
        </w:tc>
        <w:tc>
          <w:tcPr>
            <w:tcW w:w="1220" w:type="dxa"/>
            <w:vAlign w:val="bottom"/>
            <w:gridSpan w:val="2"/>
          </w:tcPr>
          <w:p>
            <w:pPr>
              <w:jc w:val="right"/>
              <w:ind w:right="261"/>
              <w:spacing w:after="0"/>
              <w:rPr>
                <w:sz w:val="20"/>
                <w:szCs w:val="20"/>
                <w:color w:val="auto"/>
              </w:rPr>
            </w:pPr>
            <w:r>
              <w:rPr>
                <w:rFonts w:ascii="Arial" w:cs="Arial" w:eastAsia="Arial" w:hAnsi="Arial"/>
                <w:sz w:val="18"/>
                <w:szCs w:val="18"/>
                <w:b w:val="1"/>
                <w:bCs w:val="1"/>
                <w:color w:val="auto"/>
              </w:rPr>
              <w:t>Amount</w:t>
            </w:r>
          </w:p>
        </w:tc>
        <w:tc>
          <w:tcPr>
            <w:tcW w:w="0" w:type="dxa"/>
            <w:vAlign w:val="bottom"/>
          </w:tcPr>
          <w:p>
            <w:pPr>
              <w:spacing w:after="0"/>
              <w:rPr>
                <w:sz w:val="1"/>
                <w:szCs w:val="1"/>
                <w:color w:val="auto"/>
              </w:rPr>
            </w:pPr>
          </w:p>
        </w:tc>
      </w:tr>
      <w:tr>
        <w:trPr>
          <w:trHeight w:val="195"/>
        </w:trPr>
        <w:tc>
          <w:tcPr>
            <w:tcW w:w="31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agreements</w:t>
            </w:r>
          </w:p>
        </w:tc>
        <w:tc>
          <w:tcPr>
            <w:tcW w:w="13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(10,663)</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(10,663)</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w:t>
            </w:r>
          </w:p>
        </w:tc>
        <w:tc>
          <w:tcPr>
            <w:tcW w:w="12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1,353</w:t>
            </w:r>
          </w:p>
        </w:tc>
        <w:tc>
          <w:tcPr>
            <w:tcW w:w="0" w:type="dxa"/>
            <w:vAlign w:val="bottom"/>
          </w:tcPr>
          <w:p>
            <w:pPr>
              <w:spacing w:after="0"/>
              <w:rPr>
                <w:sz w:val="1"/>
                <w:szCs w:val="1"/>
                <w:color w:val="auto"/>
              </w:rPr>
            </w:pPr>
          </w:p>
        </w:tc>
      </w:tr>
      <w:tr>
        <w:trPr>
          <w:trHeight w:val="209"/>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2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used for</w:t>
            </w: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(9,211)</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(9,211)</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7,786</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(1,425)</w:t>
            </w:r>
          </w:p>
        </w:tc>
        <w:tc>
          <w:tcPr>
            <w:tcW w:w="0" w:type="dxa"/>
            <w:vAlign w:val="bottom"/>
          </w:tcPr>
          <w:p>
            <w:pPr>
              <w:spacing w:after="0"/>
              <w:rPr>
                <w:sz w:val="1"/>
                <w:szCs w:val="1"/>
                <w:color w:val="auto"/>
              </w:rPr>
            </w:pPr>
          </w:p>
        </w:tc>
      </w:tr>
      <w:tr>
        <w:trPr>
          <w:trHeight w:val="20"/>
        </w:trPr>
        <w:tc>
          <w:tcPr>
            <w:tcW w:w="3280" w:type="dxa"/>
            <w:vAlign w:val="bottom"/>
            <w:gridSpan w:val="2"/>
            <w:vMerge w:val="restart"/>
          </w:tcPr>
          <w:p>
            <w:pPr>
              <w:spacing w:after="0"/>
              <w:rPr>
                <w:sz w:val="20"/>
                <w:szCs w:val="20"/>
                <w:color w:val="auto"/>
              </w:rPr>
            </w:pPr>
            <w:r>
              <w:rPr>
                <w:rFonts w:ascii="Arial" w:cs="Arial" w:eastAsia="Arial" w:hAnsi="Arial"/>
                <w:sz w:val="18"/>
                <w:szCs w:val="18"/>
                <w:color w:val="auto"/>
              </w:rPr>
              <w:t>Total</w:t>
            </w:r>
          </w:p>
        </w:tc>
        <w:tc>
          <w:tcPr>
            <w:tcW w:w="1120" w:type="dxa"/>
            <w:vAlign w:val="bottom"/>
            <w:shd w:val="clear" w:color="auto" w:fill="000000"/>
          </w:tcPr>
          <w:p>
            <w:pPr>
              <w:spacing w:after="0" w:line="20" w:lineRule="exact"/>
              <w:rPr>
                <w:sz w:val="1"/>
                <w:szCs w:val="1"/>
                <w:color w:val="auto"/>
              </w:rPr>
            </w:pPr>
          </w:p>
        </w:tc>
        <w:tc>
          <w:tcPr>
            <w:tcW w:w="260" w:type="dxa"/>
            <w:vAlign w:val="bottom"/>
            <w:vMerge w:val="restart"/>
          </w:tcPr>
          <w:p>
            <w:pPr>
              <w:jc w:val="right"/>
              <w:ind w:right="121"/>
              <w:spacing w:after="0"/>
              <w:rPr>
                <w:sz w:val="20"/>
                <w:szCs w:val="20"/>
                <w:color w:val="auto"/>
              </w:rPr>
            </w:pPr>
            <w:r>
              <w:rPr>
                <w:rFonts w:ascii="Arial" w:cs="Arial" w:eastAsia="Arial" w:hAnsi="Arial"/>
                <w:sz w:val="16"/>
                <w:szCs w:val="16"/>
                <w:b w:val="1"/>
                <w:bCs w:val="1"/>
                <w:color w:val="auto"/>
                <w:w w:val="74"/>
              </w:rPr>
              <w:t>)</w:t>
            </w:r>
          </w:p>
        </w:tc>
        <w:tc>
          <w:tcPr>
            <w:tcW w:w="11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10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3280" w:type="dxa"/>
            <w:vAlign w:val="bottom"/>
            <w:gridSpan w:val="2"/>
            <w:vMerge w:val="continue"/>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(19,874</w:t>
            </w:r>
          </w:p>
        </w:tc>
        <w:tc>
          <w:tcPr>
            <w:tcW w:w="260" w:type="dxa"/>
            <w:vAlign w:val="bottom"/>
            <w:vMerge w:val="continue"/>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vMerge w:val="continue"/>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(19,874</w:t>
            </w:r>
          </w:p>
        </w:tc>
        <w:tc>
          <w:tcPr>
            <w:tcW w:w="220" w:type="dxa"/>
            <w:vAlign w:val="bottom"/>
            <w:vMerge w:val="continue"/>
          </w:tcPr>
          <w:p>
            <w:pPr>
              <w:spacing w:after="0"/>
              <w:rPr>
                <w:sz w:val="21"/>
                <w:szCs w:val="21"/>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11,998</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7,804</w:t>
            </w: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(72</w:t>
            </w:r>
          </w:p>
        </w:tc>
        <w:tc>
          <w:tcPr>
            <w:tcW w:w="10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gridSpan w:val="4"/>
          </w:tcPr>
          <w:p>
            <w:pPr>
              <w:jc w:val="right"/>
              <w:ind w:right="941"/>
              <w:spacing w:after="0"/>
              <w:rPr>
                <w:sz w:val="20"/>
                <w:szCs w:val="20"/>
                <w:color w:val="auto"/>
              </w:rPr>
            </w:pPr>
            <w:r>
              <w:rPr>
                <w:rFonts w:ascii="Arial" w:cs="Arial" w:eastAsia="Arial" w:hAnsi="Arial"/>
                <w:sz w:val="18"/>
                <w:szCs w:val="18"/>
                <w:b w:val="1"/>
                <w:bCs w:val="1"/>
                <w:color w:val="auto"/>
              </w:rPr>
              <w:t>December 31, 2019</w:t>
            </w: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360" w:type="dxa"/>
            <w:vAlign w:val="bottom"/>
            <w:gridSpan w:val="2"/>
          </w:tcPr>
          <w:p>
            <w:pPr>
              <w:jc w:val="center"/>
              <w:ind w:right="141"/>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liabilities</w:t>
            </w: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7"/>
              </w:rPr>
              <w:t>amounts</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85"/>
              </w:rPr>
              <w:t>presented</w:t>
            </w:r>
          </w:p>
        </w:tc>
        <w:tc>
          <w:tcPr>
            <w:tcW w:w="2640" w:type="dxa"/>
            <w:vAlign w:val="bottom"/>
            <w:gridSpan w:val="4"/>
          </w:tcPr>
          <w:p>
            <w:pPr>
              <w:jc w:val="right"/>
              <w:ind w:right="400"/>
              <w:spacing w:after="0"/>
              <w:rPr>
                <w:sz w:val="20"/>
                <w:szCs w:val="20"/>
                <w:color w:val="auto"/>
              </w:rPr>
            </w:pPr>
            <w:r>
              <w:rPr>
                <w:rFonts w:ascii="Arial" w:cs="Arial" w:eastAsia="Arial" w:hAnsi="Arial"/>
                <w:sz w:val="18"/>
                <w:szCs w:val="18"/>
                <w:b w:val="1"/>
                <w:bCs w:val="1"/>
                <w:color w:val="auto"/>
                <w:w w:val="92"/>
              </w:rPr>
              <w:t>Gross amounts not offset in</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offset in the</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1"/>
              </w:rPr>
              <w:t>in the</w:t>
            </w:r>
          </w:p>
        </w:tc>
        <w:tc>
          <w:tcPr>
            <w:tcW w:w="2640" w:type="dxa"/>
            <w:vAlign w:val="bottom"/>
            <w:gridSpan w:val="4"/>
          </w:tcPr>
          <w:p>
            <w:pPr>
              <w:ind w:left="80"/>
              <w:spacing w:after="0"/>
              <w:rPr>
                <w:sz w:val="20"/>
                <w:szCs w:val="20"/>
                <w:color w:val="auto"/>
              </w:rPr>
            </w:pPr>
            <w:r>
              <w:rPr>
                <w:rFonts w:ascii="Arial" w:cs="Arial" w:eastAsia="Arial" w:hAnsi="Arial"/>
                <w:sz w:val="18"/>
                <w:szCs w:val="18"/>
                <w:b w:val="1"/>
                <w:bCs w:val="1"/>
                <w:color w:val="auto"/>
                <w:w w:val="99"/>
              </w:rPr>
              <w:t>the 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6"/>
              </w:rPr>
              <w:t>consolidated</w:t>
            </w:r>
          </w:p>
        </w:tc>
        <w:tc>
          <w:tcPr>
            <w:tcW w:w="2640" w:type="dxa"/>
            <w:vAlign w:val="bottom"/>
            <w:gridSpan w:val="4"/>
          </w:tcPr>
          <w:p>
            <w:pPr>
              <w:jc w:val="right"/>
              <w:ind w:right="760"/>
              <w:spacing w:after="0"/>
              <w:rPr>
                <w:sz w:val="20"/>
                <w:szCs w:val="20"/>
                <w:color w:val="auto"/>
              </w:rPr>
            </w:pPr>
            <w:r>
              <w:rPr>
                <w:rFonts w:ascii="Arial" w:cs="Arial" w:eastAsia="Arial" w:hAnsi="Arial"/>
                <w:sz w:val="18"/>
                <w:szCs w:val="18"/>
                <w:b w:val="1"/>
                <w:bCs w:val="1"/>
                <w:color w:val="auto"/>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80" w:type="dxa"/>
            <w:vAlign w:val="bottom"/>
            <w:gridSpan w:val="2"/>
          </w:tcPr>
          <w:p>
            <w:pPr>
              <w:jc w:val="center"/>
              <w:ind w:right="221"/>
              <w:spacing w:after="0" w:line="191" w:lineRule="exact"/>
              <w:rPr>
                <w:sz w:val="20"/>
                <w:szCs w:val="20"/>
                <w:color w:val="auto"/>
              </w:rPr>
            </w:pPr>
            <w:r>
              <w:rPr>
                <w:rFonts w:ascii="Arial" w:cs="Arial" w:eastAsia="Arial" w:hAnsi="Arial"/>
                <w:sz w:val="18"/>
                <w:szCs w:val="18"/>
                <w:b w:val="1"/>
                <w:bCs w:val="1"/>
                <w:color w:val="auto"/>
                <w:w w:val="84"/>
              </w:rPr>
              <w:t>Gross</w:t>
            </w:r>
          </w:p>
        </w:tc>
        <w:tc>
          <w:tcPr>
            <w:tcW w:w="1360" w:type="dxa"/>
            <w:vAlign w:val="bottom"/>
            <w:gridSpan w:val="2"/>
          </w:tcPr>
          <w:p>
            <w:pPr>
              <w:jc w:val="center"/>
              <w:ind w:right="30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60" w:type="dxa"/>
            <w:vAlign w:val="bottom"/>
            <w:gridSpan w:val="2"/>
          </w:tcPr>
          <w:p>
            <w:pPr>
              <w:jc w:val="center"/>
              <w:ind w:right="181"/>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Cash</w:t>
            </w: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gridSpan w:val="2"/>
          </w:tcPr>
          <w:p>
            <w:pPr>
              <w:jc w:val="center"/>
              <w:ind w:right="221"/>
              <w:spacing w:after="0"/>
              <w:rPr>
                <w:sz w:val="20"/>
                <w:szCs w:val="20"/>
                <w:color w:val="auto"/>
              </w:rPr>
            </w:pPr>
            <w:r>
              <w:rPr>
                <w:rFonts w:ascii="Arial" w:cs="Arial" w:eastAsia="Arial" w:hAnsi="Arial"/>
                <w:sz w:val="18"/>
                <w:szCs w:val="18"/>
                <w:b w:val="1"/>
                <w:bCs w:val="1"/>
                <w:color w:val="auto"/>
                <w:w w:val="86"/>
              </w:rPr>
              <w:t>amounts of</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financial</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financial</w:t>
            </w: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Financial</w:t>
            </w:r>
          </w:p>
        </w:tc>
        <w:tc>
          <w:tcPr>
            <w:tcW w:w="13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collateral</w:t>
            </w:r>
          </w:p>
        </w:tc>
        <w:tc>
          <w:tcPr>
            <w:tcW w:w="1220" w:type="dxa"/>
            <w:vAlign w:val="bottom"/>
            <w:gridSpan w:val="2"/>
          </w:tcPr>
          <w:p>
            <w:pPr>
              <w:jc w:val="right"/>
              <w:ind w:right="461"/>
              <w:spacing w:after="0"/>
              <w:rPr>
                <w:sz w:val="20"/>
                <w:szCs w:val="20"/>
                <w:color w:val="auto"/>
              </w:rPr>
            </w:pPr>
            <w:r>
              <w:rPr>
                <w:rFonts w:ascii="Arial" w:cs="Arial" w:eastAsia="Arial" w:hAnsi="Arial"/>
                <w:sz w:val="18"/>
                <w:szCs w:val="18"/>
                <w:b w:val="1"/>
                <w:bCs w:val="1"/>
                <w:color w:val="auto"/>
              </w:rPr>
              <w:t>Net</w:t>
            </w:r>
          </w:p>
        </w:tc>
        <w:tc>
          <w:tcPr>
            <w:tcW w:w="0" w:type="dxa"/>
            <w:vAlign w:val="bottom"/>
          </w:tcPr>
          <w:p>
            <w:pPr>
              <w:spacing w:after="0"/>
              <w:rPr>
                <w:sz w:val="1"/>
                <w:szCs w:val="1"/>
                <w:color w:val="auto"/>
              </w:rPr>
            </w:pPr>
          </w:p>
        </w:tc>
      </w:tr>
      <w:tr>
        <w:trPr>
          <w:trHeight w:val="234"/>
        </w:trPr>
        <w:tc>
          <w:tcPr>
            <w:tcW w:w="3280" w:type="dxa"/>
            <w:vAlign w:val="bottom"/>
            <w:gridSpan w:val="2"/>
          </w:tcPr>
          <w:p>
            <w:pPr>
              <w:ind w:left="1140"/>
              <w:spacing w:after="0"/>
              <w:rPr>
                <w:sz w:val="20"/>
                <w:szCs w:val="20"/>
                <w:color w:val="auto"/>
              </w:rPr>
            </w:pPr>
            <w:r>
              <w:rPr>
                <w:rFonts w:ascii="Arial" w:cs="Arial" w:eastAsia="Arial" w:hAnsi="Arial"/>
                <w:sz w:val="18"/>
                <w:szCs w:val="18"/>
                <w:b w:val="1"/>
                <w:bCs w:val="1"/>
                <w:color w:val="auto"/>
              </w:rPr>
              <w:t>Description</w:t>
            </w:r>
          </w:p>
        </w:tc>
        <w:tc>
          <w:tcPr>
            <w:tcW w:w="138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liabilities</w:t>
            </w: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position</w:t>
            </w:r>
          </w:p>
        </w:tc>
        <w:tc>
          <w:tcPr>
            <w:tcW w:w="13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5"/>
              </w:rPr>
              <w:t>position</w:t>
            </w:r>
          </w:p>
        </w:tc>
        <w:tc>
          <w:tcPr>
            <w:tcW w:w="1320" w:type="dxa"/>
            <w:vAlign w:val="bottom"/>
            <w:gridSpan w:val="2"/>
          </w:tcPr>
          <w:p>
            <w:pPr>
              <w:ind w:left="100"/>
              <w:spacing w:after="0"/>
              <w:rPr>
                <w:sz w:val="20"/>
                <w:szCs w:val="20"/>
                <w:color w:val="auto"/>
              </w:rPr>
            </w:pPr>
            <w:r>
              <w:rPr>
                <w:rFonts w:ascii="Arial" w:cs="Arial" w:eastAsia="Arial" w:hAnsi="Arial"/>
                <w:sz w:val="18"/>
                <w:szCs w:val="18"/>
                <w:b w:val="1"/>
                <w:bCs w:val="1"/>
                <w:color w:val="auto"/>
              </w:rPr>
              <w:t>instruments</w:t>
            </w:r>
          </w:p>
        </w:tc>
        <w:tc>
          <w:tcPr>
            <w:tcW w:w="13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pledged</w:t>
            </w:r>
          </w:p>
        </w:tc>
        <w:tc>
          <w:tcPr>
            <w:tcW w:w="1220" w:type="dxa"/>
            <w:vAlign w:val="bottom"/>
            <w:gridSpan w:val="2"/>
          </w:tcPr>
          <w:p>
            <w:pPr>
              <w:jc w:val="right"/>
              <w:ind w:right="261"/>
              <w:spacing w:after="0"/>
              <w:rPr>
                <w:sz w:val="20"/>
                <w:szCs w:val="20"/>
                <w:color w:val="auto"/>
              </w:rPr>
            </w:pPr>
            <w:r>
              <w:rPr>
                <w:rFonts w:ascii="Arial" w:cs="Arial" w:eastAsia="Arial" w:hAnsi="Arial"/>
                <w:sz w:val="18"/>
                <w:szCs w:val="18"/>
                <w:b w:val="1"/>
                <w:bCs w:val="1"/>
                <w:color w:val="auto"/>
              </w:rPr>
              <w:t>Amount</w:t>
            </w:r>
          </w:p>
        </w:tc>
        <w:tc>
          <w:tcPr>
            <w:tcW w:w="0" w:type="dxa"/>
            <w:vAlign w:val="bottom"/>
          </w:tcPr>
          <w:p>
            <w:pPr>
              <w:spacing w:after="0"/>
              <w:rPr>
                <w:sz w:val="1"/>
                <w:szCs w:val="1"/>
                <w:color w:val="auto"/>
              </w:rPr>
            </w:pPr>
          </w:p>
        </w:tc>
      </w:tr>
      <w:tr>
        <w:trPr>
          <w:trHeight w:val="195"/>
        </w:trPr>
        <w:tc>
          <w:tcPr>
            <w:tcW w:w="31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agreements</w:t>
            </w:r>
          </w:p>
        </w:tc>
        <w:tc>
          <w:tcPr>
            <w:tcW w:w="13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(40,530)</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(40,530)</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41,937</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320</w:t>
            </w:r>
          </w:p>
        </w:tc>
        <w:tc>
          <w:tcPr>
            <w:tcW w:w="12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1,727</w:t>
            </w:r>
          </w:p>
        </w:tc>
        <w:tc>
          <w:tcPr>
            <w:tcW w:w="0" w:type="dxa"/>
            <w:vAlign w:val="bottom"/>
          </w:tcPr>
          <w:p>
            <w:pPr>
              <w:spacing w:after="0"/>
              <w:rPr>
                <w:sz w:val="1"/>
                <w:szCs w:val="1"/>
                <w:color w:val="auto"/>
              </w:rPr>
            </w:pPr>
          </w:p>
        </w:tc>
      </w:tr>
      <w:tr>
        <w:trPr>
          <w:trHeight w:val="210"/>
        </w:trPr>
        <w:tc>
          <w:tcPr>
            <w:tcW w:w="3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6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2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used for</w:t>
            </w:r>
          </w:p>
        </w:tc>
        <w:tc>
          <w:tcPr>
            <w:tcW w:w="11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2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hedging</w:t>
            </w:r>
          </w:p>
        </w:tc>
        <w:tc>
          <w:tcPr>
            <w:tcW w:w="13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(14,675)</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(14,675)</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14,632</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0" w:type="dxa"/>
            <w:vAlign w:val="bottom"/>
          </w:tcPr>
          <w:p>
            <w:pPr>
              <w:spacing w:after="0"/>
              <w:rPr>
                <w:sz w:val="1"/>
                <w:szCs w:val="1"/>
                <w:color w:val="auto"/>
              </w:rPr>
            </w:pPr>
          </w:p>
        </w:tc>
      </w:tr>
      <w:tr>
        <w:trPr>
          <w:trHeight w:val="20"/>
        </w:trPr>
        <w:tc>
          <w:tcPr>
            <w:tcW w:w="3280" w:type="dxa"/>
            <w:vAlign w:val="bottom"/>
            <w:gridSpan w:val="2"/>
            <w:vMerge w:val="restart"/>
          </w:tcPr>
          <w:p>
            <w:pPr>
              <w:spacing w:after="0"/>
              <w:rPr>
                <w:sz w:val="20"/>
                <w:szCs w:val="20"/>
                <w:color w:val="auto"/>
              </w:rPr>
            </w:pPr>
            <w:r>
              <w:rPr>
                <w:rFonts w:ascii="Arial" w:cs="Arial" w:eastAsia="Arial" w:hAnsi="Arial"/>
                <w:sz w:val="18"/>
                <w:szCs w:val="18"/>
                <w:color w:val="auto"/>
              </w:rPr>
              <w:t>Total</w:t>
            </w:r>
          </w:p>
        </w:tc>
        <w:tc>
          <w:tcPr>
            <w:tcW w:w="1120" w:type="dxa"/>
            <w:vAlign w:val="bottom"/>
            <w:shd w:val="clear" w:color="auto" w:fill="000000"/>
          </w:tcPr>
          <w:p>
            <w:pPr>
              <w:spacing w:after="0" w:line="20" w:lineRule="exact"/>
              <w:rPr>
                <w:sz w:val="1"/>
                <w:szCs w:val="1"/>
                <w:color w:val="auto"/>
              </w:rPr>
            </w:pPr>
          </w:p>
        </w:tc>
        <w:tc>
          <w:tcPr>
            <w:tcW w:w="260" w:type="dxa"/>
            <w:vAlign w:val="bottom"/>
            <w:vMerge w:val="restart"/>
          </w:tcPr>
          <w:p>
            <w:pPr>
              <w:jc w:val="right"/>
              <w:ind w:right="121"/>
              <w:spacing w:after="0"/>
              <w:rPr>
                <w:sz w:val="20"/>
                <w:szCs w:val="20"/>
                <w:color w:val="auto"/>
              </w:rPr>
            </w:pPr>
            <w:r>
              <w:rPr>
                <w:rFonts w:ascii="Arial" w:cs="Arial" w:eastAsia="Arial" w:hAnsi="Arial"/>
                <w:sz w:val="16"/>
                <w:szCs w:val="16"/>
                <w:b w:val="1"/>
                <w:bCs w:val="1"/>
                <w:color w:val="auto"/>
                <w:w w:val="74"/>
              </w:rPr>
              <w:t>)</w:t>
            </w:r>
          </w:p>
        </w:tc>
        <w:tc>
          <w:tcPr>
            <w:tcW w:w="1120" w:type="dxa"/>
            <w:vAlign w:val="bottom"/>
            <w:shd w:val="clear" w:color="auto" w:fill="000000"/>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280" w:type="dxa"/>
            <w:vAlign w:val="bottom"/>
            <w:gridSpan w:val="2"/>
            <w:vMerge w:val="continue"/>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(55,205</w:t>
            </w:r>
          </w:p>
        </w:tc>
        <w:tc>
          <w:tcPr>
            <w:tcW w:w="260" w:type="dxa"/>
            <w:vAlign w:val="bottom"/>
            <w:vMerge w:val="continue"/>
          </w:tcPr>
          <w:p>
            <w:pPr>
              <w:spacing w:after="0"/>
              <w:rPr>
                <w:sz w:val="21"/>
                <w:szCs w:val="21"/>
                <w:color w:val="auto"/>
              </w:rPr>
            </w:pPr>
          </w:p>
        </w:tc>
        <w:tc>
          <w:tcPr>
            <w:tcW w:w="112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vMerge w:val="continue"/>
          </w:tcPr>
          <w:p>
            <w:pPr>
              <w:spacing w:after="0"/>
              <w:rPr>
                <w:sz w:val="21"/>
                <w:szCs w:val="21"/>
                <w:color w:val="auto"/>
              </w:rPr>
            </w:pPr>
          </w:p>
        </w:tc>
        <w:tc>
          <w:tcPr>
            <w:tcW w:w="1140" w:type="dxa"/>
            <w:vAlign w:val="bottom"/>
          </w:tcPr>
          <w:p>
            <w:pPr>
              <w:jc w:val="right"/>
              <w:spacing w:after="0"/>
              <w:rPr>
                <w:sz w:val="20"/>
                <w:szCs w:val="20"/>
                <w:color w:val="auto"/>
              </w:rPr>
            </w:pPr>
            <w:r>
              <w:rPr>
                <w:rFonts w:ascii="Arial" w:cs="Arial" w:eastAsia="Arial" w:hAnsi="Arial"/>
                <w:sz w:val="18"/>
                <w:szCs w:val="18"/>
                <w:b w:val="1"/>
                <w:bCs w:val="1"/>
                <w:color w:val="auto"/>
              </w:rPr>
              <w:t>(55,205</w:t>
            </w:r>
          </w:p>
        </w:tc>
        <w:tc>
          <w:tcPr>
            <w:tcW w:w="220" w:type="dxa"/>
            <w:vAlign w:val="bottom"/>
            <w:vMerge w:val="continue"/>
          </w:tcPr>
          <w:p>
            <w:pPr>
              <w:spacing w:after="0"/>
              <w:rPr>
                <w:sz w:val="21"/>
                <w:szCs w:val="21"/>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41,937</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14,952</w:t>
            </w:r>
          </w:p>
        </w:tc>
        <w:tc>
          <w:tcPr>
            <w:tcW w:w="1220" w:type="dxa"/>
            <w:vAlign w:val="bottom"/>
            <w:gridSpan w:val="2"/>
          </w:tcPr>
          <w:p>
            <w:pPr>
              <w:jc w:val="right"/>
              <w:ind w:right="21"/>
              <w:spacing w:after="0"/>
              <w:rPr>
                <w:sz w:val="20"/>
                <w:szCs w:val="20"/>
                <w:color w:val="auto"/>
              </w:rPr>
            </w:pPr>
            <w:r>
              <w:rPr>
                <w:rFonts w:ascii="Arial" w:cs="Arial" w:eastAsia="Arial" w:hAnsi="Arial"/>
                <w:sz w:val="18"/>
                <w:szCs w:val="18"/>
                <w:b w:val="1"/>
                <w:bCs w:val="1"/>
                <w:color w:val="auto"/>
              </w:rPr>
              <w:t>1,684</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220"/>
              <w:spacing w:after="0"/>
              <w:rPr>
                <w:sz w:val="20"/>
                <w:szCs w:val="20"/>
                <w:color w:val="auto"/>
              </w:rPr>
            </w:pPr>
            <w:r>
              <w:rPr>
                <w:rFonts w:ascii="Arial" w:cs="Arial" w:eastAsia="Arial" w:hAnsi="Arial"/>
                <w:sz w:val="18"/>
                <w:szCs w:val="18"/>
                <w:color w:val="auto"/>
              </w:rPr>
              <w:t>F-55</w:t>
            </w: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91" w:name="page192"/>
    <w:bookmarkEnd w:id="19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920" w:hanging="332"/>
        <w:spacing w:after="0" w:line="566" w:lineRule="auto"/>
        <w:tabs>
          <w:tab w:leader="none" w:pos="340" w:val="left"/>
        </w:tabs>
        <w:numPr>
          <w:ilvl w:val="0"/>
          <w:numId w:val="19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B. Liquidity risk</w:t>
      </w:r>
    </w:p>
    <w:p>
      <w:pPr>
        <w:ind w:left="980" w:hanging="324"/>
        <w:spacing w:after="0"/>
        <w:tabs>
          <w:tab w:leader="none" w:pos="980" w:val="left"/>
        </w:tabs>
        <w:numPr>
          <w:ilvl w:val="0"/>
          <w:numId w:val="200"/>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key measure used by the Bank for managing liquidity risk is the ratio of net liquid assets to deposits from customers and short-term funding. For this purpose, ‘net liquid assets’ includes cash and cash equivalents which consist of deposits from banks and customers, as well as corporate debt securities rated A- or above.</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Bank’s liquidity ratios, described in the previous paragraph, for the year ended December 31, 2020 and 2019, respectively:</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880" w:type="dxa"/>
            <w:vAlign w:val="bottom"/>
            <w:gridSpan w:val="6"/>
          </w:tcPr>
          <w:p>
            <w:pPr>
              <w:jc w:val="center"/>
              <w:ind w:right="460"/>
              <w:spacing w:after="0"/>
              <w:rPr>
                <w:sz w:val="20"/>
                <w:szCs w:val="20"/>
                <w:color w:val="auto"/>
              </w:rPr>
            </w:pPr>
            <w:r>
              <w:rPr>
                <w:rFonts w:ascii="Arial" w:cs="Arial" w:eastAsia="Arial" w:hAnsi="Arial"/>
                <w:sz w:val="18"/>
                <w:szCs w:val="18"/>
                <w:b w:val="1"/>
                <w:bCs w:val="1"/>
                <w:color w:val="auto"/>
                <w:w w:val="90"/>
              </w:rPr>
              <w:t>December 31,</w:t>
            </w:r>
          </w:p>
        </w:tc>
        <w:tc>
          <w:tcPr>
            <w:tcW w:w="2560" w:type="dxa"/>
            <w:vAlign w:val="bottom"/>
            <w:gridSpan w:val="6"/>
          </w:tcPr>
          <w:p>
            <w:pPr>
              <w:jc w:val="center"/>
              <w:ind w:right="1480"/>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20" w:type="dxa"/>
            <w:vAlign w:val="bottom"/>
            <w:tcBorders>
              <w:bottom w:val="single" w:sz="8" w:color="CCEEFF"/>
            </w:tcBorders>
          </w:tcPr>
          <w:p>
            <w:pPr>
              <w:spacing w:after="0"/>
              <w:rPr>
                <w:sz w:val="20"/>
                <w:szCs w:val="20"/>
                <w:color w:val="auto"/>
              </w:rPr>
            </w:pPr>
          </w:p>
        </w:tc>
        <w:tc>
          <w:tcPr>
            <w:tcW w:w="166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900" w:type="dxa"/>
            <w:vAlign w:val="bottom"/>
            <w:tcBorders>
              <w:bottom w:val="single" w:sz="8" w:color="CCEEFF"/>
            </w:tcBorders>
            <w:gridSpan w:val="2"/>
          </w:tcPr>
          <w:p>
            <w:pPr>
              <w:spacing w:after="0"/>
              <w:rPr>
                <w:sz w:val="20"/>
                <w:szCs w:val="20"/>
                <w:color w:val="auto"/>
              </w:rPr>
            </w:pPr>
          </w:p>
        </w:tc>
        <w:tc>
          <w:tcPr>
            <w:tcW w:w="900" w:type="dxa"/>
            <w:vAlign w:val="bottom"/>
            <w:tcBorders>
              <w:bottom w:val="single" w:sz="8" w:color="auto"/>
            </w:tcBorders>
            <w:gridSpan w:val="2"/>
          </w:tcPr>
          <w:p>
            <w:pPr>
              <w:jc w:val="center"/>
              <w:ind w:left="410"/>
              <w:spacing w:after="0"/>
              <w:rPr>
                <w:sz w:val="20"/>
                <w:szCs w:val="20"/>
                <w:color w:val="auto"/>
              </w:rPr>
            </w:pPr>
            <w:r>
              <w:rPr>
                <w:rFonts w:ascii="Arial" w:cs="Arial" w:eastAsia="Arial" w:hAnsi="Arial"/>
                <w:sz w:val="18"/>
                <w:szCs w:val="18"/>
                <w:b w:val="1"/>
                <w:bCs w:val="1"/>
                <w:color w:val="auto"/>
                <w:w w:val="89"/>
              </w:rPr>
              <w:t>2020</w:t>
            </w:r>
          </w:p>
        </w:tc>
        <w:tc>
          <w:tcPr>
            <w:tcW w:w="4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280" w:type="dxa"/>
            <w:vAlign w:val="bottom"/>
            <w:tcBorders>
              <w:bottom w:val="single" w:sz="8" w:color="CCEEFF"/>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740" w:type="dxa"/>
            <w:vAlign w:val="bottom"/>
            <w:tcBorders>
              <w:bottom w:val="single" w:sz="8" w:color="auto"/>
            </w:tcBorders>
            <w:gridSpan w:val="2"/>
          </w:tcPr>
          <w:p>
            <w:pPr>
              <w:jc w:val="center"/>
              <w:ind w:left="250"/>
              <w:spacing w:after="0"/>
              <w:rPr>
                <w:sz w:val="20"/>
                <w:szCs w:val="20"/>
                <w:color w:val="auto"/>
              </w:rPr>
            </w:pPr>
            <w:r>
              <w:rPr>
                <w:rFonts w:ascii="Arial" w:cs="Arial" w:eastAsia="Arial" w:hAnsi="Arial"/>
                <w:sz w:val="18"/>
                <w:szCs w:val="18"/>
                <w:b w:val="1"/>
                <w:bCs w:val="1"/>
                <w:color w:val="auto"/>
                <w:w w:val="89"/>
              </w:rPr>
              <w:t>2019</w:t>
            </w:r>
          </w:p>
        </w:tc>
        <w:tc>
          <w:tcPr>
            <w:tcW w:w="540" w:type="dxa"/>
            <w:vAlign w:val="bottom"/>
            <w:tcBorders>
              <w:bottom w:val="single" w:sz="8" w:color="auto"/>
            </w:tcBorders>
          </w:tcPr>
          <w:p>
            <w:pPr>
              <w:spacing w:after="0"/>
              <w:rPr>
                <w:sz w:val="20"/>
                <w:szCs w:val="20"/>
                <w:color w:val="auto"/>
              </w:rPr>
            </w:pPr>
          </w:p>
        </w:tc>
        <w:tc>
          <w:tcPr>
            <w:tcW w:w="180" w:type="dxa"/>
            <w:vAlign w:val="bottom"/>
            <w:tcBorders>
              <w:bottom w:val="single" w:sz="8" w:color="CCEEFF"/>
            </w:tcBorders>
          </w:tcPr>
          <w:p>
            <w:pPr>
              <w:spacing w:after="0"/>
              <w:rPr>
                <w:sz w:val="20"/>
                <w:szCs w:val="20"/>
                <w:color w:val="auto"/>
              </w:rPr>
            </w:pPr>
          </w:p>
        </w:tc>
        <w:tc>
          <w:tcPr>
            <w:tcW w:w="9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At the end of the year</w:t>
            </w:r>
          </w:p>
        </w:tc>
        <w:tc>
          <w:tcPr>
            <w:tcW w:w="16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ind w:right="50"/>
              <w:spacing w:after="0"/>
              <w:rPr>
                <w:sz w:val="20"/>
                <w:szCs w:val="20"/>
                <w:color w:val="auto"/>
              </w:rPr>
            </w:pPr>
            <w:r>
              <w:rPr>
                <w:rFonts w:ascii="Arial" w:cs="Arial" w:eastAsia="Arial" w:hAnsi="Arial"/>
                <w:sz w:val="18"/>
                <w:szCs w:val="18"/>
                <w:color w:val="auto"/>
                <w:w w:val="90"/>
              </w:rPr>
              <w:t>249.42%</w:t>
            </w:r>
          </w:p>
        </w:tc>
        <w:tc>
          <w:tcPr>
            <w:tcW w:w="1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52.48%</w:t>
            </w: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8"/>
                <w:szCs w:val="18"/>
                <w:color w:val="auto"/>
              </w:rPr>
              <w:t>Year average</w:t>
            </w:r>
          </w:p>
        </w:tc>
        <w:tc>
          <w:tcPr>
            <w:tcW w:w="1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gridSpan w:val="3"/>
          </w:tcPr>
          <w:p>
            <w:pPr>
              <w:jc w:val="right"/>
              <w:ind w:right="50"/>
              <w:spacing w:after="0"/>
              <w:rPr>
                <w:sz w:val="20"/>
                <w:szCs w:val="20"/>
                <w:color w:val="auto"/>
              </w:rPr>
            </w:pPr>
            <w:r>
              <w:rPr>
                <w:rFonts w:ascii="Arial" w:cs="Arial" w:eastAsia="Arial" w:hAnsi="Arial"/>
                <w:sz w:val="18"/>
                <w:szCs w:val="18"/>
                <w:color w:val="auto"/>
                <w:w w:val="90"/>
              </w:rPr>
              <w:t>115.98%</w:t>
            </w: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37.82%</w:t>
            </w: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Maximum of the year</w:t>
            </w:r>
          </w:p>
        </w:tc>
        <w:tc>
          <w:tcPr>
            <w:tcW w:w="16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ind w:right="50"/>
              <w:spacing w:after="0"/>
              <w:rPr>
                <w:sz w:val="20"/>
                <w:szCs w:val="20"/>
                <w:color w:val="auto"/>
              </w:rPr>
            </w:pPr>
            <w:r>
              <w:rPr>
                <w:rFonts w:ascii="Arial" w:cs="Arial" w:eastAsia="Arial" w:hAnsi="Arial"/>
                <w:sz w:val="18"/>
                <w:szCs w:val="18"/>
                <w:color w:val="auto"/>
                <w:w w:val="90"/>
              </w:rPr>
              <w:t>249.42%</w:t>
            </w:r>
          </w:p>
        </w:tc>
        <w:tc>
          <w:tcPr>
            <w:tcW w:w="1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53.38%</w:t>
            </w: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20" w:type="dxa"/>
            <w:vAlign w:val="bottom"/>
          </w:tcPr>
          <w:p>
            <w:pPr>
              <w:spacing w:after="0"/>
              <w:rPr>
                <w:sz w:val="20"/>
                <w:szCs w:val="20"/>
                <w:color w:val="auto"/>
              </w:rPr>
            </w:pPr>
            <w:r>
              <w:rPr>
                <w:rFonts w:ascii="Arial" w:cs="Arial" w:eastAsia="Arial" w:hAnsi="Arial"/>
                <w:sz w:val="18"/>
                <w:szCs w:val="18"/>
                <w:color w:val="auto"/>
              </w:rPr>
              <w:t>Minimun of the year</w:t>
            </w:r>
          </w:p>
        </w:tc>
        <w:tc>
          <w:tcPr>
            <w:tcW w:w="1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gridSpan w:val="3"/>
          </w:tcPr>
          <w:p>
            <w:pPr>
              <w:jc w:val="right"/>
              <w:ind w:right="50"/>
              <w:spacing w:after="0"/>
              <w:rPr>
                <w:sz w:val="20"/>
                <w:szCs w:val="20"/>
                <w:color w:val="auto"/>
              </w:rPr>
            </w:pPr>
            <w:r>
              <w:rPr>
                <w:rFonts w:ascii="Arial" w:cs="Arial" w:eastAsia="Arial" w:hAnsi="Arial"/>
                <w:sz w:val="18"/>
                <w:szCs w:val="18"/>
                <w:color w:val="auto"/>
              </w:rPr>
              <w:t>53.26%</w:t>
            </w:r>
          </w:p>
        </w:tc>
        <w:tc>
          <w:tcPr>
            <w:tcW w:w="1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20" w:type="dxa"/>
            <w:vAlign w:val="bottom"/>
            <w:gridSpan w:val="2"/>
          </w:tcPr>
          <w:p>
            <w:pPr>
              <w:jc w:val="right"/>
              <w:spacing w:after="0"/>
              <w:rPr>
                <w:sz w:val="20"/>
                <w:szCs w:val="20"/>
                <w:color w:val="auto"/>
              </w:rPr>
            </w:pPr>
            <w:r>
              <w:rPr>
                <w:rFonts w:ascii="Arial" w:cs="Arial" w:eastAsia="Arial" w:hAnsi="Arial"/>
                <w:sz w:val="18"/>
                <w:szCs w:val="18"/>
                <w:color w:val="auto"/>
              </w:rPr>
              <w:t>23.23%</w:t>
            </w:r>
          </w:p>
        </w:tc>
        <w:tc>
          <w:tcPr>
            <w:tcW w:w="9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340" w:type="dxa"/>
            <w:vAlign w:val="bottom"/>
          </w:tcPr>
          <w:p>
            <w:pPr>
              <w:spacing w:after="0"/>
              <w:rPr>
                <w:sz w:val="24"/>
                <w:szCs w:val="24"/>
                <w:color w:val="auto"/>
              </w:rPr>
            </w:pPr>
          </w:p>
        </w:tc>
        <w:tc>
          <w:tcPr>
            <w:tcW w:w="7340" w:type="dxa"/>
            <w:vAlign w:val="bottom"/>
            <w:gridSpan w:val="8"/>
          </w:tcPr>
          <w:p>
            <w:pPr>
              <w:spacing w:after="0"/>
              <w:rPr>
                <w:sz w:val="20"/>
                <w:szCs w:val="20"/>
                <w:color w:val="auto"/>
              </w:rPr>
            </w:pPr>
            <w:r>
              <w:rPr>
                <w:rFonts w:ascii="Arial" w:cs="Arial" w:eastAsia="Arial" w:hAnsi="Arial"/>
                <w:sz w:val="18"/>
                <w:szCs w:val="18"/>
                <w:color w:val="auto"/>
              </w:rPr>
              <w:t>The following table includes the Bank’s liquid assets by geographical location:</w:t>
            </w:r>
          </w:p>
        </w:tc>
        <w:tc>
          <w:tcPr>
            <w:tcW w:w="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2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20" w:type="dxa"/>
            <w:vAlign w:val="bottom"/>
          </w:tcPr>
          <w:p>
            <w:pPr>
              <w:spacing w:after="0"/>
              <w:rPr>
                <w:sz w:val="20"/>
                <w:szCs w:val="20"/>
                <w:color w:val="auto"/>
              </w:rPr>
            </w:pPr>
          </w:p>
        </w:tc>
        <w:tc>
          <w:tcPr>
            <w:tcW w:w="166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800" w:type="dxa"/>
            <w:vAlign w:val="bottom"/>
            <w:tcBorders>
              <w:bottom w:val="single" w:sz="8" w:color="auto"/>
            </w:tcBorders>
            <w:gridSpan w:val="4"/>
          </w:tcPr>
          <w:p>
            <w:pPr>
              <w:jc w:val="right"/>
              <w:ind w:right="280"/>
              <w:spacing w:after="0"/>
              <w:rPr>
                <w:sz w:val="20"/>
                <w:szCs w:val="20"/>
                <w:color w:val="auto"/>
              </w:rPr>
            </w:pPr>
            <w:r>
              <w:rPr>
                <w:rFonts w:ascii="Arial" w:cs="Arial" w:eastAsia="Arial" w:hAnsi="Arial"/>
                <w:sz w:val="18"/>
                <w:szCs w:val="18"/>
                <w:b w:val="1"/>
                <w:bCs w:val="1"/>
                <w:color w:val="auto"/>
                <w:w w:val="92"/>
              </w:rPr>
              <w:t>December 31, 2020</w:t>
            </w:r>
          </w:p>
        </w:tc>
        <w:tc>
          <w:tcPr>
            <w:tcW w:w="40" w:type="dxa"/>
            <w:vAlign w:val="bottom"/>
            <w:tcBorders>
              <w:bottom w:val="single" w:sz="8" w:color="auto"/>
            </w:tcBorders>
          </w:tcPr>
          <w:p>
            <w:pPr>
              <w:spacing w:after="0"/>
              <w:rPr>
                <w:sz w:val="20"/>
                <w:szCs w:val="20"/>
                <w:color w:val="auto"/>
              </w:rPr>
            </w:pPr>
          </w:p>
        </w:tc>
        <w:tc>
          <w:tcPr>
            <w:tcW w:w="48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5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70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8"/>
                <w:szCs w:val="18"/>
                <w:b w:val="1"/>
                <w:bCs w:val="1"/>
                <w:color w:val="auto"/>
                <w:w w:val="89"/>
              </w:rPr>
              <w:t>2019</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3820" w:type="dxa"/>
            <w:vAlign w:val="bottom"/>
            <w:gridSpan w:val="2"/>
            <w:vMerge w:val="restart"/>
          </w:tcPr>
          <w:p>
            <w:pPr>
              <w:spacing w:after="0"/>
              <w:rPr>
                <w:sz w:val="20"/>
                <w:szCs w:val="20"/>
                <w:color w:val="auto"/>
              </w:rPr>
            </w:pPr>
            <w:r>
              <w:rPr>
                <w:rFonts w:ascii="Arial" w:cs="Arial" w:eastAsia="Arial" w:hAnsi="Arial"/>
                <w:sz w:val="18"/>
                <w:szCs w:val="18"/>
                <w:color w:val="auto"/>
              </w:rPr>
              <w:t>(in millions of USD dollars)</w:t>
            </w:r>
          </w:p>
        </w:tc>
        <w:tc>
          <w:tcPr>
            <w:tcW w:w="1720" w:type="dxa"/>
            <w:vAlign w:val="bottom"/>
            <w:gridSpan w:val="2"/>
          </w:tcPr>
          <w:p>
            <w:pPr>
              <w:jc w:val="right"/>
              <w:ind w:right="180"/>
              <w:spacing w:after="0" w:line="191" w:lineRule="exact"/>
              <w:rPr>
                <w:sz w:val="20"/>
                <w:szCs w:val="20"/>
                <w:color w:val="auto"/>
              </w:rPr>
            </w:pPr>
            <w:r>
              <w:rPr>
                <w:rFonts w:ascii="Arial" w:cs="Arial" w:eastAsia="Arial" w:hAnsi="Arial"/>
                <w:sz w:val="18"/>
                <w:szCs w:val="18"/>
                <w:b w:val="1"/>
                <w:bCs w:val="1"/>
                <w:color w:val="auto"/>
                <w:w w:val="93"/>
              </w:rPr>
              <w:t>Cash and due from</w:t>
            </w:r>
          </w:p>
        </w:tc>
        <w:tc>
          <w:tcPr>
            <w:tcW w:w="16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00" w:type="dxa"/>
            <w:vAlign w:val="bottom"/>
            <w:gridSpan w:val="3"/>
          </w:tcPr>
          <w:p>
            <w:pPr>
              <w:jc w:val="center"/>
              <w:ind w:right="60"/>
              <w:spacing w:after="0" w:line="191" w:lineRule="exact"/>
              <w:rPr>
                <w:sz w:val="20"/>
                <w:szCs w:val="20"/>
                <w:color w:val="auto"/>
              </w:rPr>
            </w:pPr>
            <w:r>
              <w:rPr>
                <w:rFonts w:ascii="Arial" w:cs="Arial" w:eastAsia="Arial" w:hAnsi="Arial"/>
                <w:sz w:val="18"/>
                <w:szCs w:val="18"/>
                <w:b w:val="1"/>
                <w:bCs w:val="1"/>
                <w:color w:val="auto"/>
                <w:w w:val="90"/>
              </w:rPr>
              <w:t>Cash and due from</w:t>
            </w: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820" w:type="dxa"/>
            <w:vAlign w:val="bottom"/>
            <w:gridSpan w:val="2"/>
            <w:vMerge w:val="continue"/>
          </w:tcPr>
          <w:p>
            <w:pPr>
              <w:spacing w:after="0"/>
              <w:rPr>
                <w:sz w:val="20"/>
                <w:szCs w:val="20"/>
                <w:color w:val="auto"/>
              </w:rPr>
            </w:pPr>
          </w:p>
        </w:tc>
        <w:tc>
          <w:tcPr>
            <w:tcW w:w="17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banks</w:t>
            </w:r>
          </w:p>
        </w:tc>
        <w:tc>
          <w:tcPr>
            <w:tcW w:w="160" w:type="dxa"/>
            <w:vAlign w:val="bottom"/>
          </w:tcPr>
          <w:p>
            <w:pPr>
              <w:spacing w:after="0"/>
              <w:rPr>
                <w:sz w:val="20"/>
                <w:szCs w:val="20"/>
                <w:color w:val="auto"/>
              </w:rPr>
            </w:pPr>
          </w:p>
        </w:tc>
        <w:tc>
          <w:tcPr>
            <w:tcW w:w="16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5"/>
              </w:rPr>
              <w:t>Securities FVOCI</w:t>
            </w:r>
          </w:p>
        </w:tc>
        <w:tc>
          <w:tcPr>
            <w:tcW w:w="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60" w:type="dxa"/>
            <w:vAlign w:val="bottom"/>
            <w:gridSpan w:val="2"/>
          </w:tcPr>
          <w:p>
            <w:pPr>
              <w:ind w:left="40"/>
              <w:spacing w:after="0"/>
              <w:rPr>
                <w:sz w:val="20"/>
                <w:szCs w:val="20"/>
                <w:color w:val="auto"/>
              </w:rPr>
            </w:pPr>
            <w:r>
              <w:rPr>
                <w:rFonts w:ascii="Arial" w:cs="Arial" w:eastAsia="Arial" w:hAnsi="Arial"/>
                <w:sz w:val="18"/>
                <w:szCs w:val="18"/>
                <w:b w:val="1"/>
                <w:bCs w:val="1"/>
                <w:color w:val="auto"/>
                <w:w w:val="92"/>
              </w:rPr>
              <w:t>Total</w:t>
            </w:r>
          </w:p>
        </w:tc>
        <w:tc>
          <w:tcPr>
            <w:tcW w:w="5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280" w:type="dxa"/>
            <w:vAlign w:val="bottom"/>
            <w:gridSpan w:val="3"/>
          </w:tcPr>
          <w:p>
            <w:pPr>
              <w:jc w:val="center"/>
              <w:ind w:right="660"/>
              <w:spacing w:after="0"/>
              <w:rPr>
                <w:sz w:val="20"/>
                <w:szCs w:val="20"/>
                <w:color w:val="auto"/>
              </w:rPr>
            </w:pPr>
            <w:r>
              <w:rPr>
                <w:rFonts w:ascii="Arial" w:cs="Arial" w:eastAsia="Arial" w:hAnsi="Arial"/>
                <w:sz w:val="18"/>
                <w:szCs w:val="18"/>
                <w:b w:val="1"/>
                <w:bCs w:val="1"/>
                <w:color w:val="auto"/>
                <w:w w:val="88"/>
              </w:rPr>
              <w:t>banks</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38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United State of America</w:t>
            </w:r>
          </w:p>
        </w:tc>
        <w:tc>
          <w:tcPr>
            <w:tcW w:w="1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w:t>
            </w: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830</w:t>
            </w:r>
          </w:p>
        </w:tc>
        <w:tc>
          <w:tcPr>
            <w:tcW w:w="22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1,132</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20" w:type="dxa"/>
            <w:vAlign w:val="bottom"/>
            <w:gridSpan w:val="2"/>
          </w:tcPr>
          <w:p>
            <w:pPr>
              <w:spacing w:after="0"/>
              <w:rPr>
                <w:sz w:val="20"/>
                <w:szCs w:val="20"/>
                <w:color w:val="auto"/>
              </w:rPr>
            </w:pPr>
            <w:r>
              <w:rPr>
                <w:rFonts w:ascii="Arial" w:cs="Arial" w:eastAsia="Arial" w:hAnsi="Arial"/>
                <w:sz w:val="18"/>
                <w:szCs w:val="18"/>
                <w:color w:val="auto"/>
              </w:rPr>
              <w:t>Other O.E.C.D countries</w:t>
            </w:r>
          </w:p>
        </w:tc>
        <w:tc>
          <w:tcPr>
            <w:tcW w:w="1720" w:type="dxa"/>
            <w:vAlign w:val="bottom"/>
            <w:gridSpan w:val="2"/>
          </w:tcPr>
          <w:p>
            <w:pPr>
              <w:jc w:val="right"/>
              <w:ind w:right="60"/>
              <w:spacing w:after="0"/>
              <w:rPr>
                <w:sz w:val="20"/>
                <w:szCs w:val="20"/>
                <w:color w:val="auto"/>
              </w:rPr>
            </w:pPr>
            <w:r>
              <w:rPr>
                <w:rFonts w:ascii="Arial" w:cs="Arial" w:eastAsia="Arial" w:hAnsi="Arial"/>
                <w:sz w:val="18"/>
                <w:szCs w:val="18"/>
                <w:color w:val="auto"/>
              </w:rPr>
              <w:t>100</w:t>
            </w:r>
          </w:p>
        </w:tc>
        <w:tc>
          <w:tcPr>
            <w:tcW w:w="180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100</w:t>
            </w:r>
          </w:p>
        </w:tc>
        <w:tc>
          <w:tcPr>
            <w:tcW w:w="1820" w:type="dxa"/>
            <w:vAlign w:val="bottom"/>
            <w:gridSpan w:val="4"/>
          </w:tcPr>
          <w:p>
            <w:pPr>
              <w:jc w:val="right"/>
              <w:ind w:right="120"/>
              <w:spacing w:after="0"/>
              <w:rPr>
                <w:sz w:val="20"/>
                <w:szCs w:val="20"/>
                <w:color w:val="auto"/>
              </w:rPr>
            </w:pPr>
            <w:r>
              <w:rPr>
                <w:rFonts w:ascii="Arial" w:cs="Arial" w:eastAsia="Arial" w:hAnsi="Arial"/>
                <w:sz w:val="18"/>
                <w:szCs w:val="18"/>
                <w:color w:val="auto"/>
              </w:rPr>
              <w:t>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Latin America</w:t>
            </w:r>
          </w:p>
        </w:tc>
        <w:tc>
          <w:tcPr>
            <w:tcW w:w="1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w:t>
            </w:r>
          </w:p>
        </w:tc>
        <w:tc>
          <w:tcPr>
            <w:tcW w:w="180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w:t>
            </w:r>
          </w:p>
        </w:tc>
        <w:tc>
          <w:tcPr>
            <w:tcW w:w="18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820" w:type="dxa"/>
            <w:vAlign w:val="bottom"/>
            <w:gridSpan w:val="2"/>
          </w:tcPr>
          <w:p>
            <w:pPr>
              <w:spacing w:after="0"/>
              <w:rPr>
                <w:sz w:val="20"/>
                <w:szCs w:val="20"/>
                <w:color w:val="auto"/>
              </w:rPr>
            </w:pPr>
            <w:r>
              <w:rPr>
                <w:rFonts w:ascii="Arial" w:cs="Arial" w:eastAsia="Arial" w:hAnsi="Arial"/>
                <w:sz w:val="18"/>
                <w:szCs w:val="18"/>
                <w:color w:val="auto"/>
              </w:rPr>
              <w:t>Other countries</w:t>
            </w:r>
          </w:p>
        </w:tc>
        <w:tc>
          <w:tcPr>
            <w:tcW w:w="172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80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20" w:type="dxa"/>
            <w:vAlign w:val="bottom"/>
            <w:gridSpan w:val="4"/>
          </w:tcPr>
          <w:p>
            <w:pPr>
              <w:jc w:val="right"/>
              <w:ind w:right="120"/>
              <w:spacing w:after="0"/>
              <w:rPr>
                <w:sz w:val="20"/>
                <w:szCs w:val="20"/>
                <w:color w:val="auto"/>
              </w:rPr>
            </w:pPr>
            <w:r>
              <w:rPr>
                <w:rFonts w:ascii="Arial" w:cs="Arial" w:eastAsia="Arial" w:hAnsi="Arial"/>
                <w:sz w:val="18"/>
                <w:szCs w:val="18"/>
                <w:color w:val="auto"/>
              </w:rPr>
              <w:t>20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8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 ultinational</w:t>
            </w:r>
          </w:p>
        </w:tc>
        <w:tc>
          <w:tcPr>
            <w:tcW w:w="17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80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112</w:t>
            </w:r>
          </w:p>
        </w:tc>
        <w:tc>
          <w:tcPr>
            <w:tcW w:w="4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w:t>
            </w:r>
          </w:p>
        </w:tc>
        <w:tc>
          <w:tcPr>
            <w:tcW w:w="182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Total</w:t>
            </w:r>
          </w:p>
        </w:tc>
        <w:tc>
          <w:tcPr>
            <w:tcW w:w="166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60" w:type="dxa"/>
            <w:vAlign w:val="bottom"/>
            <w:gridSpan w:val="2"/>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00" w:type="dxa"/>
            <w:vAlign w:val="bottom"/>
            <w:gridSpan w:val="3"/>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40" w:type="dxa"/>
            <w:vAlign w:val="bottom"/>
          </w:tcPr>
          <w:p>
            <w:pPr>
              <w:spacing w:after="0"/>
              <w:rPr>
                <w:sz w:val="21"/>
                <w:szCs w:val="21"/>
                <w:color w:val="auto"/>
              </w:rPr>
            </w:pPr>
          </w:p>
        </w:tc>
        <w:tc>
          <w:tcPr>
            <w:tcW w:w="3820" w:type="dxa"/>
            <w:vAlign w:val="bottom"/>
            <w:gridSpan w:val="2"/>
            <w:vMerge w:val="continue"/>
          </w:tcPr>
          <w:p>
            <w:pPr>
              <w:spacing w:after="0"/>
              <w:rPr>
                <w:sz w:val="21"/>
                <w:szCs w:val="21"/>
                <w:color w:val="auto"/>
              </w:rPr>
            </w:pPr>
          </w:p>
        </w:tc>
        <w:tc>
          <w:tcPr>
            <w:tcW w:w="17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846</w:t>
            </w:r>
          </w:p>
        </w:tc>
        <w:tc>
          <w:tcPr>
            <w:tcW w:w="1800" w:type="dxa"/>
            <w:vAlign w:val="bottom"/>
            <w:gridSpan w:val="4"/>
          </w:tcPr>
          <w:p>
            <w:pPr>
              <w:jc w:val="right"/>
              <w:ind w:right="180"/>
              <w:spacing w:after="0"/>
              <w:rPr>
                <w:sz w:val="20"/>
                <w:szCs w:val="20"/>
                <w:color w:val="auto"/>
              </w:rPr>
            </w:pPr>
            <w:r>
              <w:rPr>
                <w:rFonts w:ascii="Arial" w:cs="Arial" w:eastAsia="Arial" w:hAnsi="Arial"/>
                <w:sz w:val="18"/>
                <w:szCs w:val="18"/>
                <w:b w:val="1"/>
                <w:bCs w:val="1"/>
                <w:color w:val="auto"/>
              </w:rPr>
              <w:t>202</w:t>
            </w:r>
          </w:p>
        </w:tc>
        <w:tc>
          <w:tcPr>
            <w:tcW w:w="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1,048</w:t>
            </w:r>
          </w:p>
        </w:tc>
        <w:tc>
          <w:tcPr>
            <w:tcW w:w="1820" w:type="dxa"/>
            <w:vAlign w:val="bottom"/>
            <w:gridSpan w:val="4"/>
          </w:tcPr>
          <w:p>
            <w:pPr>
              <w:jc w:val="right"/>
              <w:ind w:right="120"/>
              <w:spacing w:after="0"/>
              <w:rPr>
                <w:sz w:val="20"/>
                <w:szCs w:val="20"/>
                <w:color w:val="auto"/>
              </w:rPr>
            </w:pPr>
            <w:r>
              <w:rPr>
                <w:rFonts w:ascii="Arial" w:cs="Arial" w:eastAsia="Arial" w:hAnsi="Arial"/>
                <w:sz w:val="18"/>
                <w:szCs w:val="18"/>
                <w:b w:val="1"/>
                <w:bCs w:val="1"/>
                <w:color w:val="auto"/>
              </w:rPr>
              <w:t>1,160</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gridSpan w:val="2"/>
          </w:tcPr>
          <w:p>
            <w:pPr>
              <w:spacing w:after="0" w:line="20" w:lineRule="exact"/>
              <w:rPr>
                <w:sz w:val="1"/>
                <w:szCs w:val="1"/>
                <w:color w:val="auto"/>
              </w:rPr>
            </w:pPr>
          </w:p>
        </w:tc>
        <w:tc>
          <w:tcPr>
            <w:tcW w:w="1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460" w:type="dxa"/>
            <w:vAlign w:val="bottom"/>
            <w:tcBorders>
              <w:top w:val="single" w:sz="8" w:color="auto"/>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1460" w:type="dxa"/>
            <w:vAlign w:val="bottom"/>
            <w:tcBorders>
              <w:top w:val="single" w:sz="8" w:color="auto"/>
              <w:bottom w:val="single" w:sz="8" w:color="auto"/>
            </w:tcBorders>
            <w:gridSpan w:val="4"/>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9060" w:type="dxa"/>
            <w:vAlign w:val="bottom"/>
            <w:gridSpan w:val="14"/>
          </w:tcPr>
          <w:p>
            <w:pPr>
              <w:spacing w:after="0"/>
              <w:rPr>
                <w:sz w:val="20"/>
                <w:szCs w:val="20"/>
                <w:color w:val="auto"/>
              </w:rPr>
            </w:pPr>
            <w:r>
              <w:rPr>
                <w:rFonts w:ascii="Arial" w:cs="Arial" w:eastAsia="Arial" w:hAnsi="Arial"/>
                <w:sz w:val="18"/>
                <w:szCs w:val="18"/>
                <w:color w:val="auto"/>
                <w:w w:val="95"/>
              </w:rPr>
              <w:t>The following table includes the Bank’s demand deposits from customers and its ratio to total deposits from customers:</w:t>
            </w:r>
          </w:p>
        </w:tc>
        <w:tc>
          <w:tcPr>
            <w:tcW w:w="5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880" w:type="dxa"/>
            <w:vAlign w:val="bottom"/>
            <w:gridSpan w:val="6"/>
          </w:tcPr>
          <w:p>
            <w:pPr>
              <w:jc w:val="center"/>
              <w:ind w:right="460"/>
              <w:spacing w:after="0"/>
              <w:rPr>
                <w:sz w:val="20"/>
                <w:szCs w:val="20"/>
                <w:color w:val="auto"/>
              </w:rPr>
            </w:pPr>
            <w:r>
              <w:rPr>
                <w:rFonts w:ascii="Arial" w:cs="Arial" w:eastAsia="Arial" w:hAnsi="Arial"/>
                <w:sz w:val="18"/>
                <w:szCs w:val="18"/>
                <w:b w:val="1"/>
                <w:bCs w:val="1"/>
                <w:color w:val="auto"/>
                <w:w w:val="90"/>
              </w:rPr>
              <w:t>December 31,</w:t>
            </w:r>
          </w:p>
        </w:tc>
        <w:tc>
          <w:tcPr>
            <w:tcW w:w="2560" w:type="dxa"/>
            <w:vAlign w:val="bottom"/>
            <w:gridSpan w:val="6"/>
          </w:tcPr>
          <w:p>
            <w:pPr>
              <w:jc w:val="center"/>
              <w:ind w:right="1480"/>
              <w:spacing w:after="0"/>
              <w:rPr>
                <w:sz w:val="20"/>
                <w:szCs w:val="20"/>
                <w:color w:val="auto"/>
              </w:rPr>
            </w:pPr>
            <w:r>
              <w:rPr>
                <w:rFonts w:ascii="Arial" w:cs="Arial" w:eastAsia="Arial" w:hAnsi="Arial"/>
                <w:sz w:val="18"/>
                <w:szCs w:val="18"/>
                <w:b w:val="1"/>
                <w:bCs w:val="1"/>
                <w:color w:val="auto"/>
                <w:w w:val="88"/>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20" w:type="dxa"/>
            <w:vAlign w:val="bottom"/>
          </w:tcPr>
          <w:p>
            <w:pPr>
              <w:spacing w:after="0"/>
              <w:rPr>
                <w:sz w:val="20"/>
                <w:szCs w:val="20"/>
                <w:color w:val="auto"/>
              </w:rPr>
            </w:pPr>
          </w:p>
        </w:tc>
        <w:tc>
          <w:tcPr>
            <w:tcW w:w="1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0" w:type="dxa"/>
            <w:vAlign w:val="bottom"/>
            <w:gridSpan w:val="4"/>
          </w:tcPr>
          <w:p>
            <w:pPr>
              <w:jc w:val="center"/>
              <w:ind w:left="1310"/>
              <w:spacing w:after="0"/>
              <w:rPr>
                <w:sz w:val="20"/>
                <w:szCs w:val="20"/>
                <w:color w:val="auto"/>
              </w:rPr>
            </w:pPr>
            <w:r>
              <w:rPr>
                <w:rFonts w:ascii="Arial" w:cs="Arial" w:eastAsia="Arial" w:hAnsi="Arial"/>
                <w:sz w:val="18"/>
                <w:szCs w:val="18"/>
                <w:b w:val="1"/>
                <w:bCs w:val="1"/>
                <w:color w:val="auto"/>
                <w:w w:val="89"/>
              </w:rPr>
              <w:t>2020</w:t>
            </w:r>
          </w:p>
        </w:tc>
        <w:tc>
          <w:tcPr>
            <w:tcW w:w="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0" w:type="dxa"/>
            <w:vAlign w:val="bottom"/>
            <w:gridSpan w:val="2"/>
          </w:tcPr>
          <w:p>
            <w:pPr>
              <w:jc w:val="center"/>
              <w:ind w:left="250"/>
              <w:spacing w:after="0"/>
              <w:rPr>
                <w:sz w:val="20"/>
                <w:szCs w:val="20"/>
                <w:color w:val="auto"/>
              </w:rPr>
            </w:pPr>
            <w:r>
              <w:rPr>
                <w:rFonts w:ascii="Arial" w:cs="Arial" w:eastAsia="Arial" w:hAnsi="Arial"/>
                <w:sz w:val="18"/>
                <w:szCs w:val="18"/>
                <w:b w:val="1"/>
                <w:bCs w:val="1"/>
                <w:color w:val="auto"/>
                <w:w w:val="89"/>
              </w:rPr>
              <w:t>2019</w:t>
            </w: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 millions of USD dollars)</w:t>
            </w:r>
          </w:p>
        </w:tc>
        <w:tc>
          <w:tcPr>
            <w:tcW w:w="166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8"/>
                <w:szCs w:val="18"/>
                <w:color w:val="auto"/>
              </w:rPr>
              <w:t>Demand liabilities and "overnight"</w:t>
            </w:r>
          </w:p>
        </w:tc>
        <w:tc>
          <w:tcPr>
            <w:tcW w:w="1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gridSpan w:val="2"/>
          </w:tcPr>
          <w:p>
            <w:pPr>
              <w:jc w:val="right"/>
              <w:spacing w:after="0"/>
              <w:rPr>
                <w:sz w:val="20"/>
                <w:szCs w:val="20"/>
                <w:color w:val="auto"/>
              </w:rPr>
            </w:pPr>
            <w:r>
              <w:rPr>
                <w:rFonts w:ascii="Arial" w:cs="Arial" w:eastAsia="Arial" w:hAnsi="Arial"/>
                <w:sz w:val="18"/>
                <w:szCs w:val="18"/>
                <w:color w:val="auto"/>
              </w:rPr>
              <w:t>171</w:t>
            </w:r>
          </w:p>
        </w:tc>
        <w:tc>
          <w:tcPr>
            <w:tcW w:w="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40" w:type="dxa"/>
            <w:vAlign w:val="bottom"/>
          </w:tcPr>
          <w:p>
            <w:pPr>
              <w:jc w:val="right"/>
              <w:spacing w:after="0"/>
              <w:rPr>
                <w:sz w:val="20"/>
                <w:szCs w:val="20"/>
                <w:color w:val="auto"/>
              </w:rPr>
            </w:pPr>
            <w:r>
              <w:rPr>
                <w:rFonts w:ascii="Arial" w:cs="Arial" w:eastAsia="Arial" w:hAnsi="Arial"/>
                <w:sz w:val="18"/>
                <w:szCs w:val="18"/>
                <w:color w:val="auto"/>
              </w:rPr>
              <w:t>86</w:t>
            </w: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7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 Demand liabilities and "overnight" to total deposits</w:t>
            </w: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ind w:right="50"/>
              <w:spacing w:after="0"/>
              <w:rPr>
                <w:sz w:val="20"/>
                <w:szCs w:val="20"/>
                <w:color w:val="auto"/>
              </w:rPr>
            </w:pPr>
            <w:r>
              <w:rPr>
                <w:rFonts w:ascii="Arial" w:cs="Arial" w:eastAsia="Arial" w:hAnsi="Arial"/>
                <w:sz w:val="18"/>
                <w:szCs w:val="18"/>
                <w:color w:val="auto"/>
              </w:rPr>
              <w:t>5.44%</w:t>
            </w:r>
          </w:p>
        </w:tc>
        <w:tc>
          <w:tcPr>
            <w:tcW w:w="1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2.97%</w:t>
            </w: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655"/>
        </w:trPr>
        <w:tc>
          <w:tcPr>
            <w:tcW w:w="3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F-56</w:t>
            </w: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92" w:name="page193"/>
    <w:bookmarkEnd w:id="19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0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5640" w:type="dxa"/>
            <w:vAlign w:val="bottom"/>
            <w:vMerge w:val="restart"/>
          </w:tcPr>
          <w:p>
            <w:pPr>
              <w:spacing w:after="0"/>
              <w:rPr>
                <w:sz w:val="20"/>
                <w:szCs w:val="20"/>
                <w:color w:val="auto"/>
              </w:rPr>
            </w:pPr>
            <w:r>
              <w:rPr>
                <w:rFonts w:ascii="Arial" w:cs="Arial" w:eastAsia="Arial" w:hAnsi="Arial"/>
                <w:sz w:val="18"/>
                <w:szCs w:val="18"/>
                <w:color w:val="auto"/>
              </w:rPr>
              <w:t>(in millions of USD dollars)</w:t>
            </w:r>
          </w:p>
        </w:tc>
        <w:tc>
          <w:tcPr>
            <w:tcW w:w="17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December 31,</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564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8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Total liquid assets</w:t>
            </w:r>
          </w:p>
        </w:tc>
        <w:tc>
          <w:tcPr>
            <w:tcW w:w="1420" w:type="dxa"/>
            <w:vAlign w:val="bottom"/>
            <w:shd w:val="clear" w:color="auto" w:fill="CCEEFF"/>
          </w:tcPr>
          <w:p>
            <w:pPr>
              <w:ind w:left="1020"/>
              <w:spacing w:after="0"/>
              <w:rPr>
                <w:sz w:val="20"/>
                <w:szCs w:val="20"/>
                <w:color w:val="auto"/>
              </w:rPr>
            </w:pPr>
            <w:r>
              <w:rPr>
                <w:rFonts w:ascii="Arial" w:cs="Arial" w:eastAsia="Arial" w:hAnsi="Arial"/>
                <w:sz w:val="18"/>
                <w:szCs w:val="18"/>
                <w:color w:val="auto"/>
                <w:w w:val="84"/>
              </w:rPr>
              <w:t>1,048</w:t>
            </w:r>
          </w:p>
        </w:tc>
        <w:tc>
          <w:tcPr>
            <w:tcW w:w="280" w:type="dxa"/>
            <w:vAlign w:val="bottom"/>
            <w:shd w:val="clear" w:color="auto" w:fill="CCEEFF"/>
          </w:tcPr>
          <w:p>
            <w:pPr>
              <w:spacing w:after="0"/>
              <w:rPr>
                <w:sz w:val="18"/>
                <w:szCs w:val="18"/>
                <w:color w:val="auto"/>
              </w:rPr>
            </w:pPr>
          </w:p>
        </w:tc>
        <w:tc>
          <w:tcPr>
            <w:tcW w:w="1460" w:type="dxa"/>
            <w:vAlign w:val="bottom"/>
            <w:shd w:val="clear" w:color="auto" w:fill="CCEEFF"/>
          </w:tcPr>
          <w:p>
            <w:pPr>
              <w:ind w:left="1040"/>
              <w:spacing w:after="0"/>
              <w:rPr>
                <w:sz w:val="20"/>
                <w:szCs w:val="20"/>
                <w:color w:val="auto"/>
              </w:rPr>
            </w:pPr>
            <w:r>
              <w:rPr>
                <w:rFonts w:ascii="Arial" w:cs="Arial" w:eastAsia="Arial" w:hAnsi="Arial"/>
                <w:sz w:val="18"/>
                <w:szCs w:val="18"/>
                <w:color w:val="auto"/>
                <w:w w:val="88"/>
              </w:rPr>
              <w:t>1,160</w:t>
            </w: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640" w:type="dxa"/>
            <w:vAlign w:val="bottom"/>
          </w:tcPr>
          <w:p>
            <w:pPr>
              <w:spacing w:after="0"/>
              <w:rPr>
                <w:sz w:val="20"/>
                <w:szCs w:val="20"/>
                <w:color w:val="auto"/>
              </w:rPr>
            </w:pPr>
            <w:r>
              <w:rPr>
                <w:rFonts w:ascii="Arial" w:cs="Arial" w:eastAsia="Arial" w:hAnsi="Arial"/>
                <w:sz w:val="18"/>
                <w:szCs w:val="18"/>
                <w:color w:val="auto"/>
              </w:rPr>
              <w:t>% Total assets to total liabilities</w:t>
            </w:r>
          </w:p>
        </w:tc>
        <w:tc>
          <w:tcPr>
            <w:tcW w:w="1700" w:type="dxa"/>
            <w:vAlign w:val="bottom"/>
            <w:gridSpan w:val="2"/>
          </w:tcPr>
          <w:p>
            <w:pPr>
              <w:ind w:left="1020"/>
              <w:spacing w:after="0"/>
              <w:rPr>
                <w:sz w:val="20"/>
                <w:szCs w:val="20"/>
                <w:color w:val="auto"/>
              </w:rPr>
            </w:pPr>
            <w:r>
              <w:rPr>
                <w:rFonts w:ascii="Arial" w:cs="Arial" w:eastAsia="Arial" w:hAnsi="Arial"/>
                <w:sz w:val="18"/>
                <w:szCs w:val="18"/>
                <w:color w:val="auto"/>
              </w:rPr>
              <w:t>33.40%</w:t>
            </w:r>
          </w:p>
        </w:tc>
        <w:tc>
          <w:tcPr>
            <w:tcW w:w="1640" w:type="dxa"/>
            <w:vAlign w:val="bottom"/>
            <w:gridSpan w:val="2"/>
          </w:tcPr>
          <w:p>
            <w:pPr>
              <w:ind w:left="1040"/>
              <w:spacing w:after="0"/>
              <w:rPr>
                <w:sz w:val="20"/>
                <w:szCs w:val="20"/>
                <w:color w:val="auto"/>
              </w:rPr>
            </w:pPr>
            <w:r>
              <w:rPr>
                <w:rFonts w:ascii="Arial" w:cs="Arial" w:eastAsia="Arial" w:hAnsi="Arial"/>
                <w:sz w:val="18"/>
                <w:szCs w:val="18"/>
                <w:color w:val="auto"/>
                <w:w w:val="94"/>
              </w:rPr>
              <w:t>40.15%</w:t>
            </w:r>
          </w:p>
        </w:tc>
        <w:tc>
          <w:tcPr>
            <w:tcW w:w="0" w:type="dxa"/>
            <w:vAlign w:val="bottom"/>
          </w:tcPr>
          <w:p>
            <w:pPr>
              <w:spacing w:after="0"/>
              <w:rPr>
                <w:sz w:val="1"/>
                <w:szCs w:val="1"/>
                <w:color w:val="auto"/>
              </w:rPr>
            </w:pPr>
          </w:p>
        </w:tc>
      </w:tr>
      <w:tr>
        <w:trPr>
          <w:trHeight w:val="216"/>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 Total liquid assets in the U.S. Federal Reserve</w:t>
            </w:r>
          </w:p>
        </w:tc>
        <w:tc>
          <w:tcPr>
            <w:tcW w:w="170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rPr>
              <w:t>65.68%</w:t>
            </w:r>
          </w:p>
        </w:tc>
        <w:tc>
          <w:tcPr>
            <w:tcW w:w="1640" w:type="dxa"/>
            <w:vAlign w:val="bottom"/>
            <w:gridSpan w:val="2"/>
            <w:shd w:val="clear" w:color="auto" w:fill="CCEEFF"/>
          </w:tcPr>
          <w:p>
            <w:pPr>
              <w:ind w:left="1040"/>
              <w:spacing w:after="0"/>
              <w:rPr>
                <w:sz w:val="20"/>
                <w:szCs w:val="20"/>
                <w:color w:val="auto"/>
              </w:rPr>
            </w:pPr>
            <w:r>
              <w:rPr>
                <w:rFonts w:ascii="Arial" w:cs="Arial" w:eastAsia="Arial" w:hAnsi="Arial"/>
                <w:sz w:val="18"/>
                <w:szCs w:val="18"/>
                <w:color w:val="auto"/>
                <w:w w:val="94"/>
              </w:rPr>
              <w:t>97.37%</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66"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5740" w:type="dxa"/>
            <w:vAlign w:val="bottom"/>
            <w:vMerge w:val="restart"/>
          </w:tcPr>
          <w:p>
            <w:pPr>
              <w:spacing w:after="0"/>
              <w:rPr>
                <w:sz w:val="20"/>
                <w:szCs w:val="20"/>
                <w:color w:val="auto"/>
              </w:rPr>
            </w:pPr>
            <w:r>
              <w:rPr>
                <w:rFonts w:ascii="Arial" w:cs="Arial" w:eastAsia="Arial" w:hAnsi="Arial"/>
                <w:sz w:val="18"/>
                <w:szCs w:val="18"/>
                <w:color w:val="auto"/>
              </w:rPr>
              <w:t>(in millions of USD dollars)</w:t>
            </w:r>
          </w:p>
        </w:tc>
        <w:tc>
          <w:tcPr>
            <w:tcW w:w="164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5740" w:type="dxa"/>
            <w:vAlign w:val="bottom"/>
            <w:tcBorders>
              <w:bottom w:val="single" w:sz="8" w:color="CCEEFF"/>
            </w:tcBorders>
            <w:vMerge w:val="continue"/>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574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w w:val="94"/>
              </w:rPr>
              <w:t>Loan portfolio at amortized cost and investment portfolio less than/equal to 1</w:t>
            </w:r>
          </w:p>
        </w:tc>
        <w:tc>
          <w:tcPr>
            <w:tcW w:w="14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year according to its original terms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3,114</w:t>
            </w:r>
          </w:p>
        </w:tc>
        <w:tc>
          <w:tcPr>
            <w:tcW w:w="200" w:type="dxa"/>
            <w:vAlign w:val="bottom"/>
            <w:shd w:val="clear" w:color="auto" w:fill="CCEEFF"/>
          </w:tcPr>
          <w:p>
            <w:pPr>
              <w:spacing w:after="0"/>
              <w:rPr>
                <w:sz w:val="20"/>
                <w:szCs w:val="20"/>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3,485</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740" w:type="dxa"/>
            <w:vAlign w:val="bottom"/>
          </w:tcPr>
          <w:p>
            <w:pPr>
              <w:spacing w:after="0"/>
              <w:rPr>
                <w:sz w:val="20"/>
                <w:szCs w:val="20"/>
                <w:color w:val="auto"/>
              </w:rPr>
            </w:pPr>
            <w:r>
              <w:rPr>
                <w:rFonts w:ascii="Arial" w:cs="Arial" w:eastAsia="Arial" w:hAnsi="Arial"/>
                <w:sz w:val="18"/>
                <w:szCs w:val="18"/>
                <w:color w:val="auto"/>
              </w:rPr>
              <w:t>Average term (days)</w:t>
            </w:r>
          </w:p>
        </w:tc>
        <w:tc>
          <w:tcPr>
            <w:tcW w:w="1440" w:type="dxa"/>
            <w:vAlign w:val="bottom"/>
          </w:tcPr>
          <w:p>
            <w:pPr>
              <w:jc w:val="right"/>
              <w:spacing w:after="0"/>
              <w:rPr>
                <w:sz w:val="20"/>
                <w:szCs w:val="20"/>
                <w:color w:val="auto"/>
              </w:rPr>
            </w:pPr>
            <w:r>
              <w:rPr>
                <w:rFonts w:ascii="Arial" w:cs="Arial" w:eastAsia="Arial" w:hAnsi="Arial"/>
                <w:sz w:val="18"/>
                <w:szCs w:val="18"/>
                <w:color w:val="auto"/>
              </w:rPr>
              <w:t>195</w:t>
            </w:r>
          </w:p>
        </w:tc>
        <w:tc>
          <w:tcPr>
            <w:tcW w:w="200" w:type="dxa"/>
            <w:vAlign w:val="bottom"/>
          </w:tcPr>
          <w:p>
            <w:pPr>
              <w:spacing w:after="0"/>
              <w:rPr>
                <w:sz w:val="20"/>
                <w:szCs w:val="20"/>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189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880" w:type="dxa"/>
            <w:vAlign w:val="bottom"/>
            <w:gridSpan w:val="2"/>
            <w:vMerge w:val="restart"/>
          </w:tcPr>
          <w:p>
            <w:pPr>
              <w:ind w:left="1140"/>
              <w:spacing w:after="0"/>
              <w:rPr>
                <w:sz w:val="20"/>
                <w:szCs w:val="20"/>
                <w:color w:val="auto"/>
              </w:rPr>
            </w:pPr>
            <w:r>
              <w:rPr>
                <w:rFonts w:ascii="Arial" w:cs="Arial" w:eastAsia="Arial" w:hAnsi="Arial"/>
                <w:sz w:val="18"/>
                <w:szCs w:val="18"/>
                <w:color w:val="auto"/>
              </w:rPr>
              <w:t>(in millions of USD dollars)</w:t>
            </w:r>
          </w:p>
        </w:tc>
        <w:tc>
          <w:tcPr>
            <w:tcW w:w="164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6880" w:type="dxa"/>
            <w:vAlign w:val="bottom"/>
            <w:gridSpan w:val="2"/>
            <w:vMerge w:val="continue"/>
          </w:tcPr>
          <w:p>
            <w:pPr>
              <w:spacing w:after="0"/>
              <w:rPr>
                <w:sz w:val="20"/>
                <w:szCs w:val="20"/>
                <w:color w:val="auto"/>
              </w:rPr>
            </w:pPr>
          </w:p>
        </w:tc>
        <w:tc>
          <w:tcPr>
            <w:tcW w:w="1440" w:type="dxa"/>
            <w:vAlign w:val="bottom"/>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0" w:type="dxa"/>
            <w:vAlign w:val="bottom"/>
          </w:tcPr>
          <w:p>
            <w:pPr>
              <w:spacing w:after="0"/>
              <w:rPr>
                <w:sz w:val="20"/>
                <w:szCs w:val="20"/>
                <w:color w:val="auto"/>
              </w:rPr>
            </w:pPr>
          </w:p>
        </w:tc>
        <w:tc>
          <w:tcPr>
            <w:tcW w:w="1500" w:type="dxa"/>
            <w:vAlign w:val="bottom"/>
          </w:tcPr>
          <w:p>
            <w:pPr>
              <w:jc w:val="right"/>
              <w:ind w:right="49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140" w:type="dxa"/>
            <w:vAlign w:val="bottom"/>
          </w:tcPr>
          <w:p>
            <w:pPr>
              <w:spacing w:after="0"/>
              <w:rPr>
                <w:sz w:val="15"/>
                <w:szCs w:val="15"/>
                <w:color w:val="auto"/>
              </w:rPr>
            </w:pPr>
          </w:p>
        </w:tc>
        <w:tc>
          <w:tcPr>
            <w:tcW w:w="57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5"/>
              </w:rPr>
              <w:t>Loan portfolio at amortized cost and investment portfolio greater than/equal</w:t>
            </w:r>
          </w:p>
        </w:tc>
        <w:tc>
          <w:tcPr>
            <w:tcW w:w="14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5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20"/>
                <w:szCs w:val="20"/>
                <w:color w:val="auto"/>
              </w:rPr>
            </w:pPr>
          </w:p>
        </w:tc>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to 1 year according to its original terms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2,193</w:t>
            </w:r>
          </w:p>
        </w:tc>
        <w:tc>
          <w:tcPr>
            <w:tcW w:w="200" w:type="dxa"/>
            <w:vAlign w:val="bottom"/>
            <w:shd w:val="clear" w:color="auto" w:fill="CCEEFF"/>
          </w:tcPr>
          <w:p>
            <w:pPr>
              <w:spacing w:after="0"/>
              <w:rPr>
                <w:sz w:val="20"/>
                <w:szCs w:val="20"/>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2,497</w:t>
            </w:r>
          </w:p>
        </w:tc>
        <w:tc>
          <w:tcPr>
            <w:tcW w:w="100" w:type="dxa"/>
            <w:vAlign w:val="bottom"/>
            <w:shd w:val="clear" w:color="auto" w:fill="CCEEFF"/>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20"/>
                <w:szCs w:val="20"/>
                <w:color w:val="auto"/>
              </w:rPr>
            </w:pPr>
          </w:p>
        </w:tc>
        <w:tc>
          <w:tcPr>
            <w:tcW w:w="5740" w:type="dxa"/>
            <w:vAlign w:val="bottom"/>
          </w:tcPr>
          <w:p>
            <w:pPr>
              <w:spacing w:after="0"/>
              <w:rPr>
                <w:sz w:val="20"/>
                <w:szCs w:val="20"/>
                <w:color w:val="auto"/>
              </w:rPr>
            </w:pPr>
            <w:r>
              <w:rPr>
                <w:rFonts w:ascii="Arial" w:cs="Arial" w:eastAsia="Arial" w:hAnsi="Arial"/>
                <w:sz w:val="18"/>
                <w:szCs w:val="18"/>
                <w:color w:val="auto"/>
              </w:rPr>
              <w:t>Average term (days)</w:t>
            </w:r>
          </w:p>
        </w:tc>
        <w:tc>
          <w:tcPr>
            <w:tcW w:w="1440" w:type="dxa"/>
            <w:vAlign w:val="bottom"/>
          </w:tcPr>
          <w:p>
            <w:pPr>
              <w:jc w:val="right"/>
              <w:spacing w:after="0"/>
              <w:rPr>
                <w:sz w:val="20"/>
                <w:szCs w:val="20"/>
                <w:color w:val="auto"/>
              </w:rPr>
            </w:pPr>
            <w:r>
              <w:rPr>
                <w:rFonts w:ascii="Arial" w:cs="Arial" w:eastAsia="Arial" w:hAnsi="Arial"/>
                <w:sz w:val="18"/>
                <w:szCs w:val="18"/>
                <w:color w:val="auto"/>
              </w:rPr>
              <w:t>1,382</w:t>
            </w:r>
          </w:p>
        </w:tc>
        <w:tc>
          <w:tcPr>
            <w:tcW w:w="200" w:type="dxa"/>
            <w:vAlign w:val="bottom"/>
          </w:tcPr>
          <w:p>
            <w:pPr>
              <w:spacing w:after="0"/>
              <w:rPr>
                <w:sz w:val="20"/>
                <w:szCs w:val="20"/>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1,185</w:t>
            </w:r>
          </w:p>
        </w:tc>
        <w:tc>
          <w:tcPr>
            <w:tcW w:w="1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5"/>
        </w:trPr>
        <w:tc>
          <w:tcPr>
            <w:tcW w:w="1140" w:type="dxa"/>
            <w:vAlign w:val="bottom"/>
            <w:tcBorders>
              <w:bottom w:val="single" w:sz="8" w:color="auto"/>
            </w:tcBorders>
          </w:tcPr>
          <w:p>
            <w:pPr>
              <w:spacing w:after="0"/>
              <w:rPr>
                <w:sz w:val="24"/>
                <w:szCs w:val="24"/>
                <w:color w:val="auto"/>
              </w:rPr>
            </w:pPr>
          </w:p>
        </w:tc>
        <w:tc>
          <w:tcPr>
            <w:tcW w:w="5740" w:type="dxa"/>
            <w:vAlign w:val="bottom"/>
            <w:tcBorders>
              <w:bottom w:val="single" w:sz="8" w:color="auto"/>
            </w:tcBorders>
          </w:tcPr>
          <w:p>
            <w:pPr>
              <w:ind w:left="4320"/>
              <w:spacing w:after="0"/>
              <w:rPr>
                <w:sz w:val="20"/>
                <w:szCs w:val="20"/>
                <w:color w:val="auto"/>
              </w:rPr>
            </w:pPr>
            <w:r>
              <w:rPr>
                <w:rFonts w:ascii="Arial" w:cs="Arial" w:eastAsia="Arial" w:hAnsi="Arial"/>
                <w:sz w:val="18"/>
                <w:szCs w:val="18"/>
                <w:color w:val="auto"/>
              </w:rPr>
              <w:t>F-57</w:t>
            </w: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93" w:name="page194"/>
    <w:bookmarkEnd w:id="19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0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203"/>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 (continued)</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ii.  Maturity analysis for financial liabilities and financial assets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future undiscounted cash flows of assets and liabilities grouped by their remaining maturity with respect to the contractual maturity:</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1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700" w:type="dxa"/>
            <w:vAlign w:val="bottom"/>
            <w:tcBorders>
              <w:bottom w:val="single" w:sz="8" w:color="auto"/>
            </w:tcBorders>
            <w:gridSpan w:val="5"/>
          </w:tcPr>
          <w:p>
            <w:pPr>
              <w:jc w:val="right"/>
              <w:ind w:right="1161"/>
              <w:spacing w:after="0"/>
              <w:rPr>
                <w:sz w:val="20"/>
                <w:szCs w:val="20"/>
                <w:color w:val="auto"/>
              </w:rPr>
            </w:pPr>
            <w:r>
              <w:rPr>
                <w:rFonts w:ascii="Arial" w:cs="Arial" w:eastAsia="Arial" w:hAnsi="Arial"/>
                <w:sz w:val="18"/>
                <w:szCs w:val="18"/>
                <w:b w:val="1"/>
                <w:bCs w:val="1"/>
                <w:color w:val="auto"/>
                <w:w w:val="88"/>
              </w:rPr>
              <w:t>December 31, 2020</w:t>
            </w:r>
          </w:p>
        </w:tc>
        <w:tc>
          <w:tcPr>
            <w:tcW w:w="1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3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gridSpan w:val="2"/>
          </w:tcPr>
          <w:p>
            <w:pPr>
              <w:jc w:val="right"/>
              <w:ind w:right="361"/>
              <w:spacing w:after="0" w:line="205" w:lineRule="exact"/>
              <w:rPr>
                <w:sz w:val="20"/>
                <w:szCs w:val="20"/>
                <w:color w:val="auto"/>
              </w:rPr>
            </w:pPr>
            <w:r>
              <w:rPr>
                <w:rFonts w:ascii="Arial" w:cs="Arial" w:eastAsia="Arial" w:hAnsi="Arial"/>
                <w:sz w:val="18"/>
                <w:szCs w:val="18"/>
                <w:b w:val="1"/>
                <w:bCs w:val="1"/>
                <w:color w:val="auto"/>
              </w:rPr>
              <w:t>Up to 3</w:t>
            </w: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gridSpan w:val="2"/>
          </w:tcPr>
          <w:p>
            <w:pPr>
              <w:jc w:val="right"/>
              <w:ind w:right="41"/>
              <w:spacing w:after="0" w:line="205" w:lineRule="exact"/>
              <w:rPr>
                <w:sz w:val="20"/>
                <w:szCs w:val="20"/>
                <w:color w:val="auto"/>
              </w:rPr>
            </w:pPr>
            <w:r>
              <w:rPr>
                <w:rFonts w:ascii="Arial" w:cs="Arial" w:eastAsia="Arial" w:hAnsi="Arial"/>
                <w:sz w:val="18"/>
                <w:szCs w:val="18"/>
                <w:b w:val="1"/>
                <w:bCs w:val="1"/>
                <w:color w:val="auto"/>
                <w:w w:val="90"/>
              </w:rPr>
              <w:t>6 months to 1</w:t>
            </w: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gridSpan w:val="2"/>
          </w:tcPr>
          <w:p>
            <w:pPr>
              <w:jc w:val="right"/>
              <w:ind w:right="221"/>
              <w:spacing w:after="0" w:line="205" w:lineRule="exact"/>
              <w:rPr>
                <w:sz w:val="20"/>
                <w:szCs w:val="20"/>
                <w:color w:val="auto"/>
              </w:rPr>
            </w:pPr>
            <w:r>
              <w:rPr>
                <w:rFonts w:ascii="Arial" w:cs="Arial" w:eastAsia="Arial" w:hAnsi="Arial"/>
                <w:sz w:val="18"/>
                <w:szCs w:val="18"/>
                <w:b w:val="1"/>
                <w:bCs w:val="1"/>
                <w:color w:val="auto"/>
              </w:rPr>
              <w:t>More than 5</w:t>
            </w:r>
          </w:p>
        </w:tc>
        <w:tc>
          <w:tcPr>
            <w:tcW w:w="1360" w:type="dxa"/>
            <w:vAlign w:val="bottom"/>
            <w:gridSpan w:val="2"/>
          </w:tcPr>
          <w:p>
            <w:pPr>
              <w:jc w:val="right"/>
              <w:ind w:right="201"/>
              <w:spacing w:after="0" w:line="205" w:lineRule="exact"/>
              <w:rPr>
                <w:sz w:val="20"/>
                <w:szCs w:val="20"/>
                <w:color w:val="auto"/>
              </w:rPr>
            </w:pPr>
            <w:r>
              <w:rPr>
                <w:rFonts w:ascii="Arial" w:cs="Arial" w:eastAsia="Arial" w:hAnsi="Arial"/>
                <w:sz w:val="18"/>
                <w:szCs w:val="18"/>
                <w:b w:val="1"/>
                <w:bCs w:val="1"/>
                <w:color w:val="auto"/>
                <w:w w:val="89"/>
              </w:rPr>
              <w:t>Gross inflows</w:t>
            </w:r>
          </w:p>
        </w:tc>
        <w:tc>
          <w:tcPr>
            <w:tcW w:w="1160" w:type="dxa"/>
            <w:vAlign w:val="bottom"/>
          </w:tcPr>
          <w:p>
            <w:pPr>
              <w:jc w:val="right"/>
              <w:ind w:right="130"/>
              <w:spacing w:after="0" w:line="205" w:lineRule="exact"/>
              <w:rPr>
                <w:sz w:val="20"/>
                <w:szCs w:val="20"/>
                <w:color w:val="auto"/>
              </w:rPr>
            </w:pPr>
            <w:r>
              <w:rPr>
                <w:rFonts w:ascii="Arial" w:cs="Arial" w:eastAsia="Arial" w:hAnsi="Arial"/>
                <w:sz w:val="18"/>
                <w:szCs w:val="18"/>
                <w:b w:val="1"/>
                <w:bCs w:val="1"/>
                <w:color w:val="auto"/>
              </w:rPr>
              <w:t>Carrying</w:t>
            </w: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1780" w:type="dxa"/>
            <w:vAlign w:val="bottom"/>
            <w:gridSpan w:val="2"/>
          </w:tcPr>
          <w:p>
            <w:pPr>
              <w:ind w:left="400"/>
              <w:spacing w:after="0"/>
              <w:rPr>
                <w:sz w:val="20"/>
                <w:szCs w:val="20"/>
                <w:color w:val="auto"/>
              </w:rPr>
            </w:pPr>
            <w:r>
              <w:rPr>
                <w:rFonts w:ascii="Arial" w:cs="Arial" w:eastAsia="Arial" w:hAnsi="Arial"/>
                <w:sz w:val="18"/>
                <w:szCs w:val="18"/>
                <w:b w:val="1"/>
                <w:bCs w:val="1"/>
                <w:color w:val="auto"/>
              </w:rPr>
              <w:t>Description</w:t>
            </w:r>
          </w:p>
        </w:tc>
        <w:tc>
          <w:tcPr>
            <w:tcW w:w="122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months</w:t>
            </w:r>
          </w:p>
        </w:tc>
        <w:tc>
          <w:tcPr>
            <w:tcW w:w="1340" w:type="dxa"/>
            <w:vAlign w:val="bottom"/>
            <w:gridSpan w:val="2"/>
          </w:tcPr>
          <w:p>
            <w:pPr>
              <w:jc w:val="right"/>
              <w:ind w:right="181"/>
              <w:spacing w:after="0"/>
              <w:rPr>
                <w:sz w:val="20"/>
                <w:szCs w:val="20"/>
                <w:color w:val="auto"/>
              </w:rPr>
            </w:pPr>
            <w:r>
              <w:rPr>
                <w:rFonts w:ascii="Arial" w:cs="Arial" w:eastAsia="Arial" w:hAnsi="Arial"/>
                <w:sz w:val="18"/>
                <w:szCs w:val="18"/>
                <w:b w:val="1"/>
                <w:bCs w:val="1"/>
                <w:color w:val="auto"/>
                <w:w w:val="90"/>
              </w:rPr>
              <w:t>3 to 6 months</w:t>
            </w:r>
          </w:p>
        </w:tc>
        <w:tc>
          <w:tcPr>
            <w:tcW w:w="1200" w:type="dxa"/>
            <w:vAlign w:val="bottom"/>
            <w:gridSpan w:val="2"/>
          </w:tcPr>
          <w:p>
            <w:pPr>
              <w:jc w:val="right"/>
              <w:ind w:right="401"/>
              <w:spacing w:after="0"/>
              <w:rPr>
                <w:sz w:val="20"/>
                <w:szCs w:val="20"/>
                <w:color w:val="auto"/>
              </w:rPr>
            </w:pPr>
            <w:r>
              <w:rPr>
                <w:rFonts w:ascii="Arial" w:cs="Arial" w:eastAsia="Arial" w:hAnsi="Arial"/>
                <w:sz w:val="18"/>
                <w:szCs w:val="18"/>
                <w:b w:val="1"/>
                <w:bCs w:val="1"/>
                <w:color w:val="auto"/>
              </w:rPr>
              <w:t>year</w:t>
            </w:r>
          </w:p>
        </w:tc>
        <w:tc>
          <w:tcPr>
            <w:tcW w:w="140" w:type="dxa"/>
            <w:vAlign w:val="bottom"/>
          </w:tcPr>
          <w:p>
            <w:pPr>
              <w:spacing w:after="0"/>
              <w:rPr>
                <w:sz w:val="20"/>
                <w:szCs w:val="20"/>
                <w:color w:val="auto"/>
              </w:rPr>
            </w:pPr>
          </w:p>
        </w:tc>
        <w:tc>
          <w:tcPr>
            <w:tcW w:w="1220" w:type="dxa"/>
            <w:vAlign w:val="bottom"/>
            <w:gridSpan w:val="2"/>
          </w:tcPr>
          <w:p>
            <w:pPr>
              <w:jc w:val="right"/>
              <w:ind w:right="201"/>
              <w:spacing w:after="0"/>
              <w:rPr>
                <w:sz w:val="20"/>
                <w:szCs w:val="20"/>
                <w:color w:val="auto"/>
              </w:rPr>
            </w:pPr>
            <w:r>
              <w:rPr>
                <w:rFonts w:ascii="Arial" w:cs="Arial" w:eastAsia="Arial" w:hAnsi="Arial"/>
                <w:sz w:val="18"/>
                <w:szCs w:val="18"/>
                <w:b w:val="1"/>
                <w:bCs w:val="1"/>
                <w:color w:val="auto"/>
                <w:w w:val="92"/>
              </w:rPr>
              <w:t>1 to 5 years</w:t>
            </w:r>
          </w:p>
        </w:tc>
        <w:tc>
          <w:tcPr>
            <w:tcW w:w="1340" w:type="dxa"/>
            <w:vAlign w:val="bottom"/>
            <w:gridSpan w:val="2"/>
          </w:tcPr>
          <w:p>
            <w:pPr>
              <w:jc w:val="right"/>
              <w:ind w:right="481"/>
              <w:spacing w:after="0"/>
              <w:rPr>
                <w:sz w:val="20"/>
                <w:szCs w:val="20"/>
                <w:color w:val="auto"/>
              </w:rPr>
            </w:pPr>
            <w:r>
              <w:rPr>
                <w:rFonts w:ascii="Arial" w:cs="Arial" w:eastAsia="Arial" w:hAnsi="Arial"/>
                <w:sz w:val="18"/>
                <w:szCs w:val="18"/>
                <w:b w:val="1"/>
                <w:bCs w:val="1"/>
                <w:color w:val="auto"/>
              </w:rPr>
              <w:t>Years</w:t>
            </w:r>
          </w:p>
        </w:tc>
        <w:tc>
          <w:tcPr>
            <w:tcW w:w="136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rPr>
              <w:t>(outflows)</w:t>
            </w:r>
          </w:p>
        </w:tc>
        <w:tc>
          <w:tcPr>
            <w:tcW w:w="128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rPr>
              <w:t>amount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6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Cash and due from</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rPr>
              <w:t>banks</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863,831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863,831</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863,812</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and other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assets, net</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11,541</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20,961</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60,311</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312,027</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404,840</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398,068</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1,712,049</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998,923</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1,255,069</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293,489</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1,156,625</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5,416,155</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4,896,647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 - assets</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119</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129</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26,691</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839</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27,778</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27,778</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78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0"/>
        </w:trPr>
        <w:tc>
          <w:tcPr>
            <w:tcW w:w="340" w:type="dxa"/>
            <w:vAlign w:val="bottom"/>
          </w:tcPr>
          <w:p>
            <w:pPr>
              <w:spacing w:after="0"/>
              <w:rPr>
                <w:sz w:val="24"/>
                <w:szCs w:val="24"/>
                <w:color w:val="auto"/>
              </w:rPr>
            </w:pPr>
          </w:p>
        </w:tc>
        <w:tc>
          <w:tcPr>
            <w:tcW w:w="1780" w:type="dxa"/>
            <w:vAlign w:val="bottom"/>
            <w:gridSpan w:val="2"/>
            <w:vMerge w:val="continue"/>
          </w:tcPr>
          <w:p>
            <w:pPr>
              <w:spacing w:after="0"/>
              <w:rPr>
                <w:sz w:val="24"/>
                <w:szCs w:val="24"/>
                <w:color w:val="auto"/>
              </w:rPr>
            </w:pPr>
          </w:p>
        </w:tc>
        <w:tc>
          <w:tcPr>
            <w:tcW w:w="122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2,587,421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1,020,003</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b w:val="1"/>
                <w:bCs w:val="1"/>
                <w:color w:val="auto"/>
              </w:rPr>
              <w:t>1,315,509</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b w:val="1"/>
                <w:bCs w:val="1"/>
                <w:color w:val="auto"/>
              </w:rPr>
              <w:t>632,207</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1,157,464</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6,712,604</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b w:val="1"/>
                <w:bCs w:val="1"/>
                <w:color w:val="auto"/>
              </w:rPr>
              <w:t>6,186,305</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16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780" w:type="dxa"/>
            <w:vAlign w:val="bottom"/>
            <w:gridSpan w:val="2"/>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(2,678,292)</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(166,832)</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(293,306)</w:t>
            </w:r>
          </w:p>
        </w:tc>
        <w:tc>
          <w:tcPr>
            <w:tcW w:w="136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(6,638)</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(3,145,068)</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Securities sold under</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w w:val="92"/>
              </w:rPr>
              <w:t>repurchase agreements</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81"/>
              <w:spacing w:after="0"/>
              <w:rPr>
                <w:sz w:val="20"/>
                <w:szCs w:val="20"/>
                <w:color w:val="auto"/>
              </w:rPr>
            </w:pPr>
            <w:r>
              <w:rPr>
                <w:rFonts w:ascii="Arial" w:cs="Arial" w:eastAsia="Arial" w:hAnsi="Arial"/>
                <w:sz w:val="18"/>
                <w:szCs w:val="18"/>
                <w:color w:val="auto"/>
              </w:rPr>
              <w:t>(5,784)</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(4,977)</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81"/>
              <w:spacing w:after="0"/>
              <w:rPr>
                <w:sz w:val="20"/>
                <w:szCs w:val="20"/>
                <w:color w:val="auto"/>
              </w:rPr>
            </w:pPr>
            <w:r>
              <w:rPr>
                <w:rFonts w:ascii="Arial" w:cs="Arial" w:eastAsia="Arial" w:hAnsi="Arial"/>
                <w:sz w:val="18"/>
                <w:szCs w:val="18"/>
                <w:color w:val="auto"/>
              </w:rPr>
              <w:t>(10,761)</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(10,663)</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Borrowings and debt,</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w:t>
            </w:r>
          </w:p>
        </w:tc>
        <w:tc>
          <w:tcPr>
            <w:tcW w:w="12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(166,034)</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(60,816)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(456,932)</w:t>
            </w:r>
          </w:p>
        </w:tc>
        <w:tc>
          <w:tcPr>
            <w:tcW w:w="136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(1,425,806)</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(24,922)</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(2,134,510)</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(1,994,245)</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Derivative financial</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40" w:type="dxa"/>
            <w:vAlign w:val="bottom"/>
          </w:tcPr>
          <w:p>
            <w:pPr>
              <w:spacing w:after="0"/>
              <w:rPr>
                <w:sz w:val="21"/>
                <w:szCs w:val="21"/>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w w:val="99"/>
              </w:rPr>
              <w:t>instruments - liabilities</w:t>
            </w:r>
          </w:p>
        </w:tc>
        <w:tc>
          <w:tcPr>
            <w:tcW w:w="1220" w:type="dxa"/>
            <w:vAlign w:val="bottom"/>
            <w:gridSpan w:val="2"/>
          </w:tcPr>
          <w:p>
            <w:pPr>
              <w:jc w:val="right"/>
              <w:ind w:right="81"/>
              <w:spacing w:after="0"/>
              <w:rPr>
                <w:sz w:val="20"/>
                <w:szCs w:val="20"/>
                <w:color w:val="auto"/>
              </w:rPr>
            </w:pPr>
            <w:r>
              <w:rPr>
                <w:rFonts w:ascii="Arial" w:cs="Arial" w:eastAsia="Arial" w:hAnsi="Arial"/>
                <w:sz w:val="18"/>
                <w:szCs w:val="18"/>
                <w:color w:val="auto"/>
              </w:rPr>
              <w:t>(3,020)</w:t>
            </w:r>
          </w:p>
        </w:tc>
        <w:tc>
          <w:tcPr>
            <w:tcW w:w="1340" w:type="dxa"/>
            <w:vAlign w:val="bottom"/>
            <w:gridSpan w:val="2"/>
          </w:tcPr>
          <w:p>
            <w:pPr>
              <w:jc w:val="right"/>
              <w:ind w:right="81"/>
              <w:spacing w:after="0"/>
              <w:rPr>
                <w:sz w:val="20"/>
                <w:szCs w:val="20"/>
                <w:color w:val="auto"/>
              </w:rPr>
            </w:pPr>
            <w:r>
              <w:rPr>
                <w:rFonts w:ascii="Arial" w:cs="Arial" w:eastAsia="Arial" w:hAnsi="Arial"/>
                <w:sz w:val="18"/>
                <w:szCs w:val="18"/>
                <w:color w:val="auto"/>
              </w:rPr>
              <w:t>(1,081)</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(71)</w:t>
            </w:r>
          </w:p>
        </w:tc>
        <w:tc>
          <w:tcPr>
            <w:tcW w:w="1360" w:type="dxa"/>
            <w:vAlign w:val="bottom"/>
            <w:gridSpan w:val="3"/>
          </w:tcPr>
          <w:p>
            <w:pPr>
              <w:jc w:val="right"/>
              <w:ind w:right="81"/>
              <w:spacing w:after="0"/>
              <w:rPr>
                <w:sz w:val="20"/>
                <w:szCs w:val="20"/>
                <w:color w:val="auto"/>
              </w:rPr>
            </w:pPr>
            <w:r>
              <w:rPr>
                <w:rFonts w:ascii="Arial" w:cs="Arial" w:eastAsia="Arial" w:hAnsi="Arial"/>
                <w:sz w:val="18"/>
                <w:szCs w:val="18"/>
                <w:color w:val="auto"/>
              </w:rPr>
              <w:t>(5,039)</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81"/>
              <w:spacing w:after="0"/>
              <w:rPr>
                <w:sz w:val="20"/>
                <w:szCs w:val="20"/>
                <w:color w:val="auto"/>
              </w:rPr>
            </w:pPr>
            <w:r>
              <w:rPr>
                <w:rFonts w:ascii="Arial" w:cs="Arial" w:eastAsia="Arial" w:hAnsi="Arial"/>
                <w:sz w:val="18"/>
                <w:szCs w:val="18"/>
                <w:color w:val="auto"/>
              </w:rPr>
              <w:t>(9,211)</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(9,211)</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50"/>
        </w:trPr>
        <w:tc>
          <w:tcPr>
            <w:tcW w:w="340" w:type="dxa"/>
            <w:vAlign w:val="bottom"/>
          </w:tcPr>
          <w:p>
            <w:pPr>
              <w:spacing w:after="0"/>
              <w:rPr>
                <w:sz w:val="21"/>
                <w:szCs w:val="21"/>
                <w:color w:val="auto"/>
              </w:rPr>
            </w:pPr>
          </w:p>
        </w:tc>
        <w:tc>
          <w:tcPr>
            <w:tcW w:w="1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(2,847,346</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(234,513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(755,286</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CCEEFF"/>
              <w:bottom w:val="single" w:sz="8" w:color="CCEEFF"/>
            </w:tcBorders>
            <w:shd w:val="clear" w:color="auto" w:fill="CCEEFF"/>
          </w:tcPr>
          <w:p>
            <w:pPr>
              <w:spacing w:after="0"/>
              <w:rPr>
                <w:sz w:val="21"/>
                <w:szCs w:val="21"/>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(1,437,483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(24,922</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(5,299,550</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(5,154,994</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1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Contingencies</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Confirmed lettes of</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rPr>
              <w:t>credit</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167,301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29,466</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20,015</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216,782</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216,782</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 w:type="dxa"/>
            <w:vAlign w:val="bottom"/>
          </w:tcPr>
          <w:p>
            <w:pPr>
              <w:spacing w:after="0"/>
              <w:rPr>
                <w:sz w:val="17"/>
                <w:szCs w:val="17"/>
                <w:color w:val="auto"/>
              </w:rPr>
            </w:pPr>
          </w:p>
        </w:tc>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Stand-by letters of</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20"/>
                <w:szCs w:val="20"/>
                <w:color w:val="auto"/>
              </w:rPr>
            </w:pPr>
          </w:p>
        </w:tc>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credit and guarantees</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35,041</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106,943</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55,963</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12,550</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210,497</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210,497</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780" w:type="dxa"/>
            <w:vAlign w:val="bottom"/>
            <w:gridSpan w:val="2"/>
          </w:tcPr>
          <w:p>
            <w:pPr>
              <w:spacing w:after="0"/>
              <w:rPr>
                <w:sz w:val="20"/>
                <w:szCs w:val="20"/>
                <w:color w:val="auto"/>
              </w:rPr>
            </w:pPr>
            <w:r>
              <w:rPr>
                <w:rFonts w:ascii="Arial" w:cs="Arial" w:eastAsia="Arial" w:hAnsi="Arial"/>
                <w:sz w:val="18"/>
                <w:szCs w:val="18"/>
                <w:color w:val="auto"/>
              </w:rPr>
              <w:t>Credit commitments</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4,286</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133,333</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137,619</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137,619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780" w:type="dxa"/>
            <w:vAlign w:val="bottom"/>
            <w:gridSpan w:val="2"/>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40" w:type="dxa"/>
            <w:vAlign w:val="bottom"/>
          </w:tcPr>
          <w:p>
            <w:pPr>
              <w:spacing w:after="0"/>
              <w:rPr>
                <w:sz w:val="21"/>
                <w:szCs w:val="21"/>
                <w:color w:val="auto"/>
              </w:rPr>
            </w:pPr>
          </w:p>
        </w:tc>
        <w:tc>
          <w:tcPr>
            <w:tcW w:w="1780" w:type="dxa"/>
            <w:vAlign w:val="bottom"/>
            <w:gridSpan w:val="2"/>
            <w:vMerge w:val="continue"/>
            <w:shd w:val="clear" w:color="auto" w:fill="CCEEFF"/>
          </w:tcPr>
          <w:p>
            <w:pPr>
              <w:spacing w:after="0"/>
              <w:rPr>
                <w:sz w:val="21"/>
                <w:szCs w:val="21"/>
                <w:color w:val="auto"/>
              </w:rPr>
            </w:pP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202,342</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136,409</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b w:val="1"/>
                <w:bCs w:val="1"/>
                <w:color w:val="auto"/>
              </w:rPr>
              <w:t>80,264</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145,883</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564,898</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564,898</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78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1780" w:type="dxa"/>
            <w:vAlign w:val="bottom"/>
            <w:gridSpan w:val="2"/>
            <w:vMerge w:val="continue"/>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(462,267</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649,081</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b w:val="1"/>
                <w:bCs w:val="1"/>
                <w:color w:val="auto"/>
              </w:rPr>
              <w:t>479,959</w:t>
            </w:r>
          </w:p>
        </w:tc>
        <w:tc>
          <w:tcPr>
            <w:tcW w:w="14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(951,159</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1,132,542</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848,156</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b w:val="1"/>
                <w:bCs w:val="1"/>
                <w:color w:val="auto"/>
              </w:rPr>
              <w:t>466,413</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34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2"/>
          </w:tcPr>
          <w:p>
            <w:pPr>
              <w:jc w:val="right"/>
              <w:ind w:right="1"/>
              <w:spacing w:after="0"/>
              <w:rPr>
                <w:sz w:val="20"/>
                <w:szCs w:val="20"/>
                <w:color w:val="auto"/>
              </w:rPr>
            </w:pPr>
            <w:r>
              <w:rPr>
                <w:rFonts w:ascii="Arial" w:cs="Arial" w:eastAsia="Arial" w:hAnsi="Arial"/>
                <w:sz w:val="18"/>
                <w:szCs w:val="18"/>
                <w:color w:val="auto"/>
              </w:rPr>
              <w:t>F-58</w:t>
            </w: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194" w:name="page195"/>
    <w:bookmarkEnd w:id="19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0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700" w:type="dxa"/>
            <w:vAlign w:val="bottom"/>
            <w:tcBorders>
              <w:bottom w:val="single" w:sz="8" w:color="auto"/>
            </w:tcBorders>
            <w:gridSpan w:val="5"/>
          </w:tcPr>
          <w:p>
            <w:pPr>
              <w:jc w:val="right"/>
              <w:ind w:right="1161"/>
              <w:spacing w:after="0"/>
              <w:rPr>
                <w:sz w:val="20"/>
                <w:szCs w:val="20"/>
                <w:color w:val="auto"/>
              </w:rPr>
            </w:pPr>
            <w:r>
              <w:rPr>
                <w:rFonts w:ascii="Arial" w:cs="Arial" w:eastAsia="Arial" w:hAnsi="Arial"/>
                <w:sz w:val="18"/>
                <w:szCs w:val="18"/>
                <w:b w:val="1"/>
                <w:bCs w:val="1"/>
                <w:color w:val="auto"/>
                <w:w w:val="88"/>
              </w:rPr>
              <w:t>December 31, 2019</w:t>
            </w:r>
          </w:p>
        </w:tc>
        <w:tc>
          <w:tcPr>
            <w:tcW w:w="1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1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gridSpan w:val="2"/>
          </w:tcPr>
          <w:p>
            <w:pPr>
              <w:jc w:val="right"/>
              <w:ind w:right="361"/>
              <w:spacing w:after="0" w:line="205" w:lineRule="exact"/>
              <w:rPr>
                <w:sz w:val="20"/>
                <w:szCs w:val="20"/>
                <w:color w:val="auto"/>
              </w:rPr>
            </w:pPr>
            <w:r>
              <w:rPr>
                <w:rFonts w:ascii="Arial" w:cs="Arial" w:eastAsia="Arial" w:hAnsi="Arial"/>
                <w:sz w:val="18"/>
                <w:szCs w:val="18"/>
                <w:b w:val="1"/>
                <w:bCs w:val="1"/>
                <w:color w:val="auto"/>
              </w:rPr>
              <w:t>Up to 3</w:t>
            </w: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gridSpan w:val="2"/>
          </w:tcPr>
          <w:p>
            <w:pPr>
              <w:jc w:val="right"/>
              <w:ind w:right="41"/>
              <w:spacing w:after="0" w:line="205" w:lineRule="exact"/>
              <w:rPr>
                <w:sz w:val="20"/>
                <w:szCs w:val="20"/>
                <w:color w:val="auto"/>
              </w:rPr>
            </w:pPr>
            <w:r>
              <w:rPr>
                <w:rFonts w:ascii="Arial" w:cs="Arial" w:eastAsia="Arial" w:hAnsi="Arial"/>
                <w:sz w:val="18"/>
                <w:szCs w:val="18"/>
                <w:b w:val="1"/>
                <w:bCs w:val="1"/>
                <w:color w:val="auto"/>
                <w:w w:val="90"/>
              </w:rPr>
              <w:t>6 months to 1</w:t>
            </w: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40" w:type="dxa"/>
            <w:vAlign w:val="bottom"/>
            <w:gridSpan w:val="2"/>
          </w:tcPr>
          <w:p>
            <w:pPr>
              <w:jc w:val="right"/>
              <w:ind w:right="221"/>
              <w:spacing w:after="0" w:line="205" w:lineRule="exact"/>
              <w:rPr>
                <w:sz w:val="20"/>
                <w:szCs w:val="20"/>
                <w:color w:val="auto"/>
              </w:rPr>
            </w:pPr>
            <w:r>
              <w:rPr>
                <w:rFonts w:ascii="Arial" w:cs="Arial" w:eastAsia="Arial" w:hAnsi="Arial"/>
                <w:sz w:val="18"/>
                <w:szCs w:val="18"/>
                <w:b w:val="1"/>
                <w:bCs w:val="1"/>
                <w:color w:val="auto"/>
              </w:rPr>
              <w:t>More than 5</w:t>
            </w:r>
          </w:p>
        </w:tc>
        <w:tc>
          <w:tcPr>
            <w:tcW w:w="1360" w:type="dxa"/>
            <w:vAlign w:val="bottom"/>
            <w:gridSpan w:val="2"/>
          </w:tcPr>
          <w:p>
            <w:pPr>
              <w:jc w:val="right"/>
              <w:ind w:right="201"/>
              <w:spacing w:after="0" w:line="205" w:lineRule="exact"/>
              <w:rPr>
                <w:sz w:val="20"/>
                <w:szCs w:val="20"/>
                <w:color w:val="auto"/>
              </w:rPr>
            </w:pPr>
            <w:r>
              <w:rPr>
                <w:rFonts w:ascii="Arial" w:cs="Arial" w:eastAsia="Arial" w:hAnsi="Arial"/>
                <w:sz w:val="18"/>
                <w:szCs w:val="18"/>
                <w:b w:val="1"/>
                <w:bCs w:val="1"/>
                <w:color w:val="auto"/>
                <w:w w:val="89"/>
              </w:rPr>
              <w:t>Gross inflows</w:t>
            </w:r>
          </w:p>
        </w:tc>
        <w:tc>
          <w:tcPr>
            <w:tcW w:w="1160" w:type="dxa"/>
            <w:vAlign w:val="bottom"/>
          </w:tcPr>
          <w:p>
            <w:pPr>
              <w:jc w:val="right"/>
              <w:ind w:right="130"/>
              <w:spacing w:after="0" w:line="205" w:lineRule="exact"/>
              <w:rPr>
                <w:sz w:val="20"/>
                <w:szCs w:val="20"/>
                <w:color w:val="auto"/>
              </w:rPr>
            </w:pPr>
            <w:r>
              <w:rPr>
                <w:rFonts w:ascii="Arial" w:cs="Arial" w:eastAsia="Arial" w:hAnsi="Arial"/>
                <w:sz w:val="18"/>
                <w:szCs w:val="18"/>
                <w:b w:val="1"/>
                <w:bCs w:val="1"/>
                <w:color w:val="auto"/>
              </w:rPr>
              <w:t>Carrying</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80" w:type="dxa"/>
            <w:vAlign w:val="bottom"/>
            <w:gridSpan w:val="2"/>
          </w:tcPr>
          <w:p>
            <w:pPr>
              <w:ind w:left="400"/>
              <w:spacing w:after="0"/>
              <w:rPr>
                <w:sz w:val="20"/>
                <w:szCs w:val="20"/>
                <w:color w:val="auto"/>
              </w:rPr>
            </w:pPr>
            <w:r>
              <w:rPr>
                <w:rFonts w:ascii="Arial" w:cs="Arial" w:eastAsia="Arial" w:hAnsi="Arial"/>
                <w:sz w:val="18"/>
                <w:szCs w:val="18"/>
                <w:b w:val="1"/>
                <w:bCs w:val="1"/>
                <w:color w:val="auto"/>
              </w:rPr>
              <w:t>Description</w:t>
            </w:r>
          </w:p>
        </w:tc>
        <w:tc>
          <w:tcPr>
            <w:tcW w:w="122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months</w:t>
            </w:r>
          </w:p>
        </w:tc>
        <w:tc>
          <w:tcPr>
            <w:tcW w:w="1340" w:type="dxa"/>
            <w:vAlign w:val="bottom"/>
            <w:gridSpan w:val="2"/>
          </w:tcPr>
          <w:p>
            <w:pPr>
              <w:jc w:val="right"/>
              <w:ind w:right="181"/>
              <w:spacing w:after="0"/>
              <w:rPr>
                <w:sz w:val="20"/>
                <w:szCs w:val="20"/>
                <w:color w:val="auto"/>
              </w:rPr>
            </w:pPr>
            <w:r>
              <w:rPr>
                <w:rFonts w:ascii="Arial" w:cs="Arial" w:eastAsia="Arial" w:hAnsi="Arial"/>
                <w:sz w:val="18"/>
                <w:szCs w:val="18"/>
                <w:b w:val="1"/>
                <w:bCs w:val="1"/>
                <w:color w:val="auto"/>
                <w:w w:val="90"/>
              </w:rPr>
              <w:t>3 to 6 months</w:t>
            </w:r>
          </w:p>
        </w:tc>
        <w:tc>
          <w:tcPr>
            <w:tcW w:w="1200" w:type="dxa"/>
            <w:vAlign w:val="bottom"/>
            <w:gridSpan w:val="2"/>
          </w:tcPr>
          <w:p>
            <w:pPr>
              <w:jc w:val="right"/>
              <w:ind w:right="401"/>
              <w:spacing w:after="0"/>
              <w:rPr>
                <w:sz w:val="20"/>
                <w:szCs w:val="20"/>
                <w:color w:val="auto"/>
              </w:rPr>
            </w:pPr>
            <w:r>
              <w:rPr>
                <w:rFonts w:ascii="Arial" w:cs="Arial" w:eastAsia="Arial" w:hAnsi="Arial"/>
                <w:sz w:val="18"/>
                <w:szCs w:val="18"/>
                <w:b w:val="1"/>
                <w:bCs w:val="1"/>
                <w:color w:val="auto"/>
              </w:rPr>
              <w:t>year</w:t>
            </w:r>
          </w:p>
        </w:tc>
        <w:tc>
          <w:tcPr>
            <w:tcW w:w="140" w:type="dxa"/>
            <w:vAlign w:val="bottom"/>
          </w:tcPr>
          <w:p>
            <w:pPr>
              <w:spacing w:after="0"/>
              <w:rPr>
                <w:sz w:val="20"/>
                <w:szCs w:val="20"/>
                <w:color w:val="auto"/>
              </w:rPr>
            </w:pPr>
          </w:p>
        </w:tc>
        <w:tc>
          <w:tcPr>
            <w:tcW w:w="1220" w:type="dxa"/>
            <w:vAlign w:val="bottom"/>
            <w:gridSpan w:val="2"/>
          </w:tcPr>
          <w:p>
            <w:pPr>
              <w:jc w:val="right"/>
              <w:ind w:right="201"/>
              <w:spacing w:after="0"/>
              <w:rPr>
                <w:sz w:val="20"/>
                <w:szCs w:val="20"/>
                <w:color w:val="auto"/>
              </w:rPr>
            </w:pPr>
            <w:r>
              <w:rPr>
                <w:rFonts w:ascii="Arial" w:cs="Arial" w:eastAsia="Arial" w:hAnsi="Arial"/>
                <w:sz w:val="18"/>
                <w:szCs w:val="18"/>
                <w:b w:val="1"/>
                <w:bCs w:val="1"/>
                <w:color w:val="auto"/>
                <w:w w:val="92"/>
              </w:rPr>
              <w:t>1 to 5 years</w:t>
            </w:r>
          </w:p>
        </w:tc>
        <w:tc>
          <w:tcPr>
            <w:tcW w:w="1340" w:type="dxa"/>
            <w:vAlign w:val="bottom"/>
            <w:gridSpan w:val="2"/>
          </w:tcPr>
          <w:p>
            <w:pPr>
              <w:jc w:val="right"/>
              <w:ind w:right="501"/>
              <w:spacing w:after="0"/>
              <w:rPr>
                <w:sz w:val="20"/>
                <w:szCs w:val="20"/>
                <w:color w:val="auto"/>
              </w:rPr>
            </w:pPr>
            <w:r>
              <w:rPr>
                <w:rFonts w:ascii="Arial" w:cs="Arial" w:eastAsia="Arial" w:hAnsi="Arial"/>
                <w:sz w:val="18"/>
                <w:szCs w:val="18"/>
                <w:b w:val="1"/>
                <w:bCs w:val="1"/>
                <w:color w:val="auto"/>
              </w:rPr>
              <w:t>years</w:t>
            </w:r>
          </w:p>
        </w:tc>
        <w:tc>
          <w:tcPr>
            <w:tcW w:w="136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rPr>
              <w:t>(outflows)</w:t>
            </w:r>
          </w:p>
        </w:tc>
        <w:tc>
          <w:tcPr>
            <w:tcW w:w="128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rPr>
              <w:t>amount</w:t>
            </w:r>
          </w:p>
        </w:tc>
        <w:tc>
          <w:tcPr>
            <w:tcW w:w="0" w:type="dxa"/>
            <w:vAlign w:val="bottom"/>
          </w:tcPr>
          <w:p>
            <w:pPr>
              <w:spacing w:after="0"/>
              <w:rPr>
                <w:sz w:val="1"/>
                <w:szCs w:val="1"/>
                <w:color w:val="auto"/>
              </w:rPr>
            </w:pPr>
          </w:p>
        </w:tc>
      </w:tr>
      <w:tr>
        <w:trPr>
          <w:trHeight w:val="223"/>
        </w:trPr>
        <w:tc>
          <w:tcPr>
            <w:tcW w:w="16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40" w:type="dxa"/>
            <w:vAlign w:val="bottom"/>
            <w:tcBorders>
              <w:top w:val="single" w:sz="8" w:color="auto"/>
            </w:tcBorders>
            <w:shd w:val="clear" w:color="auto" w:fill="CCEEFF"/>
          </w:tcPr>
          <w:p>
            <w:pPr>
              <w:spacing w:after="0"/>
              <w:rPr>
                <w:sz w:val="19"/>
                <w:szCs w:val="19"/>
                <w:color w:val="auto"/>
              </w:rPr>
            </w:pPr>
          </w:p>
        </w:tc>
        <w:tc>
          <w:tcPr>
            <w:tcW w:w="220" w:type="dxa"/>
            <w:vAlign w:val="bottom"/>
            <w:tcBorders>
              <w:top w:val="single" w:sz="8" w:color="CCEEFF"/>
            </w:tcBorders>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2"/>
        </w:trPr>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Cash and due from</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tcPr>
          <w:p>
            <w:pPr>
              <w:spacing w:after="0"/>
              <w:rPr>
                <w:sz w:val="20"/>
                <w:szCs w:val="20"/>
                <w:color w:val="auto"/>
              </w:rPr>
            </w:pPr>
            <w:r>
              <w:rPr>
                <w:rFonts w:ascii="Arial" w:cs="Arial" w:eastAsia="Arial" w:hAnsi="Arial"/>
                <w:sz w:val="18"/>
                <w:szCs w:val="18"/>
                <w:color w:val="auto"/>
              </w:rPr>
              <w:t>banks</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1,178,288</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1,178,288</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1,178,170</w:t>
            </w:r>
          </w:p>
        </w:tc>
        <w:tc>
          <w:tcPr>
            <w:tcW w:w="0" w:type="dxa"/>
            <w:vAlign w:val="bottom"/>
          </w:tcPr>
          <w:p>
            <w:pPr>
              <w:spacing w:after="0"/>
              <w:rPr>
                <w:sz w:val="1"/>
                <w:szCs w:val="1"/>
                <w:color w:val="auto"/>
              </w:rPr>
            </w:pPr>
          </w:p>
        </w:tc>
      </w:tr>
      <w:tr>
        <w:trPr>
          <w:trHeight w:val="202"/>
        </w:trPr>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and other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assets, net</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16,684</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6,457</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7,293</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54,544</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6,492</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91,470</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88,794</w:t>
            </w:r>
          </w:p>
        </w:tc>
        <w:tc>
          <w:tcPr>
            <w:tcW w:w="0" w:type="dxa"/>
            <w:vAlign w:val="bottom"/>
          </w:tcPr>
          <w:p>
            <w:pPr>
              <w:spacing w:after="0"/>
              <w:rPr>
                <w:sz w:val="1"/>
                <w:szCs w:val="1"/>
                <w:color w:val="auto"/>
              </w:rPr>
            </w:pPr>
          </w:p>
        </w:tc>
      </w:tr>
      <w:tr>
        <w:trPr>
          <w:trHeight w:val="216"/>
        </w:trPr>
        <w:tc>
          <w:tcPr>
            <w:tcW w:w="1780" w:type="dxa"/>
            <w:vAlign w:val="bottom"/>
            <w:gridSpan w:val="2"/>
          </w:tcPr>
          <w:p>
            <w:pPr>
              <w:spacing w:after="0"/>
              <w:rPr>
                <w:sz w:val="20"/>
                <w:szCs w:val="20"/>
                <w:color w:val="auto"/>
              </w:rPr>
            </w:pPr>
            <w:r>
              <w:rPr>
                <w:rFonts w:ascii="Arial" w:cs="Arial" w:eastAsia="Arial" w:hAnsi="Arial"/>
                <w:sz w:val="18"/>
                <w:szCs w:val="18"/>
                <w:color w:val="auto"/>
              </w:rPr>
              <w:t>Loans, net</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1,960,381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967,594</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1,207,469</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1,822,519</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150,742</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6,108,705</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5,823,333</w:t>
            </w:r>
          </w:p>
        </w:tc>
        <w:tc>
          <w:tcPr>
            <w:tcW w:w="0" w:type="dxa"/>
            <w:vAlign w:val="bottom"/>
          </w:tcPr>
          <w:p>
            <w:pPr>
              <w:spacing w:after="0"/>
              <w:rPr>
                <w:sz w:val="1"/>
                <w:szCs w:val="1"/>
                <w:color w:val="auto"/>
              </w:rPr>
            </w:pPr>
          </w:p>
        </w:tc>
      </w:tr>
      <w:tr>
        <w:trPr>
          <w:trHeight w:val="202"/>
        </w:trPr>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 - assets</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625</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10,532</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11,157</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11,157</w:t>
            </w:r>
          </w:p>
        </w:tc>
        <w:tc>
          <w:tcPr>
            <w:tcW w:w="0" w:type="dxa"/>
            <w:vAlign w:val="bottom"/>
          </w:tcPr>
          <w:p>
            <w:pPr>
              <w:spacing w:after="0"/>
              <w:rPr>
                <w:sz w:val="1"/>
                <w:szCs w:val="1"/>
                <w:color w:val="auto"/>
              </w:rPr>
            </w:pPr>
          </w:p>
        </w:tc>
      </w:tr>
      <w:tr>
        <w:trPr>
          <w:trHeight w:val="20"/>
        </w:trPr>
        <w:tc>
          <w:tcPr>
            <w:tcW w:w="178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0"/>
        </w:trPr>
        <w:tc>
          <w:tcPr>
            <w:tcW w:w="1780" w:type="dxa"/>
            <w:vAlign w:val="bottom"/>
            <w:gridSpan w:val="2"/>
            <w:vMerge w:val="continue"/>
          </w:tcPr>
          <w:p>
            <w:pPr>
              <w:spacing w:after="0"/>
              <w:rPr>
                <w:sz w:val="24"/>
                <w:szCs w:val="24"/>
                <w:color w:val="auto"/>
              </w:rPr>
            </w:pPr>
          </w:p>
        </w:tc>
        <w:tc>
          <w:tcPr>
            <w:tcW w:w="122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3,155,353</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974,676</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b w:val="1"/>
                <w:bCs w:val="1"/>
                <w:color w:val="auto"/>
              </w:rPr>
              <w:t>1,214,762</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b w:val="1"/>
                <w:bCs w:val="1"/>
                <w:color w:val="auto"/>
              </w:rPr>
              <w:t>1,887,595</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157,234</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7,389,620</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b w:val="1"/>
                <w:bCs w:val="1"/>
                <w:color w:val="auto"/>
              </w:rPr>
              <w:t>7,101,454</w:t>
            </w:r>
          </w:p>
        </w:tc>
        <w:tc>
          <w:tcPr>
            <w:tcW w:w="0" w:type="dxa"/>
            <w:vAlign w:val="bottom"/>
          </w:tcPr>
          <w:p>
            <w:pPr>
              <w:spacing w:after="0"/>
              <w:rPr>
                <w:sz w:val="1"/>
                <w:szCs w:val="1"/>
                <w:color w:val="auto"/>
              </w:rPr>
            </w:pPr>
          </w:p>
        </w:tc>
      </w:tr>
      <w:tr>
        <w:trPr>
          <w:trHeight w:val="197"/>
        </w:trPr>
        <w:tc>
          <w:tcPr>
            <w:tcW w:w="16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780" w:type="dxa"/>
            <w:vAlign w:val="bottom"/>
            <w:gridSpan w:val="2"/>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(2,574,180)</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(198,786)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(122,680)</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(2,895,646)</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(2,893,555)</w:t>
            </w:r>
          </w:p>
        </w:tc>
        <w:tc>
          <w:tcPr>
            <w:tcW w:w="0" w:type="dxa"/>
            <w:vAlign w:val="bottom"/>
          </w:tcPr>
          <w:p>
            <w:pPr>
              <w:spacing w:after="0"/>
              <w:rPr>
                <w:sz w:val="1"/>
                <w:szCs w:val="1"/>
                <w:color w:val="auto"/>
              </w:rPr>
            </w:pPr>
          </w:p>
        </w:tc>
      </w:tr>
      <w:tr>
        <w:trPr>
          <w:trHeight w:val="202"/>
        </w:trPr>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Securities sold under</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tcPr>
          <w:p>
            <w:pPr>
              <w:spacing w:after="0"/>
              <w:rPr>
                <w:sz w:val="20"/>
                <w:szCs w:val="20"/>
                <w:color w:val="auto"/>
              </w:rPr>
            </w:pPr>
            <w:r>
              <w:rPr>
                <w:rFonts w:ascii="Arial" w:cs="Arial" w:eastAsia="Arial" w:hAnsi="Arial"/>
                <w:sz w:val="18"/>
                <w:szCs w:val="18"/>
                <w:color w:val="auto"/>
                <w:w w:val="92"/>
              </w:rPr>
              <w:t>repurchase agreements</w:t>
            </w:r>
          </w:p>
        </w:tc>
        <w:tc>
          <w:tcPr>
            <w:tcW w:w="1220" w:type="dxa"/>
            <w:vAlign w:val="bottom"/>
            <w:gridSpan w:val="2"/>
          </w:tcPr>
          <w:p>
            <w:pPr>
              <w:jc w:val="right"/>
              <w:ind w:right="81"/>
              <w:spacing w:after="0"/>
              <w:rPr>
                <w:sz w:val="20"/>
                <w:szCs w:val="20"/>
                <w:color w:val="auto"/>
              </w:rPr>
            </w:pPr>
            <w:r>
              <w:rPr>
                <w:rFonts w:ascii="Arial" w:cs="Arial" w:eastAsia="Arial" w:hAnsi="Arial"/>
                <w:sz w:val="18"/>
                <w:szCs w:val="18"/>
                <w:color w:val="auto"/>
              </w:rPr>
              <w:t>(40,691)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81"/>
              <w:spacing w:after="0"/>
              <w:rPr>
                <w:sz w:val="20"/>
                <w:szCs w:val="20"/>
                <w:color w:val="auto"/>
              </w:rPr>
            </w:pPr>
            <w:r>
              <w:rPr>
                <w:rFonts w:ascii="Arial" w:cs="Arial" w:eastAsia="Arial" w:hAnsi="Arial"/>
                <w:sz w:val="18"/>
                <w:szCs w:val="18"/>
                <w:color w:val="auto"/>
              </w:rPr>
              <w:t>(40,691)</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(40,530)</w:t>
            </w:r>
          </w:p>
        </w:tc>
        <w:tc>
          <w:tcPr>
            <w:tcW w:w="0" w:type="dxa"/>
            <w:vAlign w:val="bottom"/>
          </w:tcPr>
          <w:p>
            <w:pPr>
              <w:spacing w:after="0"/>
              <w:rPr>
                <w:sz w:val="1"/>
                <w:szCs w:val="1"/>
                <w:color w:val="auto"/>
              </w:rPr>
            </w:pPr>
          </w:p>
        </w:tc>
      </w:tr>
      <w:tr>
        <w:trPr>
          <w:trHeight w:val="202"/>
        </w:trPr>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Borrowings and debt,</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w:t>
            </w:r>
          </w:p>
        </w:tc>
        <w:tc>
          <w:tcPr>
            <w:tcW w:w="12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(1,407,612)</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(451,736)</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(230,776)</w:t>
            </w:r>
          </w:p>
        </w:tc>
        <w:tc>
          <w:tcPr>
            <w:tcW w:w="136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(1,147,699)</w:t>
            </w:r>
          </w:p>
        </w:tc>
        <w:tc>
          <w:tcPr>
            <w:tcW w:w="1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(13,422)</w:t>
            </w:r>
          </w:p>
        </w:tc>
        <w:tc>
          <w:tcPr>
            <w:tcW w:w="13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(3,251,245)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(3,148,864)</w:t>
            </w:r>
          </w:p>
        </w:tc>
        <w:tc>
          <w:tcPr>
            <w:tcW w:w="0" w:type="dxa"/>
            <w:vAlign w:val="bottom"/>
          </w:tcPr>
          <w:p>
            <w:pPr>
              <w:spacing w:after="0"/>
              <w:rPr>
                <w:sz w:val="1"/>
                <w:szCs w:val="1"/>
                <w:color w:val="auto"/>
              </w:rPr>
            </w:pPr>
          </w:p>
        </w:tc>
      </w:tr>
      <w:tr>
        <w:trPr>
          <w:trHeight w:val="202"/>
        </w:trPr>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Derivative financial</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1780" w:type="dxa"/>
            <w:vAlign w:val="bottom"/>
            <w:gridSpan w:val="2"/>
          </w:tcPr>
          <w:p>
            <w:pPr>
              <w:spacing w:after="0"/>
              <w:rPr>
                <w:sz w:val="20"/>
                <w:szCs w:val="20"/>
                <w:color w:val="auto"/>
              </w:rPr>
            </w:pPr>
            <w:r>
              <w:rPr>
                <w:rFonts w:ascii="Arial" w:cs="Arial" w:eastAsia="Arial" w:hAnsi="Arial"/>
                <w:sz w:val="18"/>
                <w:szCs w:val="18"/>
                <w:color w:val="auto"/>
                <w:w w:val="99"/>
              </w:rPr>
              <w:t>instruments - liabilities</w:t>
            </w:r>
          </w:p>
        </w:tc>
        <w:tc>
          <w:tcPr>
            <w:tcW w:w="1220" w:type="dxa"/>
            <w:vAlign w:val="bottom"/>
            <w:gridSpan w:val="2"/>
          </w:tcPr>
          <w:p>
            <w:pPr>
              <w:jc w:val="right"/>
              <w:ind w:right="81"/>
              <w:spacing w:after="0"/>
              <w:rPr>
                <w:sz w:val="20"/>
                <w:szCs w:val="20"/>
                <w:color w:val="auto"/>
              </w:rPr>
            </w:pPr>
            <w:r>
              <w:rPr>
                <w:rFonts w:ascii="Arial" w:cs="Arial" w:eastAsia="Arial" w:hAnsi="Arial"/>
                <w:sz w:val="18"/>
                <w:szCs w:val="18"/>
                <w:color w:val="auto"/>
              </w:rPr>
              <w:t>(2,425)</w:t>
            </w:r>
          </w:p>
        </w:tc>
        <w:tc>
          <w:tcPr>
            <w:tcW w:w="1340" w:type="dxa"/>
            <w:vAlign w:val="bottom"/>
            <w:gridSpan w:val="2"/>
          </w:tcPr>
          <w:p>
            <w:pPr>
              <w:jc w:val="right"/>
              <w:ind w:right="81"/>
              <w:spacing w:after="0"/>
              <w:rPr>
                <w:sz w:val="20"/>
                <w:szCs w:val="20"/>
                <w:color w:val="auto"/>
              </w:rPr>
            </w:pPr>
            <w:r>
              <w:rPr>
                <w:rFonts w:ascii="Arial" w:cs="Arial" w:eastAsia="Arial" w:hAnsi="Arial"/>
                <w:sz w:val="18"/>
                <w:szCs w:val="18"/>
                <w:color w:val="auto"/>
              </w:rPr>
              <w:t>(775)</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(1,711)</w:t>
            </w:r>
          </w:p>
        </w:tc>
        <w:tc>
          <w:tcPr>
            <w:tcW w:w="1360" w:type="dxa"/>
            <w:vAlign w:val="bottom"/>
            <w:gridSpan w:val="3"/>
          </w:tcPr>
          <w:p>
            <w:pPr>
              <w:jc w:val="right"/>
              <w:ind w:right="81"/>
              <w:spacing w:after="0"/>
              <w:rPr>
                <w:sz w:val="20"/>
                <w:szCs w:val="20"/>
                <w:color w:val="auto"/>
              </w:rPr>
            </w:pPr>
            <w:r>
              <w:rPr>
                <w:rFonts w:ascii="Arial" w:cs="Arial" w:eastAsia="Arial" w:hAnsi="Arial"/>
                <w:sz w:val="18"/>
                <w:szCs w:val="18"/>
                <w:color w:val="auto"/>
              </w:rPr>
              <w:t>(12,014)</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81"/>
              <w:spacing w:after="0"/>
              <w:rPr>
                <w:sz w:val="20"/>
                <w:szCs w:val="20"/>
                <w:color w:val="auto"/>
              </w:rPr>
            </w:pPr>
            <w:r>
              <w:rPr>
                <w:rFonts w:ascii="Arial" w:cs="Arial" w:eastAsia="Arial" w:hAnsi="Arial"/>
                <w:sz w:val="18"/>
                <w:szCs w:val="18"/>
                <w:color w:val="auto"/>
              </w:rPr>
              <w:t>(16,925)</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(14,675)</w:t>
            </w:r>
          </w:p>
        </w:tc>
        <w:tc>
          <w:tcPr>
            <w:tcW w:w="0" w:type="dxa"/>
            <w:vAlign w:val="bottom"/>
          </w:tcPr>
          <w:p>
            <w:pPr>
              <w:spacing w:after="0"/>
              <w:rPr>
                <w:sz w:val="1"/>
                <w:szCs w:val="1"/>
                <w:color w:val="auto"/>
              </w:rPr>
            </w:pPr>
          </w:p>
        </w:tc>
      </w:tr>
      <w:tr>
        <w:trPr>
          <w:trHeight w:val="250"/>
        </w:trPr>
        <w:tc>
          <w:tcPr>
            <w:tcW w:w="1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(4,024,908</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(651,297</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(355,167</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tcBorders>
              <w:top w:val="single" w:sz="8" w:color="CCEEFF"/>
              <w:bottom w:val="single" w:sz="8" w:color="CCEEFF"/>
            </w:tcBorders>
            <w:shd w:val="clear" w:color="auto" w:fill="CCEEFF"/>
          </w:tcPr>
          <w:p>
            <w:pPr>
              <w:spacing w:after="0"/>
              <w:rPr>
                <w:sz w:val="21"/>
                <w:szCs w:val="21"/>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(1,159,713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(13,422</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(6,204,507</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(6,097,624</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16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Contingencies</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1780" w:type="dxa"/>
            <w:vAlign w:val="bottom"/>
            <w:gridSpan w:val="2"/>
          </w:tcPr>
          <w:p>
            <w:pPr>
              <w:spacing w:after="0" w:line="201" w:lineRule="exact"/>
              <w:rPr>
                <w:sz w:val="20"/>
                <w:szCs w:val="20"/>
                <w:color w:val="auto"/>
              </w:rPr>
            </w:pPr>
            <w:r>
              <w:rPr>
                <w:rFonts w:ascii="Arial" w:cs="Arial" w:eastAsia="Arial" w:hAnsi="Arial"/>
                <w:sz w:val="18"/>
                <w:szCs w:val="18"/>
                <w:color w:val="auto"/>
              </w:rPr>
              <w:t>Confirmed lettes of</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tcPr>
          <w:p>
            <w:pPr>
              <w:spacing w:after="0"/>
              <w:rPr>
                <w:sz w:val="20"/>
                <w:szCs w:val="20"/>
                <w:color w:val="auto"/>
              </w:rPr>
            </w:pPr>
            <w:r>
              <w:rPr>
                <w:rFonts w:ascii="Arial" w:cs="Arial" w:eastAsia="Arial" w:hAnsi="Arial"/>
                <w:sz w:val="18"/>
                <w:szCs w:val="18"/>
                <w:color w:val="auto"/>
              </w:rPr>
              <w:t>credit</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84,235</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77,493</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7,592</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169,320</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169,320</w:t>
            </w:r>
          </w:p>
        </w:tc>
        <w:tc>
          <w:tcPr>
            <w:tcW w:w="0" w:type="dxa"/>
            <w:vAlign w:val="bottom"/>
          </w:tcPr>
          <w:p>
            <w:pPr>
              <w:spacing w:after="0"/>
              <w:rPr>
                <w:sz w:val="1"/>
                <w:szCs w:val="1"/>
                <w:color w:val="auto"/>
              </w:rPr>
            </w:pPr>
          </w:p>
        </w:tc>
      </w:tr>
      <w:tr>
        <w:trPr>
          <w:trHeight w:val="202"/>
        </w:trPr>
        <w:tc>
          <w:tcPr>
            <w:tcW w:w="178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Stand-by letters of</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credit and guarantees</w:t>
            </w: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35,906</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95,440</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114,078</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10,057</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255,481</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255,481</w:t>
            </w:r>
          </w:p>
        </w:tc>
        <w:tc>
          <w:tcPr>
            <w:tcW w:w="0" w:type="dxa"/>
            <w:vAlign w:val="bottom"/>
          </w:tcPr>
          <w:p>
            <w:pPr>
              <w:spacing w:after="0"/>
              <w:rPr>
                <w:sz w:val="1"/>
                <w:szCs w:val="1"/>
                <w:color w:val="auto"/>
              </w:rPr>
            </w:pPr>
          </w:p>
        </w:tc>
      </w:tr>
      <w:tr>
        <w:trPr>
          <w:trHeight w:val="229"/>
        </w:trPr>
        <w:tc>
          <w:tcPr>
            <w:tcW w:w="1780" w:type="dxa"/>
            <w:vAlign w:val="bottom"/>
            <w:gridSpan w:val="2"/>
          </w:tcPr>
          <w:p>
            <w:pPr>
              <w:spacing w:after="0"/>
              <w:rPr>
                <w:sz w:val="20"/>
                <w:szCs w:val="20"/>
                <w:color w:val="auto"/>
              </w:rPr>
            </w:pPr>
            <w:r>
              <w:rPr>
                <w:rFonts w:ascii="Arial" w:cs="Arial" w:eastAsia="Arial" w:hAnsi="Arial"/>
                <w:sz w:val="18"/>
                <w:szCs w:val="18"/>
                <w:color w:val="auto"/>
              </w:rPr>
              <w:t>Credit commitments</w:t>
            </w:r>
          </w:p>
        </w:tc>
        <w:tc>
          <w:tcPr>
            <w:tcW w:w="122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color w:val="auto"/>
              </w:rPr>
              <w:t>-</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color w:val="auto"/>
              </w:rPr>
              <w:t>68,571</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color w:val="auto"/>
              </w:rPr>
              <w:t>68,571</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color w:val="auto"/>
              </w:rPr>
              <w:t>68,571</w:t>
            </w:r>
          </w:p>
        </w:tc>
        <w:tc>
          <w:tcPr>
            <w:tcW w:w="0" w:type="dxa"/>
            <w:vAlign w:val="bottom"/>
          </w:tcPr>
          <w:p>
            <w:pPr>
              <w:spacing w:after="0"/>
              <w:rPr>
                <w:sz w:val="1"/>
                <w:szCs w:val="1"/>
                <w:color w:val="auto"/>
              </w:rPr>
            </w:pPr>
          </w:p>
        </w:tc>
      </w:tr>
      <w:tr>
        <w:trPr>
          <w:trHeight w:val="20"/>
        </w:trPr>
        <w:tc>
          <w:tcPr>
            <w:tcW w:w="1780" w:type="dxa"/>
            <w:vAlign w:val="bottom"/>
            <w:gridSpan w:val="2"/>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780" w:type="dxa"/>
            <w:vAlign w:val="bottom"/>
            <w:gridSpan w:val="2"/>
            <w:vMerge w:val="continue"/>
            <w:shd w:val="clear" w:color="auto" w:fill="CCEEFF"/>
          </w:tcPr>
          <w:p>
            <w:pPr>
              <w:spacing w:after="0"/>
              <w:rPr>
                <w:sz w:val="21"/>
                <w:szCs w:val="21"/>
                <w:color w:val="auto"/>
              </w:rPr>
            </w:pPr>
          </w:p>
        </w:tc>
        <w:tc>
          <w:tcPr>
            <w:tcW w:w="12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120,141</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172,933</w:t>
            </w:r>
          </w:p>
        </w:tc>
        <w:tc>
          <w:tcPr>
            <w:tcW w:w="120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b w:val="1"/>
                <w:bCs w:val="1"/>
                <w:color w:val="auto"/>
              </w:rPr>
              <w:t>121,670</w:t>
            </w:r>
          </w:p>
        </w:tc>
        <w:tc>
          <w:tcPr>
            <w:tcW w:w="136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78,628</w:t>
            </w:r>
          </w:p>
        </w:tc>
        <w:tc>
          <w:tcPr>
            <w:tcW w:w="1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w:t>
            </w:r>
          </w:p>
        </w:tc>
        <w:tc>
          <w:tcPr>
            <w:tcW w:w="13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493,372</w:t>
            </w:r>
          </w:p>
        </w:tc>
        <w:tc>
          <w:tcPr>
            <w:tcW w:w="12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493,372</w:t>
            </w:r>
          </w:p>
        </w:tc>
        <w:tc>
          <w:tcPr>
            <w:tcW w:w="0" w:type="dxa"/>
            <w:vAlign w:val="bottom"/>
          </w:tcPr>
          <w:p>
            <w:pPr>
              <w:spacing w:after="0"/>
              <w:rPr>
                <w:sz w:val="1"/>
                <w:szCs w:val="1"/>
                <w:color w:val="auto"/>
              </w:rPr>
            </w:pPr>
          </w:p>
        </w:tc>
      </w:tr>
      <w:tr>
        <w:trPr>
          <w:trHeight w:val="20"/>
        </w:trPr>
        <w:tc>
          <w:tcPr>
            <w:tcW w:w="178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1780" w:type="dxa"/>
            <w:vAlign w:val="bottom"/>
            <w:gridSpan w:val="2"/>
            <w:vMerge w:val="continue"/>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(989,696</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150,446</w:t>
            </w:r>
          </w:p>
        </w:tc>
        <w:tc>
          <w:tcPr>
            <w:tcW w:w="1200" w:type="dxa"/>
            <w:vAlign w:val="bottom"/>
            <w:gridSpan w:val="2"/>
          </w:tcPr>
          <w:p>
            <w:pPr>
              <w:jc w:val="right"/>
              <w:ind w:right="1"/>
              <w:spacing w:after="0"/>
              <w:rPr>
                <w:sz w:val="20"/>
                <w:szCs w:val="20"/>
                <w:color w:val="auto"/>
              </w:rPr>
            </w:pPr>
            <w:r>
              <w:rPr>
                <w:rFonts w:ascii="Arial" w:cs="Arial" w:eastAsia="Arial" w:hAnsi="Arial"/>
                <w:sz w:val="18"/>
                <w:szCs w:val="18"/>
                <w:b w:val="1"/>
                <w:bCs w:val="1"/>
                <w:color w:val="auto"/>
              </w:rPr>
              <w:t>737,925</w:t>
            </w:r>
          </w:p>
        </w:tc>
        <w:tc>
          <w:tcPr>
            <w:tcW w:w="1360" w:type="dxa"/>
            <w:vAlign w:val="bottom"/>
            <w:gridSpan w:val="3"/>
          </w:tcPr>
          <w:p>
            <w:pPr>
              <w:jc w:val="right"/>
              <w:ind w:right="141"/>
              <w:spacing w:after="0"/>
              <w:rPr>
                <w:sz w:val="20"/>
                <w:szCs w:val="20"/>
                <w:color w:val="auto"/>
              </w:rPr>
            </w:pPr>
            <w:r>
              <w:rPr>
                <w:rFonts w:ascii="Arial" w:cs="Arial" w:eastAsia="Arial" w:hAnsi="Arial"/>
                <w:sz w:val="18"/>
                <w:szCs w:val="18"/>
                <w:b w:val="1"/>
                <w:bCs w:val="1"/>
                <w:color w:val="auto"/>
              </w:rPr>
              <w:t>649,254</w:t>
            </w:r>
          </w:p>
        </w:tc>
        <w:tc>
          <w:tcPr>
            <w:tcW w:w="13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143,812</w:t>
            </w:r>
          </w:p>
        </w:tc>
        <w:tc>
          <w:tcPr>
            <w:tcW w:w="136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691,741</w:t>
            </w:r>
          </w:p>
        </w:tc>
        <w:tc>
          <w:tcPr>
            <w:tcW w:w="1280" w:type="dxa"/>
            <w:vAlign w:val="bottom"/>
            <w:gridSpan w:val="2"/>
          </w:tcPr>
          <w:p>
            <w:pPr>
              <w:jc w:val="right"/>
              <w:ind w:right="41"/>
              <w:spacing w:after="0"/>
              <w:rPr>
                <w:sz w:val="20"/>
                <w:szCs w:val="20"/>
                <w:color w:val="auto"/>
              </w:rPr>
            </w:pPr>
            <w:r>
              <w:rPr>
                <w:rFonts w:ascii="Arial" w:cs="Arial" w:eastAsia="Arial" w:hAnsi="Arial"/>
                <w:sz w:val="18"/>
                <w:szCs w:val="18"/>
                <w:b w:val="1"/>
                <w:bCs w:val="1"/>
                <w:color w:val="auto"/>
              </w:rPr>
              <w:t>510,458</w:t>
            </w:r>
          </w:p>
        </w:tc>
        <w:tc>
          <w:tcPr>
            <w:tcW w:w="0" w:type="dxa"/>
            <w:vAlign w:val="bottom"/>
          </w:tcPr>
          <w:p>
            <w:pPr>
              <w:spacing w:after="0"/>
              <w:rPr>
                <w:sz w:val="1"/>
                <w:szCs w:val="1"/>
                <w:color w:val="auto"/>
              </w:rPr>
            </w:pPr>
          </w:p>
        </w:tc>
      </w:tr>
      <w:tr>
        <w:trPr>
          <w:trHeight w:val="20"/>
        </w:trPr>
        <w:tc>
          <w:tcPr>
            <w:tcW w:w="16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540" w:type="dxa"/>
            <w:vAlign w:val="bottom"/>
            <w:gridSpan w:val="8"/>
          </w:tcPr>
          <w:p>
            <w:pPr>
              <w:spacing w:after="0"/>
              <w:rPr>
                <w:sz w:val="20"/>
                <w:szCs w:val="20"/>
                <w:color w:val="auto"/>
              </w:rPr>
            </w:pPr>
            <w:r>
              <w:rPr>
                <w:rFonts w:ascii="Arial" w:cs="Arial" w:eastAsia="Arial" w:hAnsi="Arial"/>
                <w:sz w:val="18"/>
                <w:szCs w:val="18"/>
                <w:color w:val="auto"/>
              </w:rPr>
              <w:t>The amounts in the tables above have been compiled as follows:</w:t>
            </w:r>
          </w:p>
        </w:tc>
        <w:tc>
          <w:tcPr>
            <w:tcW w:w="1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000" w:type="dxa"/>
            <w:vAlign w:val="bottom"/>
            <w:gridSpan w:val="4"/>
          </w:tcPr>
          <w:p>
            <w:pPr>
              <w:spacing w:after="0"/>
              <w:rPr>
                <w:sz w:val="20"/>
                <w:szCs w:val="20"/>
                <w:color w:val="auto"/>
              </w:rPr>
            </w:pPr>
            <w:r>
              <w:rPr>
                <w:rFonts w:ascii="Arial" w:cs="Arial" w:eastAsia="Arial" w:hAnsi="Arial"/>
                <w:sz w:val="18"/>
                <w:szCs w:val="18"/>
                <w:b w:val="1"/>
                <w:bCs w:val="1"/>
                <w:color w:val="auto"/>
              </w:rPr>
              <w:t>Type of financial instrument</w:t>
            </w:r>
          </w:p>
        </w:tc>
        <w:tc>
          <w:tcPr>
            <w:tcW w:w="3900" w:type="dxa"/>
            <w:vAlign w:val="bottom"/>
            <w:gridSpan w:val="7"/>
          </w:tcPr>
          <w:p>
            <w:pPr>
              <w:jc w:val="right"/>
              <w:ind w:right="581"/>
              <w:spacing w:after="0"/>
              <w:rPr>
                <w:sz w:val="20"/>
                <w:szCs w:val="20"/>
                <w:color w:val="auto"/>
              </w:rPr>
            </w:pPr>
            <w:r>
              <w:rPr>
                <w:rFonts w:ascii="Arial" w:cs="Arial" w:eastAsia="Arial" w:hAnsi="Arial"/>
                <w:sz w:val="18"/>
                <w:szCs w:val="18"/>
                <w:b w:val="1"/>
                <w:bCs w:val="1"/>
                <w:color w:val="auto"/>
                <w:w w:val="98"/>
              </w:rPr>
              <w:t>Basis on which amounts are compiled</w:t>
            </w: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13" w:lineRule="exact"/>
        <w:rPr>
          <w:sz w:val="20"/>
          <w:szCs w:val="20"/>
          <w:color w:val="auto"/>
        </w:rPr>
      </w:pPr>
    </w:p>
    <w:p>
      <w:pPr>
        <w:sectPr>
          <w:pgSz w:w="11900" w:h="16838" w:orient="portrait"/>
          <w:cols w:equalWidth="0" w:num="1">
            <w:col w:w="11220"/>
          </w:cols>
          <w:pgMar w:left="320" w:top="688" w:right="359" w:bottom="1440" w:gutter="0" w:footer="0" w:header="0"/>
        </w:sectPr>
      </w:pPr>
    </w:p>
    <w:p>
      <w:pPr>
        <w:ind w:left="340"/>
        <w:spacing w:after="0"/>
        <w:rPr>
          <w:sz w:val="20"/>
          <w:szCs w:val="20"/>
          <w:color w:val="auto"/>
        </w:rPr>
      </w:pPr>
      <w:r>
        <w:rPr>
          <w:rFonts w:ascii="Arial" w:cs="Arial" w:eastAsia="Arial" w:hAnsi="Arial"/>
          <w:sz w:val="18"/>
          <w:szCs w:val="18"/>
          <w:color w:val="auto"/>
        </w:rPr>
        <w:t>Financial assets and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2065655" cy="889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3">
                      <a:extLst>
                        <a:ext uri="{28A0092B-C50C-407E-A947-70E740481C1C}"/>
                      </a:extLst>
                    </a:blip>
                    <a:srcRect/>
                    <a:stretch>
                      <a:fillRect/>
                    </a:stretch>
                  </pic:blipFill>
                  <pic:spPr bwMode="auto">
                    <a:xfrm>
                      <a:off x="0" y="0"/>
                      <a:ext cx="2065655" cy="8890"/>
                    </a:xfrm>
                    <a:prstGeom prst="rect">
                      <a:avLst/>
                    </a:prstGeom>
                    <a:noFill/>
                  </pic:spPr>
                </pic:pic>
              </a:graphicData>
            </a:graphic>
          </wp:anchor>
        </w:drawing>
      </w:r>
    </w:p>
    <w:p>
      <w:pPr>
        <w:spacing w:after="0" w:line="205" w:lineRule="exact"/>
        <w:rPr>
          <w:sz w:val="20"/>
          <w:szCs w:val="20"/>
          <w:color w:val="auto"/>
        </w:rPr>
      </w:pPr>
    </w:p>
    <w:p>
      <w:pPr>
        <w:ind w:left="340" w:right="200"/>
        <w:spacing w:after="0" w:line="277" w:lineRule="auto"/>
        <w:rPr>
          <w:sz w:val="20"/>
          <w:szCs w:val="20"/>
          <w:color w:val="auto"/>
        </w:rPr>
      </w:pPr>
      <w:r>
        <w:rPr>
          <w:rFonts w:ascii="Arial" w:cs="Arial" w:eastAsia="Arial" w:hAnsi="Arial"/>
          <w:sz w:val="18"/>
          <w:szCs w:val="18"/>
          <w:color w:val="auto"/>
        </w:rPr>
        <w:t>Issued financial guarantee contracts, and loan commitments</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Derivative financial liabilities and financial assets</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8"/>
          <w:szCs w:val="18"/>
          <w:color w:val="auto"/>
        </w:rPr>
        <w:t>Undiscounted cash flows, which include estimated interest payments.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-130175</wp:posOffset>
            </wp:positionV>
            <wp:extent cx="4783455" cy="889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4">
                      <a:extLst>
                        <a:ext uri="{28A0092B-C50C-407E-A947-70E740481C1C}"/>
                      </a:extLst>
                    </a:blip>
                    <a:srcRect/>
                    <a:stretch>
                      <a:fillRect/>
                    </a:stretch>
                  </pic:blipFill>
                  <pic:spPr bwMode="auto">
                    <a:xfrm>
                      <a:off x="0" y="0"/>
                      <a:ext cx="4783455" cy="8890"/>
                    </a:xfrm>
                    <a:prstGeom prst="rect">
                      <a:avLst/>
                    </a:prstGeom>
                    <a:noFill/>
                  </pic:spPr>
                </pic:pic>
              </a:graphicData>
            </a:graphic>
          </wp:anchor>
        </w:drawing>
      </w:r>
    </w:p>
    <w:p>
      <w:pPr>
        <w:spacing w:after="0" w:line="205" w:lineRule="exact"/>
        <w:rPr>
          <w:sz w:val="20"/>
          <w:szCs w:val="20"/>
          <w:color w:val="auto"/>
        </w:rPr>
      </w:pPr>
    </w:p>
    <w:p>
      <w:pPr>
        <w:spacing w:after="0" w:line="308" w:lineRule="auto"/>
        <w:rPr>
          <w:sz w:val="20"/>
          <w:szCs w:val="20"/>
          <w:color w:val="auto"/>
        </w:rPr>
      </w:pPr>
      <w:r>
        <w:rPr>
          <w:rFonts w:ascii="Arial" w:cs="Arial" w:eastAsia="Arial" w:hAnsi="Arial"/>
          <w:sz w:val="17"/>
          <w:szCs w:val="17"/>
          <w:color w:val="auto"/>
        </w:rPr>
        <w:t>Earliest possible contractual maturity. For issued financial guarantee contracts, the maximum amount of the guarantee is allocated to the earliest period in which the guarantee could be called.</w:t>
      </w:r>
    </w:p>
    <w:p>
      <w:pPr>
        <w:spacing w:after="0" w:line="146"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Contractual undiscounted cash flows. The amounts shown are the gross nominal inflows and outflows for derivatives that simultaneously settle gross or net amounts.</w:t>
      </w:r>
    </w:p>
    <w:p>
      <w:pPr>
        <w:spacing w:after="0" w:line="170" w:lineRule="exact"/>
        <w:rPr>
          <w:sz w:val="20"/>
          <w:szCs w:val="20"/>
          <w:color w:val="auto"/>
        </w:rPr>
      </w:pPr>
    </w:p>
    <w:p>
      <w:pPr>
        <w:sectPr>
          <w:pgSz w:w="11900" w:h="16838" w:orient="portrait"/>
          <w:cols w:equalWidth="0" w:num="2">
            <w:col w:w="3460" w:space="240"/>
            <w:col w:w="7520"/>
          </w:cols>
          <w:pgMar w:left="320" w:top="688" w:right="359" w:bottom="1440" w:gutter="0" w:footer="0" w:header="0"/>
          <w:type w:val="continuous"/>
        </w:sectPr>
      </w:pPr>
    </w:p>
    <w:p>
      <w:pPr>
        <w:jc w:val="center"/>
        <w:ind w:right="-39"/>
        <w:spacing w:after="0"/>
        <w:rPr>
          <w:sz w:val="20"/>
          <w:szCs w:val="20"/>
          <w:color w:val="auto"/>
        </w:rPr>
      </w:pPr>
      <w:r>
        <w:rPr>
          <w:rFonts w:ascii="Arial" w:cs="Arial" w:eastAsia="Arial" w:hAnsi="Arial"/>
          <w:sz w:val="16"/>
          <w:szCs w:val="16"/>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38100</wp:posOffset>
            </wp:positionV>
            <wp:extent cx="7132320" cy="889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type w:val="continuous"/>
        </w:sectPr>
      </w:pPr>
    </w:p>
    <w:bookmarkStart w:id="195" w:name="page196"/>
    <w:bookmarkEnd w:id="19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0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right="8600" w:hanging="328"/>
        <w:spacing w:after="0" w:line="566" w:lineRule="auto"/>
        <w:tabs>
          <w:tab w:leader="none" w:pos="660" w:val="left"/>
        </w:tabs>
        <w:numPr>
          <w:ilvl w:val="0"/>
          <w:numId w:val="20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Liquidity risk (continued) </w:t>
      </w:r>
      <w:r>
        <w:rPr>
          <w:rFonts w:ascii="Arial" w:cs="Arial" w:eastAsia="Arial" w:hAnsi="Arial"/>
          <w:sz w:val="16"/>
          <w:szCs w:val="16"/>
          <w:color w:val="auto"/>
        </w:rPr>
        <w:t>iii. Liquidity reserves</w:t>
      </w:r>
    </w:p>
    <w:p>
      <w:pPr>
        <w:ind w:left="340"/>
        <w:spacing w:after="0"/>
        <w:rPr>
          <w:sz w:val="20"/>
          <w:szCs w:val="20"/>
          <w:color w:val="auto"/>
        </w:rPr>
      </w:pPr>
      <w:r>
        <w:rPr>
          <w:rFonts w:ascii="Arial" w:cs="Arial" w:eastAsia="Arial" w:hAnsi="Arial"/>
          <w:sz w:val="17"/>
          <w:szCs w:val="17"/>
          <w:color w:val="auto"/>
        </w:rPr>
        <w:t>As part of the management of liquidity risk arising from financial liabilities, the Bank holds liquid assets comprising cash and cash equivalents.</w:t>
      </w:r>
    </w:p>
    <w:p>
      <w:pPr>
        <w:spacing w:after="0" w:line="23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160" w:type="dxa"/>
            <w:vAlign w:val="bottom"/>
          </w:tcPr>
          <w:p>
            <w:pPr>
              <w:spacing w:after="0"/>
              <w:rPr>
                <w:sz w:val="18"/>
                <w:szCs w:val="18"/>
                <w:color w:val="auto"/>
              </w:rPr>
            </w:pPr>
          </w:p>
        </w:tc>
        <w:tc>
          <w:tcPr>
            <w:tcW w:w="2900" w:type="dxa"/>
            <w:vAlign w:val="bottom"/>
            <w:gridSpan w:val="5"/>
          </w:tcPr>
          <w:p>
            <w:pPr>
              <w:jc w:val="center"/>
              <w:ind w:right="220"/>
              <w:spacing w:after="0"/>
              <w:rPr>
                <w:sz w:val="20"/>
                <w:szCs w:val="20"/>
                <w:color w:val="auto"/>
              </w:rPr>
            </w:pPr>
            <w:r>
              <w:rPr>
                <w:rFonts w:ascii="Arial" w:cs="Arial" w:eastAsia="Arial" w:hAnsi="Arial"/>
                <w:sz w:val="18"/>
                <w:szCs w:val="18"/>
                <w:b w:val="1"/>
                <w:bCs w:val="1"/>
                <w:color w:val="auto"/>
                <w:w w:val="88"/>
              </w:rPr>
              <w:t>December 31,</w:t>
            </w:r>
          </w:p>
        </w:tc>
        <w:tc>
          <w:tcPr>
            <w:tcW w:w="282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5160" w:type="dxa"/>
            <w:vAlign w:val="bottom"/>
          </w:tcPr>
          <w:p>
            <w:pPr>
              <w:spacing w:after="0"/>
              <w:rPr>
                <w:sz w:val="20"/>
                <w:szCs w:val="20"/>
                <w:color w:val="auto"/>
              </w:rPr>
            </w:pPr>
          </w:p>
        </w:tc>
        <w:tc>
          <w:tcPr>
            <w:tcW w:w="158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2020</w:t>
            </w:r>
          </w:p>
        </w:tc>
        <w:tc>
          <w:tcPr>
            <w:tcW w:w="11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60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rPr>
              <w:t>2019</w:t>
            </w:r>
          </w:p>
        </w:tc>
        <w:tc>
          <w:tcPr>
            <w:tcW w:w="110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160" w:type="dxa"/>
            <w:vAlign w:val="bottom"/>
          </w:tcPr>
          <w:p>
            <w:pPr>
              <w:spacing w:after="0"/>
              <w:rPr>
                <w:sz w:val="19"/>
                <w:szCs w:val="19"/>
                <w:color w:val="auto"/>
              </w:rPr>
            </w:pPr>
          </w:p>
        </w:tc>
        <w:tc>
          <w:tcPr>
            <w:tcW w:w="1580" w:type="dxa"/>
            <w:vAlign w:val="bottom"/>
            <w:gridSpan w:val="3"/>
          </w:tcPr>
          <w:p>
            <w:pPr>
              <w:ind w:left="300"/>
              <w:spacing w:after="0"/>
              <w:rPr>
                <w:sz w:val="20"/>
                <w:szCs w:val="20"/>
                <w:color w:val="auto"/>
              </w:rPr>
            </w:pPr>
            <w:r>
              <w:rPr>
                <w:rFonts w:ascii="Arial" w:cs="Arial" w:eastAsia="Arial" w:hAnsi="Arial"/>
                <w:sz w:val="18"/>
                <w:szCs w:val="18"/>
                <w:b w:val="1"/>
                <w:bCs w:val="1"/>
                <w:color w:val="auto"/>
              </w:rPr>
              <w:t>Amount</w:t>
            </w:r>
          </w:p>
        </w:tc>
        <w:tc>
          <w:tcPr>
            <w:tcW w:w="110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Fair Value</w:t>
            </w:r>
          </w:p>
        </w:tc>
        <w:tc>
          <w:tcPr>
            <w:tcW w:w="220" w:type="dxa"/>
            <w:vAlign w:val="bottom"/>
          </w:tcPr>
          <w:p>
            <w:pPr>
              <w:spacing w:after="0"/>
              <w:rPr>
                <w:sz w:val="19"/>
                <w:szCs w:val="19"/>
                <w:color w:val="auto"/>
              </w:rPr>
            </w:pPr>
          </w:p>
        </w:tc>
        <w:tc>
          <w:tcPr>
            <w:tcW w:w="1600" w:type="dxa"/>
            <w:vAlign w:val="bottom"/>
            <w:gridSpan w:val="3"/>
          </w:tcPr>
          <w:p>
            <w:pPr>
              <w:ind w:left="300"/>
              <w:spacing w:after="0"/>
              <w:rPr>
                <w:sz w:val="20"/>
                <w:szCs w:val="20"/>
                <w:color w:val="auto"/>
              </w:rPr>
            </w:pPr>
            <w:r>
              <w:rPr>
                <w:rFonts w:ascii="Arial" w:cs="Arial" w:eastAsia="Arial" w:hAnsi="Arial"/>
                <w:sz w:val="18"/>
                <w:szCs w:val="18"/>
                <w:b w:val="1"/>
                <w:bCs w:val="1"/>
                <w:color w:val="auto"/>
              </w:rPr>
              <w:t>Amount</w:t>
            </w:r>
          </w:p>
        </w:tc>
        <w:tc>
          <w:tcPr>
            <w:tcW w:w="110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Fair Value</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Balances with Central Banks</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1,129,016</w:t>
            </w:r>
          </w:p>
        </w:tc>
        <w:tc>
          <w:tcPr>
            <w:tcW w:w="2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1,129,016</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5160" w:type="dxa"/>
            <w:vAlign w:val="bottom"/>
          </w:tcPr>
          <w:p>
            <w:pPr>
              <w:spacing w:after="0" w:line="270" w:lineRule="exact"/>
              <w:rPr>
                <w:sz w:val="20"/>
                <w:szCs w:val="20"/>
                <w:color w:val="auto"/>
              </w:rPr>
            </w:pPr>
            <w:r>
              <w:rPr>
                <w:rFonts w:ascii="Arial" w:cs="Arial" w:eastAsia="Arial" w:hAnsi="Arial"/>
                <w:sz w:val="18"/>
                <w:szCs w:val="18"/>
                <w:color w:val="auto"/>
              </w:rPr>
              <w:t xml:space="preserve">Cash and balances with other bank </w:t>
            </w:r>
            <w:r>
              <w:rPr>
                <w:rFonts w:ascii="Arial" w:cs="Arial" w:eastAsia="Arial" w:hAnsi="Arial"/>
                <w:sz w:val="29"/>
                <w:szCs w:val="29"/>
                <w:color w:val="auto"/>
                <w:vertAlign w:val="superscript"/>
              </w:rPr>
              <w:t>(1)</w:t>
            </w:r>
          </w:p>
        </w:tc>
        <w:tc>
          <w:tcPr>
            <w:tcW w:w="1240" w:type="dxa"/>
            <w:vAlign w:val="bottom"/>
          </w:tcPr>
          <w:p>
            <w:pPr>
              <w:jc w:val="right"/>
              <w:spacing w:after="0"/>
              <w:rPr>
                <w:sz w:val="20"/>
                <w:szCs w:val="20"/>
                <w:color w:val="auto"/>
              </w:rPr>
            </w:pPr>
            <w:r>
              <w:rPr>
                <w:rFonts w:ascii="Arial" w:cs="Arial" w:eastAsia="Arial" w:hAnsi="Arial"/>
                <w:sz w:val="18"/>
                <w:szCs w:val="18"/>
                <w:color w:val="auto"/>
              </w:rPr>
              <w:t>157,396</w:t>
            </w:r>
          </w:p>
        </w:tc>
        <w:tc>
          <w:tcPr>
            <w:tcW w:w="20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1100" w:type="dxa"/>
            <w:vAlign w:val="bottom"/>
          </w:tcPr>
          <w:p>
            <w:pPr>
              <w:jc w:val="right"/>
              <w:spacing w:after="0"/>
              <w:rPr>
                <w:sz w:val="20"/>
                <w:szCs w:val="20"/>
                <w:color w:val="auto"/>
              </w:rPr>
            </w:pPr>
            <w:r>
              <w:rPr>
                <w:rFonts w:ascii="Arial" w:cs="Arial" w:eastAsia="Arial" w:hAnsi="Arial"/>
                <w:sz w:val="18"/>
                <w:szCs w:val="18"/>
                <w:color w:val="auto"/>
              </w:rPr>
              <w:t>157,396</w:t>
            </w:r>
          </w:p>
        </w:tc>
        <w:tc>
          <w:tcPr>
            <w:tcW w:w="220" w:type="dxa"/>
            <w:vAlign w:val="bottom"/>
          </w:tcPr>
          <w:p>
            <w:pPr>
              <w:spacing w:after="0"/>
              <w:rPr>
                <w:sz w:val="23"/>
                <w:szCs w:val="23"/>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30,702</w:t>
            </w:r>
          </w:p>
        </w:tc>
        <w:tc>
          <w:tcPr>
            <w:tcW w:w="20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30,702</w:t>
            </w:r>
          </w:p>
        </w:tc>
        <w:tc>
          <w:tcPr>
            <w:tcW w:w="0" w:type="dxa"/>
            <w:vAlign w:val="bottom"/>
          </w:tcPr>
          <w:p>
            <w:pPr>
              <w:spacing w:after="0"/>
              <w:rPr>
                <w:sz w:val="1"/>
                <w:szCs w:val="1"/>
                <w:color w:val="auto"/>
              </w:rPr>
            </w:pPr>
          </w:p>
        </w:tc>
      </w:tr>
      <w:tr>
        <w:trPr>
          <w:trHeight w:val="20"/>
        </w:trPr>
        <w:tc>
          <w:tcPr>
            <w:tcW w:w="51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 Liquidity reserves</w:t>
            </w:r>
          </w:p>
        </w:tc>
        <w:tc>
          <w:tcPr>
            <w:tcW w:w="12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5160" w:type="dxa"/>
            <w:vAlign w:val="bottom"/>
            <w:vMerge w:val="continue"/>
            <w:shd w:val="clear" w:color="auto" w:fill="CCEEFF"/>
          </w:tcPr>
          <w:p>
            <w:pPr>
              <w:spacing w:after="0"/>
              <w:rPr>
                <w:sz w:val="21"/>
                <w:szCs w:val="21"/>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20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220" w:type="dxa"/>
            <w:vAlign w:val="bottom"/>
            <w:shd w:val="clear" w:color="auto" w:fill="CCEEFF"/>
          </w:tcPr>
          <w:p>
            <w:pPr>
              <w:spacing w:after="0"/>
              <w:rPr>
                <w:sz w:val="21"/>
                <w:szCs w:val="21"/>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1,159,718</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1,159,718</w:t>
            </w:r>
          </w:p>
        </w:tc>
        <w:tc>
          <w:tcPr>
            <w:tcW w:w="0" w:type="dxa"/>
            <w:vAlign w:val="bottom"/>
          </w:tcPr>
          <w:p>
            <w:pPr>
              <w:spacing w:after="0"/>
              <w:rPr>
                <w:sz w:val="1"/>
                <w:szCs w:val="1"/>
                <w:color w:val="auto"/>
              </w:rPr>
            </w:pPr>
          </w:p>
        </w:tc>
      </w:tr>
      <w:tr>
        <w:trPr>
          <w:trHeight w:val="20"/>
        </w:trPr>
        <w:tc>
          <w:tcPr>
            <w:tcW w:w="516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29"/>
          <w:szCs w:val="29"/>
          <w:color w:val="auto"/>
          <w:vertAlign w:val="superscript"/>
        </w:rPr>
        <w:t>(1)</w:t>
      </w:r>
      <w:r>
        <w:rPr>
          <w:sz w:val="20"/>
          <w:szCs w:val="20"/>
          <w:color w:val="auto"/>
        </w:rPr>
        <w:tab/>
      </w:r>
      <w:r>
        <w:rPr>
          <w:rFonts w:ascii="Arial" w:cs="Arial" w:eastAsia="Arial" w:hAnsi="Arial"/>
          <w:sz w:val="15"/>
          <w:szCs w:val="15"/>
          <w:color w:val="auto"/>
        </w:rPr>
        <w:t>Excludes pledged deposits.</w:t>
      </w:r>
    </w:p>
    <w:p>
      <w:pPr>
        <w:spacing w:after="0" w:line="9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 :</w:t>
      </w:r>
    </w:p>
    <w:p>
      <w:pPr>
        <w:spacing w:after="0" w:line="235" w:lineRule="exact"/>
        <w:rPr>
          <w:sz w:val="20"/>
          <w:szCs w:val="20"/>
          <w:color w:val="auto"/>
        </w:rPr>
      </w:pPr>
    </w:p>
    <w:p>
      <w:pPr>
        <w:ind w:left="7160"/>
        <w:spacing w:after="0"/>
        <w:rPr>
          <w:sz w:val="20"/>
          <w:szCs w:val="20"/>
          <w:color w:val="auto"/>
        </w:rPr>
      </w:pPr>
      <w:r>
        <w:rPr>
          <w:rFonts w:ascii="Arial" w:cs="Arial" w:eastAsia="Arial" w:hAnsi="Arial"/>
          <w:sz w:val="18"/>
          <w:szCs w:val="18"/>
          <w:b w:val="1"/>
          <w:bCs w:val="1"/>
          <w:color w:val="auto"/>
        </w:rPr>
        <w:t>December 31,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4017010</wp:posOffset>
            </wp:positionH>
            <wp:positionV relativeFrom="paragraph">
              <wp:posOffset>17145</wp:posOffset>
            </wp:positionV>
            <wp:extent cx="1979930" cy="889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7">
                      <a:extLst>
                        <a:ext uri="{28A0092B-C50C-407E-A947-70E740481C1C}"/>
                      </a:extLst>
                    </a:blip>
                    <a:srcRect/>
                    <a:stretch>
                      <a:fillRect/>
                    </a:stretch>
                  </pic:blipFill>
                  <pic:spPr bwMode="auto">
                    <a:xfrm>
                      <a:off x="0" y="0"/>
                      <a:ext cx="1979930" cy="8890"/>
                    </a:xfrm>
                    <a:prstGeom prst="rect">
                      <a:avLst/>
                    </a:prstGeom>
                    <a:noFill/>
                  </pic:spPr>
                </pic:pic>
              </a:graphicData>
            </a:graphic>
          </wp:anchor>
        </w:drawing>
      </w:r>
    </w:p>
    <w:p>
      <w:pPr>
        <w:spacing w:after="0" w:line="7" w:lineRule="exact"/>
        <w:rPr>
          <w:sz w:val="20"/>
          <w:szCs w:val="20"/>
          <w:color w:val="auto"/>
        </w:rPr>
      </w:pPr>
    </w:p>
    <w:p>
      <w:pPr>
        <w:ind w:left="8240"/>
        <w:spacing w:after="0"/>
        <w:rPr>
          <w:sz w:val="20"/>
          <w:szCs w:val="20"/>
          <w:color w:val="auto"/>
        </w:rPr>
      </w:pPr>
      <w:r>
        <w:rPr>
          <w:rFonts w:ascii="Arial" w:cs="Arial" w:eastAsia="Arial" w:hAnsi="Arial"/>
          <w:sz w:val="18"/>
          <w:szCs w:val="18"/>
          <w:b w:val="1"/>
          <w:bCs w:val="1"/>
          <w:color w:val="auto"/>
        </w:rPr>
        <w:t>Available as</w:t>
      </w:r>
    </w:p>
    <w:p>
      <w:pPr>
        <w:spacing w:after="0" w:line="23" w:lineRule="exact"/>
        <w:rPr>
          <w:sz w:val="20"/>
          <w:szCs w:val="20"/>
          <w:color w:val="auto"/>
        </w:rPr>
      </w:pPr>
    </w:p>
    <w:p>
      <w:pPr>
        <w:ind w:left="6580"/>
        <w:spacing w:after="0"/>
        <w:tabs>
          <w:tab w:leader="none" w:pos="8320" w:val="left"/>
        </w:tabs>
        <w:rPr>
          <w:sz w:val="20"/>
          <w:szCs w:val="20"/>
          <w:color w:val="auto"/>
        </w:rPr>
      </w:pPr>
      <w:r>
        <w:rPr>
          <w:rFonts w:ascii="Arial" w:cs="Arial" w:eastAsia="Arial" w:hAnsi="Arial"/>
          <w:sz w:val="18"/>
          <w:szCs w:val="18"/>
          <w:b w:val="1"/>
          <w:bCs w:val="1"/>
          <w:color w:val="auto"/>
        </w:rPr>
        <w:t>Guaranteed</w:t>
      </w:r>
      <w:r>
        <w:rPr>
          <w:sz w:val="20"/>
          <w:szCs w:val="20"/>
          <w:color w:val="auto"/>
        </w:rPr>
        <w:tab/>
      </w:r>
      <w:r>
        <w:rPr>
          <w:rFonts w:ascii="Arial" w:cs="Arial" w:eastAsia="Arial" w:hAnsi="Arial"/>
          <w:sz w:val="18"/>
          <w:szCs w:val="18"/>
          <w:b w:val="1"/>
          <w:bCs w:val="1"/>
          <w:color w:val="auto"/>
        </w:rPr>
        <w:t>collateral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1076325</wp:posOffset>
            </wp:positionH>
            <wp:positionV relativeFrom="paragraph">
              <wp:posOffset>5715</wp:posOffset>
            </wp:positionV>
            <wp:extent cx="4989195" cy="14605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8">
                      <a:extLst>
                        <a:ext uri="{28A0092B-C50C-407E-A947-70E740481C1C}"/>
                      </a:extLst>
                    </a:blip>
                    <a:srcRect/>
                    <a:stretch>
                      <a:fillRect/>
                    </a:stretch>
                  </pic:blipFill>
                  <pic:spPr bwMode="auto">
                    <a:xfrm>
                      <a:off x="0" y="0"/>
                      <a:ext cx="4989195" cy="14605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p>
      <w:pPr>
        <w:spacing w:after="0" w:line="9"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Cash and due from banks</w:t>
      </w:r>
    </w:p>
    <w:p>
      <w:pPr>
        <w:spacing w:after="0" w:line="23"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Notional of investment securities</w:t>
      </w:r>
    </w:p>
    <w:p>
      <w:pPr>
        <w:spacing w:after="0" w:line="32"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Loans at amortized cost</w:t>
      </w:r>
    </w:p>
    <w:p>
      <w:pPr>
        <w:spacing w:after="0" w:line="18" w:lineRule="exact"/>
        <w:rPr>
          <w:sz w:val="20"/>
          <w:szCs w:val="20"/>
          <w:color w:val="auto"/>
        </w:rPr>
      </w:pPr>
    </w:p>
    <w:p>
      <w:pPr>
        <w:ind w:left="1700"/>
        <w:spacing w:after="0"/>
        <w:rPr>
          <w:sz w:val="20"/>
          <w:szCs w:val="20"/>
          <w:color w:val="auto"/>
        </w:rPr>
      </w:pPr>
      <w:r>
        <w:rPr>
          <w:rFonts w:ascii="Arial" w:cs="Arial" w:eastAsia="Arial" w:hAnsi="Arial"/>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5"/>
        </w:trPr>
        <w:tc>
          <w:tcPr>
            <w:tcW w:w="14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17,804</w:t>
            </w:r>
          </w:p>
        </w:tc>
        <w:tc>
          <w:tcPr>
            <w:tcW w:w="180" w:type="dxa"/>
            <w:vAlign w:val="bottom"/>
          </w:tcPr>
          <w:p>
            <w:pPr>
              <w:spacing w:after="0"/>
              <w:rPr>
                <w:sz w:val="16"/>
                <w:szCs w:val="16"/>
                <w:color w:val="auto"/>
              </w:rPr>
            </w:pPr>
          </w:p>
        </w:tc>
        <w:tc>
          <w:tcPr>
            <w:tcW w:w="14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846,008</w:t>
            </w:r>
          </w:p>
        </w:tc>
      </w:tr>
      <w:tr>
        <w:trPr>
          <w:trHeight w:val="230"/>
        </w:trPr>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11,450</w:t>
            </w:r>
          </w:p>
        </w:tc>
        <w:tc>
          <w:tcPr>
            <w:tcW w:w="1480" w:type="dxa"/>
            <w:vAlign w:val="bottom"/>
          </w:tcPr>
          <w:p>
            <w:pPr>
              <w:jc w:val="right"/>
              <w:spacing w:after="0"/>
              <w:rPr>
                <w:sz w:val="20"/>
                <w:szCs w:val="20"/>
                <w:color w:val="auto"/>
              </w:rPr>
            </w:pPr>
            <w:r>
              <w:rPr>
                <w:rFonts w:ascii="Arial" w:cs="Arial" w:eastAsia="Arial" w:hAnsi="Arial"/>
                <w:sz w:val="18"/>
                <w:szCs w:val="18"/>
                <w:color w:val="auto"/>
              </w:rPr>
              <w:t>371,900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-2936240</wp:posOffset>
            </wp:positionH>
            <wp:positionV relativeFrom="paragraph">
              <wp:posOffset>0</wp:posOffset>
            </wp:positionV>
            <wp:extent cx="4989195" cy="14541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9">
                      <a:extLst>
                        <a:ext uri="{28A0092B-C50C-407E-A947-70E740481C1C}"/>
                      </a:extLst>
                    </a:blip>
                    <a:srcRect/>
                    <a:stretch>
                      <a:fillRect/>
                    </a:stretch>
                  </pic:blipFill>
                  <pic:spPr bwMode="auto">
                    <a:xfrm>
                      <a:off x="0" y="0"/>
                      <a:ext cx="4989195" cy="145415"/>
                    </a:xfrm>
                    <a:prstGeom prst="rect">
                      <a:avLst/>
                    </a:prstGeom>
                    <a:noFill/>
                  </pic:spPr>
                </pic:pic>
              </a:graphicData>
            </a:graphic>
          </wp:anchor>
        </w:drawing>
      </w:r>
    </w:p>
    <w:p>
      <w:pPr>
        <w:ind w:left="2420" w:hanging="1029"/>
        <w:spacing w:after="0"/>
        <w:tabs>
          <w:tab w:leader="none" w:pos="2420" w:val="left"/>
        </w:tabs>
        <w:numPr>
          <w:ilvl w:val="0"/>
          <w:numId w:val="207"/>
        </w:numPr>
        <w:rPr>
          <w:rFonts w:ascii="Arial" w:cs="Arial" w:eastAsia="Arial" w:hAnsi="Arial"/>
          <w:sz w:val="15"/>
          <w:szCs w:val="15"/>
          <w:color w:val="auto"/>
        </w:rPr>
      </w:pPr>
      <w:r>
        <w:rPr>
          <w:rFonts w:ascii="Arial" w:cs="Arial" w:eastAsia="Arial" w:hAnsi="Arial"/>
          <w:sz w:val="15"/>
          <w:szCs w:val="15"/>
          <w:color w:val="auto"/>
        </w:rPr>
        <w:t>4,911,397</w:t>
      </w:r>
    </w:p>
    <w:p>
      <w:pPr>
        <w:spacing w:after="0" w:line="79" w:lineRule="exact"/>
        <w:rPr>
          <w:rFonts w:ascii="Arial" w:cs="Arial" w:eastAsia="Arial" w:hAnsi="Arial"/>
          <w:sz w:val="15"/>
          <w:szCs w:val="15"/>
          <w:color w:val="auto"/>
        </w:rPr>
      </w:pPr>
    </w:p>
    <w:p>
      <w:pPr>
        <w:ind w:left="960"/>
        <w:spacing w:after="0"/>
        <w:rPr>
          <w:rFonts w:ascii="Arial" w:cs="Arial" w:eastAsia="Arial" w:hAnsi="Arial"/>
          <w:sz w:val="15"/>
          <w:szCs w:val="15"/>
          <w:color w:val="auto"/>
        </w:rPr>
      </w:pPr>
      <w:r>
        <w:rPr>
          <w:rFonts w:ascii="Arial" w:cs="Arial" w:eastAsia="Arial" w:hAnsi="Arial"/>
          <w:sz w:val="18"/>
          <w:szCs w:val="18"/>
          <w:b w:val="1"/>
          <w:bCs w:val="1"/>
          <w:color w:val="auto"/>
        </w:rPr>
        <w:t>29,254</w:t>
      </w:r>
      <w:r>
        <w:rPr>
          <w:rFonts w:ascii="Arial" w:cs="Arial" w:eastAsia="Arial" w:hAnsi="Arial"/>
          <w:sz w:val="16"/>
          <w:szCs w:val="16"/>
          <w:b w:val="1"/>
          <w:bCs w:val="1"/>
          <w:color w:val="auto"/>
        </w:rPr>
        <w:t>6,129,305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17145</wp:posOffset>
            </wp:positionV>
            <wp:extent cx="1979930" cy="2540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0">
                      <a:extLst>
                        <a:ext uri="{28A0092B-C50C-407E-A947-70E740481C1C}"/>
                      </a:extLst>
                    </a:blip>
                    <a:srcRect/>
                    <a:stretch>
                      <a:fillRect/>
                    </a:stretch>
                  </pic:blipFill>
                  <pic:spPr bwMode="auto">
                    <a:xfrm>
                      <a:off x="0" y="0"/>
                      <a:ext cx="1979930" cy="25400"/>
                    </a:xfrm>
                    <a:prstGeom prst="rect">
                      <a:avLst/>
                    </a:prstGeom>
                    <a:noFill/>
                  </pic:spPr>
                </pic:pic>
              </a:graphicData>
            </a:graphic>
          </wp:anchor>
        </w:drawing>
        <w:drawing>
          <wp:anchor simplePos="0" relativeHeight="251657728" behindDoc="1" locked="0" layoutInCell="0" allowOverlap="1">
            <wp:simplePos x="0" y="0"/>
            <wp:positionH relativeFrom="column">
              <wp:posOffset>63500</wp:posOffset>
            </wp:positionH>
            <wp:positionV relativeFrom="paragraph">
              <wp:posOffset>-144780</wp:posOffset>
            </wp:positionV>
            <wp:extent cx="1920240" cy="889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1">
                      <a:extLst>
                        <a:ext uri="{28A0092B-C50C-407E-A947-70E740481C1C}"/>
                      </a:extLst>
                    </a:blip>
                    <a:srcRect/>
                    <a:stretch>
                      <a:fillRect/>
                    </a:stretch>
                  </pic:blipFill>
                  <pic:spPr bwMode="auto">
                    <a:xfrm>
                      <a:off x="0" y="0"/>
                      <a:ext cx="1920240" cy="8890"/>
                    </a:xfrm>
                    <a:prstGeom prst="rect">
                      <a:avLst/>
                    </a:prstGeom>
                    <a:noFill/>
                  </pic:spPr>
                </pic:pic>
              </a:graphicData>
            </a:graphic>
          </wp:anchor>
        </w:drawing>
      </w:r>
    </w:p>
    <w:p>
      <w:pPr>
        <w:spacing w:after="0" w:line="259" w:lineRule="exact"/>
        <w:rPr>
          <w:sz w:val="20"/>
          <w:szCs w:val="20"/>
          <w:color w:val="auto"/>
        </w:rPr>
      </w:pPr>
    </w:p>
    <w:p>
      <w:pPr>
        <w:ind w:left="840"/>
        <w:spacing w:after="0"/>
        <w:rPr>
          <w:sz w:val="20"/>
          <w:szCs w:val="20"/>
          <w:color w:val="auto"/>
        </w:rPr>
      </w:pPr>
      <w:r>
        <w:rPr>
          <w:rFonts w:ascii="Arial" w:cs="Arial" w:eastAsia="Arial" w:hAnsi="Arial"/>
          <w:sz w:val="18"/>
          <w:szCs w:val="18"/>
          <w:b w:val="1"/>
          <w:bCs w:val="1"/>
          <w:color w:val="auto"/>
        </w:rPr>
        <w:t>December 31,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17145</wp:posOffset>
            </wp:positionV>
            <wp:extent cx="1979930" cy="889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2">
                      <a:extLst>
                        <a:ext uri="{28A0092B-C50C-407E-A947-70E740481C1C}"/>
                      </a:extLst>
                    </a:blip>
                    <a:srcRect/>
                    <a:stretch>
                      <a:fillRect/>
                    </a:stretch>
                  </pic:blipFill>
                  <pic:spPr bwMode="auto">
                    <a:xfrm>
                      <a:off x="0" y="0"/>
                      <a:ext cx="1979930" cy="8890"/>
                    </a:xfrm>
                    <a:prstGeom prst="rect">
                      <a:avLst/>
                    </a:prstGeom>
                    <a:noFill/>
                  </pic:spPr>
                </pic:pic>
              </a:graphicData>
            </a:graphic>
          </wp:anchor>
        </w:drawing>
      </w:r>
    </w:p>
    <w:p>
      <w:pPr>
        <w:spacing w:after="0" w:line="7" w:lineRule="exact"/>
        <w:rPr>
          <w:sz w:val="20"/>
          <w:szCs w:val="20"/>
          <w:color w:val="auto"/>
        </w:rPr>
      </w:pPr>
    </w:p>
    <w:p>
      <w:pPr>
        <w:ind w:left="1920"/>
        <w:spacing w:after="0"/>
        <w:rPr>
          <w:sz w:val="20"/>
          <w:szCs w:val="20"/>
          <w:color w:val="auto"/>
        </w:rPr>
      </w:pPr>
      <w:r>
        <w:rPr>
          <w:rFonts w:ascii="Arial" w:cs="Arial" w:eastAsia="Arial" w:hAnsi="Arial"/>
          <w:sz w:val="18"/>
          <w:szCs w:val="18"/>
          <w:b w:val="1"/>
          <w:bCs w:val="1"/>
          <w:color w:val="auto"/>
        </w:rPr>
        <w:t>Available as</w:t>
      </w:r>
    </w:p>
    <w:p>
      <w:pPr>
        <w:spacing w:after="0" w:line="23" w:lineRule="exact"/>
        <w:rPr>
          <w:sz w:val="20"/>
          <w:szCs w:val="20"/>
          <w:color w:val="auto"/>
        </w:rPr>
      </w:pPr>
    </w:p>
    <w:p>
      <w:pPr>
        <w:ind w:left="260"/>
        <w:spacing w:after="0"/>
        <w:tabs>
          <w:tab w:leader="none" w:pos="2000" w:val="left"/>
        </w:tabs>
        <w:rPr>
          <w:sz w:val="20"/>
          <w:szCs w:val="20"/>
          <w:color w:val="auto"/>
        </w:rPr>
      </w:pPr>
      <w:r>
        <w:rPr>
          <w:rFonts w:ascii="Arial" w:cs="Arial" w:eastAsia="Arial" w:hAnsi="Arial"/>
          <w:sz w:val="18"/>
          <w:szCs w:val="18"/>
          <w:b w:val="1"/>
          <w:bCs w:val="1"/>
          <w:color w:val="auto"/>
        </w:rPr>
        <w:t>Guaranteed</w:t>
      </w:r>
      <w:r>
        <w:rPr>
          <w:sz w:val="20"/>
          <w:szCs w:val="20"/>
          <w:color w:val="auto"/>
        </w:rPr>
        <w:tab/>
      </w:r>
      <w:r>
        <w:rPr>
          <w:rFonts w:ascii="Arial" w:cs="Arial" w:eastAsia="Arial" w:hAnsi="Arial"/>
          <w:sz w:val="18"/>
          <w:szCs w:val="18"/>
          <w:b w:val="1"/>
          <w:bCs w:val="1"/>
          <w:color w:val="auto"/>
        </w:rPr>
        <w:t>collateral</w:t>
      </w:r>
    </w:p>
    <w:p>
      <w:pPr>
        <w:spacing w:after="0" w:line="29" w:lineRule="exact"/>
        <w:rPr>
          <w:sz w:val="20"/>
          <w:szCs w:val="20"/>
          <w:color w:val="auto"/>
        </w:rPr>
      </w:pPr>
    </w:p>
    <w:p>
      <w:pPr>
        <w:sectPr>
          <w:pgSz w:w="11900" w:h="16838" w:orient="portrait"/>
          <w:cols w:equalWidth="0" w:num="2">
            <w:col w:w="5600" w:space="720"/>
            <w:col w:w="4920"/>
          </w:cols>
          <w:pgMar w:left="320" w:top="688" w:right="33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1700" w:type="dxa"/>
            <w:vAlign w:val="bottom"/>
          </w:tcPr>
          <w:p>
            <w:pPr>
              <w:spacing w:after="0" w:line="20" w:lineRule="exact"/>
              <w:rPr>
                <w:sz w:val="1"/>
                <w:szCs w:val="1"/>
                <w:color w:val="auto"/>
              </w:rPr>
            </w:pPr>
          </w:p>
        </w:tc>
        <w:tc>
          <w:tcPr>
            <w:tcW w:w="3060" w:type="dxa"/>
            <w:vAlign w:val="bottom"/>
            <w:shd w:val="clear" w:color="auto" w:fill="CCEEFF"/>
          </w:tcPr>
          <w:p>
            <w:pPr>
              <w:spacing w:after="0" w:line="20" w:lineRule="exact"/>
              <w:rPr>
                <w:sz w:val="1"/>
                <w:szCs w:val="1"/>
                <w:color w:val="auto"/>
              </w:rPr>
            </w:pPr>
          </w:p>
        </w:tc>
        <w:tc>
          <w:tcPr>
            <w:tcW w:w="156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190"/>
        </w:trPr>
        <w:tc>
          <w:tcPr>
            <w:tcW w:w="1700" w:type="dxa"/>
            <w:vAlign w:val="bottom"/>
          </w:tcPr>
          <w:p>
            <w:pPr>
              <w:spacing w:after="0"/>
              <w:rPr>
                <w:sz w:val="16"/>
                <w:szCs w:val="16"/>
                <w:color w:val="auto"/>
              </w:rPr>
            </w:pPr>
          </w:p>
        </w:tc>
        <w:tc>
          <w:tcPr>
            <w:tcW w:w="3060" w:type="dxa"/>
            <w:vAlign w:val="bottom"/>
            <w:shd w:val="clear" w:color="auto" w:fill="CCEEFF"/>
          </w:tcPr>
          <w:p>
            <w:pPr>
              <w:spacing w:after="0" w:line="189" w:lineRule="exact"/>
              <w:rPr>
                <w:sz w:val="20"/>
                <w:szCs w:val="20"/>
                <w:color w:val="auto"/>
              </w:rPr>
            </w:pPr>
            <w:r>
              <w:rPr>
                <w:rFonts w:ascii="Arial" w:cs="Arial" w:eastAsia="Arial" w:hAnsi="Arial"/>
                <w:sz w:val="18"/>
                <w:szCs w:val="18"/>
                <w:color w:val="auto"/>
              </w:rPr>
              <w:t>Cash and due from banks</w:t>
            </w:r>
          </w:p>
        </w:tc>
        <w:tc>
          <w:tcPr>
            <w:tcW w:w="1560" w:type="dxa"/>
            <w:vAlign w:val="bottom"/>
            <w:shd w:val="clear" w:color="auto" w:fill="CCEEFF"/>
          </w:tcPr>
          <w:p>
            <w:pPr>
              <w:spacing w:after="0"/>
              <w:rPr>
                <w:sz w:val="16"/>
                <w:szCs w:val="16"/>
                <w:color w:val="auto"/>
              </w:rPr>
            </w:pPr>
          </w:p>
        </w:tc>
        <w:tc>
          <w:tcPr>
            <w:tcW w:w="1460" w:type="dxa"/>
            <w:vAlign w:val="bottom"/>
            <w:shd w:val="clear" w:color="auto" w:fill="CCEEFF"/>
          </w:tcPr>
          <w:p>
            <w:pPr>
              <w:jc w:val="right"/>
              <w:spacing w:after="0" w:line="189" w:lineRule="exact"/>
              <w:rPr>
                <w:sz w:val="20"/>
                <w:szCs w:val="20"/>
                <w:color w:val="auto"/>
              </w:rPr>
            </w:pPr>
            <w:r>
              <w:rPr>
                <w:rFonts w:ascii="Arial" w:cs="Arial" w:eastAsia="Arial" w:hAnsi="Arial"/>
                <w:sz w:val="18"/>
                <w:szCs w:val="18"/>
                <w:color w:val="auto"/>
              </w:rPr>
              <w:t>18,452</w:t>
            </w:r>
          </w:p>
        </w:tc>
        <w:tc>
          <w:tcPr>
            <w:tcW w:w="18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120"/>
              <w:spacing w:after="0" w:line="189" w:lineRule="exact"/>
              <w:rPr>
                <w:sz w:val="20"/>
                <w:szCs w:val="20"/>
                <w:color w:val="auto"/>
              </w:rPr>
            </w:pPr>
            <w:r>
              <w:rPr>
                <w:rFonts w:ascii="Arial" w:cs="Arial" w:eastAsia="Arial" w:hAnsi="Arial"/>
                <w:sz w:val="18"/>
                <w:szCs w:val="18"/>
                <w:color w:val="auto"/>
              </w:rPr>
              <w:t>1,159,718</w:t>
            </w:r>
          </w:p>
        </w:tc>
        <w:tc>
          <w:tcPr>
            <w:tcW w:w="1680" w:type="dxa"/>
            <w:vAlign w:val="bottom"/>
          </w:tcPr>
          <w:p>
            <w:pPr>
              <w:spacing w:after="0"/>
              <w:rPr>
                <w:sz w:val="16"/>
                <w:szCs w:val="16"/>
                <w:color w:val="auto"/>
              </w:rPr>
            </w:pPr>
          </w:p>
        </w:tc>
      </w:tr>
      <w:tr>
        <w:trPr>
          <w:trHeight w:val="216"/>
        </w:trPr>
        <w:tc>
          <w:tcPr>
            <w:tcW w:w="1700" w:type="dxa"/>
            <w:vAlign w:val="bottom"/>
          </w:tcPr>
          <w:p>
            <w:pPr>
              <w:spacing w:after="0"/>
              <w:rPr>
                <w:sz w:val="18"/>
                <w:szCs w:val="18"/>
                <w:color w:val="auto"/>
              </w:rPr>
            </w:pPr>
          </w:p>
        </w:tc>
        <w:tc>
          <w:tcPr>
            <w:tcW w:w="3060" w:type="dxa"/>
            <w:vAlign w:val="bottom"/>
          </w:tcPr>
          <w:p>
            <w:pPr>
              <w:spacing w:after="0"/>
              <w:rPr>
                <w:sz w:val="20"/>
                <w:szCs w:val="20"/>
                <w:color w:val="auto"/>
              </w:rPr>
            </w:pPr>
            <w:r>
              <w:rPr>
                <w:rFonts w:ascii="Arial" w:cs="Arial" w:eastAsia="Arial" w:hAnsi="Arial"/>
                <w:sz w:val="18"/>
                <w:szCs w:val="18"/>
                <w:color w:val="auto"/>
              </w:rPr>
              <w:t>Notional of investment securities</w:t>
            </w:r>
          </w:p>
        </w:tc>
        <w:tc>
          <w:tcPr>
            <w:tcW w:w="3200" w:type="dxa"/>
            <w:vAlign w:val="bottom"/>
            <w:gridSpan w:val="3"/>
          </w:tcPr>
          <w:p>
            <w:pPr>
              <w:jc w:val="right"/>
              <w:ind w:right="180"/>
              <w:spacing w:after="0"/>
              <w:rPr>
                <w:sz w:val="20"/>
                <w:szCs w:val="20"/>
                <w:color w:val="auto"/>
              </w:rPr>
            </w:pPr>
            <w:r>
              <w:rPr>
                <w:rFonts w:ascii="Arial" w:cs="Arial" w:eastAsia="Arial" w:hAnsi="Arial"/>
                <w:sz w:val="18"/>
                <w:szCs w:val="18"/>
                <w:color w:val="auto"/>
              </w:rPr>
              <w:t>40,531</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38,045</w:t>
            </w:r>
          </w:p>
        </w:tc>
        <w:tc>
          <w:tcPr>
            <w:tcW w:w="1680" w:type="dxa"/>
            <w:vAlign w:val="bottom"/>
          </w:tcPr>
          <w:p>
            <w:pPr>
              <w:spacing w:after="0"/>
              <w:rPr>
                <w:sz w:val="18"/>
                <w:szCs w:val="18"/>
                <w:color w:val="auto"/>
              </w:rPr>
            </w:pPr>
          </w:p>
        </w:tc>
      </w:tr>
      <w:tr>
        <w:trPr>
          <w:trHeight w:val="230"/>
        </w:trPr>
        <w:tc>
          <w:tcPr>
            <w:tcW w:w="1700" w:type="dxa"/>
            <w:vAlign w:val="bottom"/>
          </w:tcPr>
          <w:p>
            <w:pPr>
              <w:spacing w:after="0"/>
              <w:rPr>
                <w:sz w:val="19"/>
                <w:szCs w:val="19"/>
                <w:color w:val="auto"/>
              </w:rPr>
            </w:pPr>
          </w:p>
        </w:tc>
        <w:tc>
          <w:tcPr>
            <w:tcW w:w="306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320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5,823,333</w:t>
            </w:r>
          </w:p>
        </w:tc>
        <w:tc>
          <w:tcPr>
            <w:tcW w:w="1680" w:type="dxa"/>
            <w:vAlign w:val="bottom"/>
          </w:tcPr>
          <w:p>
            <w:pPr>
              <w:spacing w:after="0"/>
              <w:rPr>
                <w:sz w:val="19"/>
                <w:szCs w:val="19"/>
                <w:color w:val="auto"/>
              </w:rPr>
            </w:pPr>
          </w:p>
        </w:tc>
      </w:tr>
      <w:tr>
        <w:trPr>
          <w:trHeight w:val="210"/>
        </w:trPr>
        <w:tc>
          <w:tcPr>
            <w:tcW w:w="4760" w:type="dxa"/>
            <w:vAlign w:val="bottom"/>
            <w:gridSpan w:val="2"/>
          </w:tcPr>
          <w:p>
            <w:pPr>
              <w:ind w:left="1700"/>
              <w:spacing w:after="0"/>
              <w:rPr>
                <w:sz w:val="20"/>
                <w:szCs w:val="20"/>
                <w:color w:val="auto"/>
              </w:rPr>
            </w:pPr>
            <w:r>
              <w:rPr>
                <w:rFonts w:ascii="Arial" w:cs="Arial" w:eastAsia="Arial" w:hAnsi="Arial"/>
                <w:sz w:val="18"/>
                <w:szCs w:val="18"/>
                <w:b w:val="1"/>
                <w:bCs w:val="1"/>
                <w:color w:val="auto"/>
              </w:rPr>
              <w:t>Total assets</w:t>
            </w:r>
          </w:p>
        </w:tc>
        <w:tc>
          <w:tcPr>
            <w:tcW w:w="1560" w:type="dxa"/>
            <w:vAlign w:val="bottom"/>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58,983</w:t>
            </w:r>
          </w:p>
        </w:tc>
        <w:tc>
          <w:tcPr>
            <w:tcW w:w="180" w:type="dxa"/>
            <w:vAlign w:val="bottom"/>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7,021,096</w:t>
            </w:r>
          </w:p>
        </w:tc>
        <w:tc>
          <w:tcPr>
            <w:tcW w:w="120" w:type="dxa"/>
            <w:vAlign w:val="bottom"/>
          </w:tcPr>
          <w:p>
            <w:pPr>
              <w:spacing w:after="0"/>
              <w:rPr>
                <w:sz w:val="18"/>
                <w:szCs w:val="18"/>
                <w:color w:val="auto"/>
              </w:rPr>
            </w:pPr>
          </w:p>
        </w:tc>
        <w:tc>
          <w:tcPr>
            <w:tcW w:w="1680" w:type="dxa"/>
            <w:vAlign w:val="bottom"/>
          </w:tcPr>
          <w:p>
            <w:pPr>
              <w:spacing w:after="0"/>
              <w:rPr>
                <w:sz w:val="18"/>
                <w:szCs w:val="18"/>
                <w:color w:val="auto"/>
              </w:rPr>
            </w:pPr>
          </w:p>
        </w:tc>
      </w:tr>
      <w:tr>
        <w:trPr>
          <w:trHeight w:val="20"/>
        </w:trPr>
        <w:tc>
          <w:tcPr>
            <w:tcW w:w="170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15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420"/>
        </w:trPr>
        <w:tc>
          <w:tcPr>
            <w:tcW w:w="170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gridSpan w:val="3"/>
          </w:tcPr>
          <w:p>
            <w:pPr>
              <w:ind w:left="700"/>
              <w:spacing w:after="0"/>
              <w:rPr>
                <w:sz w:val="20"/>
                <w:szCs w:val="20"/>
                <w:color w:val="auto"/>
              </w:rPr>
            </w:pPr>
            <w:r>
              <w:rPr>
                <w:rFonts w:ascii="Arial" w:cs="Arial" w:eastAsia="Arial" w:hAnsi="Arial"/>
                <w:sz w:val="18"/>
                <w:szCs w:val="18"/>
                <w:color w:val="auto"/>
              </w:rPr>
              <w:t>F-60</w:t>
            </w:r>
          </w:p>
        </w:tc>
        <w:tc>
          <w:tcPr>
            <w:tcW w:w="1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type w:val="continuous"/>
        </w:sectPr>
      </w:pPr>
    </w:p>
    <w:bookmarkStart w:id="196" w:name="page197"/>
    <w:bookmarkEnd w:id="19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0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manages market risk by considering the consolidated financial situation of the Bank. For the definition of market risk and information on how the Bank manages the market risks of trading and non-trading portfolios, see note 6.</w:t>
      </w:r>
    </w:p>
    <w:p>
      <w:pPr>
        <w:spacing w:after="0" w:line="170" w:lineRule="exact"/>
        <w:rPr>
          <w:sz w:val="20"/>
          <w:szCs w:val="20"/>
          <w:color w:val="auto"/>
        </w:rPr>
      </w:pPr>
    </w:p>
    <w:p>
      <w:pPr>
        <w:ind w:left="780" w:hanging="327"/>
        <w:spacing w:after="0"/>
        <w:tabs>
          <w:tab w:leader="none" w:pos="780" w:val="left"/>
        </w:tabs>
        <w:numPr>
          <w:ilvl w:val="0"/>
          <w:numId w:val="209"/>
        </w:numPr>
        <w:rPr>
          <w:rFonts w:ascii="Arial" w:cs="Arial" w:eastAsia="Arial" w:hAnsi="Arial"/>
          <w:sz w:val="18"/>
          <w:szCs w:val="18"/>
          <w:color w:val="auto"/>
        </w:rPr>
      </w:pPr>
      <w:r>
        <w:rPr>
          <w:rFonts w:ascii="Arial" w:cs="Arial" w:eastAsia="Arial" w:hAnsi="Arial"/>
          <w:sz w:val="18"/>
          <w:szCs w:val="18"/>
          <w:color w:val="auto"/>
        </w:rPr>
        <w:t>Interest rate risk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4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680" w:type="dxa"/>
            <w:vAlign w:val="bottom"/>
            <w:tcBorders>
              <w:bottom w:val="single" w:sz="8" w:color="auto"/>
            </w:tcBorders>
            <w:gridSpan w:val="5"/>
          </w:tcPr>
          <w:p>
            <w:pPr>
              <w:jc w:val="right"/>
              <w:ind w:right="1101"/>
              <w:spacing w:after="0"/>
              <w:rPr>
                <w:sz w:val="20"/>
                <w:szCs w:val="20"/>
                <w:color w:val="auto"/>
              </w:rPr>
            </w:pPr>
            <w:r>
              <w:rPr>
                <w:rFonts w:ascii="Arial" w:cs="Arial" w:eastAsia="Arial" w:hAnsi="Arial"/>
                <w:sz w:val="18"/>
                <w:szCs w:val="18"/>
                <w:b w:val="1"/>
                <w:bCs w:val="1"/>
                <w:color w:val="auto"/>
                <w:w w:val="91"/>
              </w:rPr>
              <w:t>December 31, 2020</w:t>
            </w:r>
          </w:p>
        </w:tc>
        <w:tc>
          <w:tcPr>
            <w:tcW w:w="10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gridSpan w:val="2"/>
          </w:tcPr>
          <w:p>
            <w:pPr>
              <w:jc w:val="right"/>
              <w:ind w:right="440"/>
              <w:spacing w:after="0" w:line="191" w:lineRule="exact"/>
              <w:rPr>
                <w:sz w:val="20"/>
                <w:szCs w:val="20"/>
                <w:color w:val="auto"/>
              </w:rPr>
            </w:pPr>
            <w:r>
              <w:rPr>
                <w:rFonts w:ascii="Arial" w:cs="Arial" w:eastAsia="Arial" w:hAnsi="Arial"/>
                <w:sz w:val="18"/>
                <w:szCs w:val="18"/>
                <w:b w:val="1"/>
                <w:bCs w:val="1"/>
                <w:color w:val="auto"/>
              </w:rPr>
              <w:t>Up to 3</w:t>
            </w:r>
          </w:p>
        </w:tc>
        <w:tc>
          <w:tcPr>
            <w:tcW w:w="122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3 to 6</w:t>
            </w:r>
          </w:p>
        </w:tc>
        <w:tc>
          <w:tcPr>
            <w:tcW w:w="1220" w:type="dxa"/>
            <w:vAlign w:val="bottom"/>
            <w:gridSpan w:val="2"/>
          </w:tcPr>
          <w:p>
            <w:pPr>
              <w:jc w:val="right"/>
              <w:ind w:right="210"/>
              <w:spacing w:after="0" w:line="191" w:lineRule="exact"/>
              <w:rPr>
                <w:sz w:val="20"/>
                <w:szCs w:val="20"/>
                <w:color w:val="auto"/>
              </w:rPr>
            </w:pPr>
            <w:r>
              <w:rPr>
                <w:rFonts w:ascii="Arial" w:cs="Arial" w:eastAsia="Arial" w:hAnsi="Arial"/>
                <w:sz w:val="18"/>
                <w:szCs w:val="18"/>
                <w:b w:val="1"/>
                <w:bCs w:val="1"/>
                <w:color w:val="auto"/>
                <w:w w:val="88"/>
              </w:rPr>
              <w:t>6 months to</w:t>
            </w: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gridSpan w:val="2"/>
          </w:tcPr>
          <w:p>
            <w:pPr>
              <w:jc w:val="center"/>
              <w:ind w:right="141"/>
              <w:spacing w:after="0" w:line="191" w:lineRule="exact"/>
              <w:rPr>
                <w:sz w:val="20"/>
                <w:szCs w:val="20"/>
                <w:color w:val="auto"/>
              </w:rPr>
            </w:pPr>
            <w:r>
              <w:rPr>
                <w:rFonts w:ascii="Arial" w:cs="Arial" w:eastAsia="Arial" w:hAnsi="Arial"/>
                <w:sz w:val="18"/>
                <w:szCs w:val="18"/>
                <w:b w:val="1"/>
                <w:bCs w:val="1"/>
                <w:color w:val="auto"/>
                <w:w w:val="93"/>
              </w:rPr>
              <w:t>More than 5</w:t>
            </w:r>
          </w:p>
        </w:tc>
        <w:tc>
          <w:tcPr>
            <w:tcW w:w="1260" w:type="dxa"/>
            <w:vAlign w:val="bottom"/>
            <w:gridSpan w:val="2"/>
          </w:tcPr>
          <w:p>
            <w:pPr>
              <w:jc w:val="right"/>
              <w:ind w:right="221"/>
              <w:spacing w:after="0" w:line="191" w:lineRule="exact"/>
              <w:rPr>
                <w:sz w:val="20"/>
                <w:szCs w:val="20"/>
                <w:color w:val="auto"/>
              </w:rPr>
            </w:pPr>
            <w:r>
              <w:rPr>
                <w:rFonts w:ascii="Arial" w:cs="Arial" w:eastAsia="Arial" w:hAnsi="Arial"/>
                <w:sz w:val="18"/>
                <w:szCs w:val="18"/>
                <w:b w:val="1"/>
                <w:bCs w:val="1"/>
                <w:color w:val="auto"/>
                <w:w w:val="89"/>
              </w:rPr>
              <w:t>Non interest</w:t>
            </w:r>
          </w:p>
        </w:tc>
        <w:tc>
          <w:tcPr>
            <w:tcW w:w="10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340" w:type="dxa"/>
            <w:vAlign w:val="bottom"/>
            <w:gridSpan w:val="2"/>
          </w:tcPr>
          <w:p>
            <w:pPr>
              <w:spacing w:after="0"/>
              <w:rPr>
                <w:sz w:val="20"/>
                <w:szCs w:val="20"/>
                <w:color w:val="auto"/>
              </w:rPr>
            </w:pPr>
            <w:r>
              <w:rPr>
                <w:rFonts w:ascii="Arial" w:cs="Arial" w:eastAsia="Arial" w:hAnsi="Arial"/>
                <w:sz w:val="18"/>
                <w:szCs w:val="18"/>
                <w:b w:val="1"/>
                <w:bCs w:val="1"/>
                <w:color w:val="auto"/>
              </w:rPr>
              <w:t>Description</w:t>
            </w:r>
          </w:p>
        </w:tc>
        <w:tc>
          <w:tcPr>
            <w:tcW w:w="12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months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months</w:t>
            </w:r>
          </w:p>
        </w:tc>
        <w:tc>
          <w:tcPr>
            <w:tcW w:w="1220" w:type="dxa"/>
            <w:vAlign w:val="bottom"/>
            <w:gridSpan w:val="2"/>
          </w:tcPr>
          <w:p>
            <w:pPr>
              <w:jc w:val="right"/>
              <w:ind w:right="390"/>
              <w:spacing w:after="0"/>
              <w:rPr>
                <w:sz w:val="20"/>
                <w:szCs w:val="20"/>
                <w:color w:val="auto"/>
              </w:rPr>
            </w:pPr>
            <w:r>
              <w:rPr>
                <w:rFonts w:ascii="Arial" w:cs="Arial" w:eastAsia="Arial" w:hAnsi="Arial"/>
                <w:sz w:val="18"/>
                <w:szCs w:val="18"/>
                <w:b w:val="1"/>
                <w:bCs w:val="1"/>
                <w:color w:val="auto"/>
              </w:rPr>
              <w:t>1 year</w:t>
            </w:r>
          </w:p>
        </w:tc>
        <w:tc>
          <w:tcPr>
            <w:tcW w:w="1220" w:type="dxa"/>
            <w:vAlign w:val="bottom"/>
            <w:gridSpan w:val="2"/>
          </w:tcPr>
          <w:p>
            <w:pPr>
              <w:jc w:val="right"/>
              <w:ind w:right="201"/>
              <w:spacing w:after="0"/>
              <w:rPr>
                <w:sz w:val="20"/>
                <w:szCs w:val="20"/>
                <w:color w:val="auto"/>
              </w:rPr>
            </w:pPr>
            <w:r>
              <w:rPr>
                <w:rFonts w:ascii="Arial" w:cs="Arial" w:eastAsia="Arial" w:hAnsi="Arial"/>
                <w:sz w:val="18"/>
                <w:szCs w:val="18"/>
                <w:b w:val="1"/>
                <w:bCs w:val="1"/>
                <w:color w:val="auto"/>
                <w:w w:val="92"/>
              </w:rPr>
              <w:t>1 to 5 years</w:t>
            </w:r>
          </w:p>
        </w:tc>
        <w:tc>
          <w:tcPr>
            <w:tcW w:w="12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years</w:t>
            </w:r>
          </w:p>
        </w:tc>
        <w:tc>
          <w:tcPr>
            <w:tcW w:w="126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rate risk</w:t>
            </w:r>
          </w:p>
        </w:tc>
        <w:tc>
          <w:tcPr>
            <w:tcW w:w="116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9"/>
        </w:trPr>
        <w:tc>
          <w:tcPr>
            <w:tcW w:w="22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Demand deposits and time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859,481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3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4,331</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863,812</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3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and other financial</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9,554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9,139</w:t>
            </w:r>
          </w:p>
        </w:tc>
        <w:tc>
          <w:tcPr>
            <w:tcW w:w="12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55,960</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320,769</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395,422</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2340" w:type="dxa"/>
            <w:vAlign w:val="bottom"/>
            <w:gridSpan w:val="2"/>
          </w:tcPr>
          <w:p>
            <w:pPr>
              <w:spacing w:after="0"/>
              <w:rPr>
                <w:sz w:val="20"/>
                <w:szCs w:val="20"/>
                <w:color w:val="auto"/>
              </w:rPr>
            </w:pPr>
            <w:r>
              <w:rPr>
                <w:rFonts w:ascii="Arial" w:cs="Arial" w:eastAsia="Arial" w:hAnsi="Arial"/>
                <w:sz w:val="18"/>
                <w:szCs w:val="18"/>
                <w:color w:val="auto"/>
              </w:rPr>
              <w:t>Loans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3,468,477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895,794</w:t>
            </w:r>
          </w:p>
        </w:tc>
        <w:tc>
          <w:tcPr>
            <w:tcW w:w="1220" w:type="dxa"/>
            <w:vAlign w:val="bottom"/>
            <w:gridSpan w:val="2"/>
          </w:tcPr>
          <w:p>
            <w:pPr>
              <w:jc w:val="right"/>
              <w:ind w:right="130"/>
              <w:spacing w:after="0"/>
              <w:rPr>
                <w:sz w:val="20"/>
                <w:szCs w:val="20"/>
                <w:color w:val="auto"/>
              </w:rPr>
            </w:pPr>
            <w:r>
              <w:rPr>
                <w:rFonts w:ascii="Arial" w:cs="Arial" w:eastAsia="Arial" w:hAnsi="Arial"/>
                <w:sz w:val="18"/>
                <w:szCs w:val="18"/>
                <w:color w:val="auto"/>
              </w:rPr>
              <w:t>434,813</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color w:val="auto"/>
              </w:rPr>
              <w:t>117,262</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4,916,346</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3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4,337,512</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904,933</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490,773</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438,031</w:t>
            </w: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4,331</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6,175,580</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Demand deposits and time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(2,675,867)</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(166,317)</w:t>
            </w:r>
          </w:p>
        </w:tc>
        <w:tc>
          <w:tcPr>
            <w:tcW w:w="1220" w:type="dxa"/>
            <w:vAlign w:val="bottom"/>
            <w:gridSpan w:val="2"/>
          </w:tcPr>
          <w:p>
            <w:pPr>
              <w:jc w:val="right"/>
              <w:ind w:right="70"/>
              <w:spacing w:after="0"/>
              <w:rPr>
                <w:sz w:val="20"/>
                <w:szCs w:val="20"/>
                <w:color w:val="auto"/>
              </w:rPr>
            </w:pPr>
            <w:r>
              <w:rPr>
                <w:rFonts w:ascii="Arial" w:cs="Arial" w:eastAsia="Arial" w:hAnsi="Arial"/>
                <w:sz w:val="18"/>
                <w:szCs w:val="18"/>
                <w:color w:val="auto"/>
              </w:rPr>
              <w:t>(290,000)</w:t>
            </w:r>
          </w:p>
        </w:tc>
        <w:tc>
          <w:tcPr>
            <w:tcW w:w="1220" w:type="dxa"/>
            <w:vAlign w:val="bottom"/>
            <w:gridSpan w:val="2"/>
          </w:tcPr>
          <w:p>
            <w:pPr>
              <w:jc w:val="right"/>
              <w:ind w:right="61"/>
              <w:spacing w:after="0"/>
              <w:rPr>
                <w:sz w:val="20"/>
                <w:szCs w:val="20"/>
                <w:color w:val="auto"/>
              </w:rPr>
            </w:pPr>
            <w:r>
              <w:rPr>
                <w:rFonts w:ascii="Arial" w:cs="Arial" w:eastAsia="Arial" w:hAnsi="Arial"/>
                <w:sz w:val="18"/>
                <w:szCs w:val="18"/>
                <w:color w:val="auto"/>
              </w:rPr>
              <w:t>(6,500)</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1"/>
              <w:spacing w:after="0"/>
              <w:rPr>
                <w:sz w:val="20"/>
                <w:szCs w:val="20"/>
                <w:color w:val="auto"/>
              </w:rPr>
            </w:pPr>
            <w:r>
              <w:rPr>
                <w:rFonts w:ascii="Arial" w:cs="Arial" w:eastAsia="Arial" w:hAnsi="Arial"/>
                <w:sz w:val="18"/>
                <w:szCs w:val="18"/>
                <w:color w:val="auto"/>
              </w:rPr>
              <w:t>(216)</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(3,138,900)</w:t>
            </w:r>
          </w:p>
        </w:tc>
        <w:tc>
          <w:tcPr>
            <w:tcW w:w="0" w:type="dxa"/>
            <w:vAlign w:val="bottom"/>
          </w:tcPr>
          <w:p>
            <w:pPr>
              <w:spacing w:after="0"/>
              <w:rPr>
                <w:sz w:val="1"/>
                <w:szCs w:val="1"/>
                <w:color w:val="auto"/>
              </w:rPr>
            </w:pPr>
          </w:p>
        </w:tc>
      </w:tr>
      <w:tr>
        <w:trPr>
          <w:trHeight w:val="202"/>
        </w:trPr>
        <w:tc>
          <w:tcPr>
            <w:tcW w:w="23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sold under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(5,728)</w:t>
            </w:r>
          </w:p>
        </w:tc>
        <w:tc>
          <w:tcPr>
            <w:tcW w:w="12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(4,935)</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(10,663)</w:t>
            </w: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Borrowings and debt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(1,103,703)</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(45,859)</w:t>
            </w:r>
          </w:p>
        </w:tc>
        <w:tc>
          <w:tcPr>
            <w:tcW w:w="1220" w:type="dxa"/>
            <w:vAlign w:val="bottom"/>
            <w:gridSpan w:val="2"/>
          </w:tcPr>
          <w:p>
            <w:pPr>
              <w:jc w:val="right"/>
              <w:ind w:right="70"/>
              <w:spacing w:after="0"/>
              <w:rPr>
                <w:sz w:val="20"/>
                <w:szCs w:val="20"/>
                <w:color w:val="auto"/>
              </w:rPr>
            </w:pPr>
            <w:r>
              <w:rPr>
                <w:rFonts w:ascii="Arial" w:cs="Arial" w:eastAsia="Arial" w:hAnsi="Arial"/>
                <w:sz w:val="18"/>
                <w:szCs w:val="18"/>
                <w:color w:val="auto"/>
              </w:rPr>
              <w:t>(16,511)</w:t>
            </w:r>
          </w:p>
        </w:tc>
        <w:tc>
          <w:tcPr>
            <w:tcW w:w="1220" w:type="dxa"/>
            <w:vAlign w:val="bottom"/>
            <w:gridSpan w:val="2"/>
          </w:tcPr>
          <w:p>
            <w:pPr>
              <w:jc w:val="right"/>
              <w:ind w:right="61"/>
              <w:spacing w:after="0"/>
              <w:rPr>
                <w:sz w:val="20"/>
                <w:szCs w:val="20"/>
                <w:color w:val="auto"/>
              </w:rPr>
            </w:pPr>
            <w:r>
              <w:rPr>
                <w:rFonts w:ascii="Arial" w:cs="Arial" w:eastAsia="Arial" w:hAnsi="Arial"/>
                <w:sz w:val="18"/>
                <w:szCs w:val="18"/>
                <w:color w:val="auto"/>
              </w:rPr>
              <w:t>(794,522)</w:t>
            </w:r>
          </w:p>
        </w:tc>
        <w:tc>
          <w:tcPr>
            <w:tcW w:w="1240" w:type="dxa"/>
            <w:vAlign w:val="bottom"/>
            <w:gridSpan w:val="2"/>
          </w:tcPr>
          <w:p>
            <w:pPr>
              <w:jc w:val="right"/>
              <w:ind w:right="81"/>
              <w:spacing w:after="0"/>
              <w:rPr>
                <w:sz w:val="20"/>
                <w:szCs w:val="20"/>
                <w:color w:val="auto"/>
              </w:rPr>
            </w:pPr>
            <w:r>
              <w:rPr>
                <w:rFonts w:ascii="Arial" w:cs="Arial" w:eastAsia="Arial" w:hAnsi="Arial"/>
                <w:sz w:val="18"/>
                <w:szCs w:val="18"/>
                <w:color w:val="auto"/>
              </w:rPr>
              <w:t>(24,475)</w:t>
            </w: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(1,985,070)</w:t>
            </w:r>
          </w:p>
        </w:tc>
        <w:tc>
          <w:tcPr>
            <w:tcW w:w="0" w:type="dxa"/>
            <w:vAlign w:val="bottom"/>
          </w:tcPr>
          <w:p>
            <w:pPr>
              <w:spacing w:after="0"/>
              <w:rPr>
                <w:sz w:val="1"/>
                <w:szCs w:val="1"/>
                <w:color w:val="auto"/>
              </w:rPr>
            </w:pPr>
          </w:p>
        </w:tc>
      </w:tr>
      <w:tr>
        <w:trPr>
          <w:trHeight w:val="210"/>
        </w:trPr>
        <w:tc>
          <w:tcPr>
            <w:tcW w:w="23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(3,779,570)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(217,904)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(311,446)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(801,022)</w:t>
            </w: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(24,475)</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(216)</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(5,134,633)</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Net effect of derivative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financial instruments held</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 interest risk management</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(373)</w:t>
            </w:r>
          </w:p>
        </w:tc>
        <w:tc>
          <w:tcPr>
            <w:tcW w:w="12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58</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15,982</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839</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16,503</w:t>
            </w:r>
          </w:p>
        </w:tc>
        <w:tc>
          <w:tcPr>
            <w:tcW w:w="0" w:type="dxa"/>
            <w:vAlign w:val="bottom"/>
          </w:tcPr>
          <w:p>
            <w:pPr>
              <w:spacing w:after="0"/>
              <w:rPr>
                <w:sz w:val="1"/>
                <w:szCs w:val="1"/>
                <w:color w:val="auto"/>
              </w:rPr>
            </w:pPr>
          </w:p>
        </w:tc>
      </w:tr>
      <w:tr>
        <w:trPr>
          <w:trHeight w:val="20"/>
        </w:trPr>
        <w:tc>
          <w:tcPr>
            <w:tcW w:w="2340" w:type="dxa"/>
            <w:vAlign w:val="bottom"/>
            <w:gridSpan w:val="2"/>
            <w:vMerge w:val="restart"/>
          </w:tcPr>
          <w:p>
            <w:pPr>
              <w:spacing w:after="0"/>
              <w:rPr>
                <w:sz w:val="20"/>
                <w:szCs w:val="20"/>
                <w:color w:val="auto"/>
              </w:rPr>
            </w:pPr>
            <w:r>
              <w:rPr>
                <w:rFonts w:ascii="Arial" w:cs="Arial" w:eastAsia="Arial" w:hAnsi="Arial"/>
                <w:sz w:val="18"/>
                <w:szCs w:val="18"/>
                <w:color w:val="auto"/>
              </w:rPr>
              <w:t>Total interest rate sensitivity</w:t>
            </w: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vMerge w:val="restart"/>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02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2340" w:type="dxa"/>
            <w:vAlign w:val="bottom"/>
            <w:gridSpan w:val="2"/>
            <w:vMerge w:val="continue"/>
          </w:tcPr>
          <w:p>
            <w:pPr>
              <w:spacing w:after="0"/>
              <w:rPr>
                <w:sz w:val="21"/>
                <w:szCs w:val="21"/>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557,939</w:t>
            </w:r>
          </w:p>
        </w:tc>
        <w:tc>
          <w:tcPr>
            <w:tcW w:w="22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686,656</w:t>
            </w:r>
          </w:p>
        </w:tc>
        <w:tc>
          <w:tcPr>
            <w:tcW w:w="220" w:type="dxa"/>
            <w:vAlign w:val="bottom"/>
          </w:tcPr>
          <w:p>
            <w:pPr>
              <w:spacing w:after="0"/>
              <w:rPr>
                <w:sz w:val="21"/>
                <w:szCs w:val="21"/>
                <w:color w:val="auto"/>
              </w:rPr>
            </w:pPr>
          </w:p>
        </w:tc>
        <w:tc>
          <w:tcPr>
            <w:tcW w:w="122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179,385</w:t>
            </w: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rPr>
              <w:t>(347,009</w:t>
            </w:r>
          </w:p>
        </w:tc>
        <w:tc>
          <w:tcPr>
            <w:tcW w:w="200" w:type="dxa"/>
            <w:vAlign w:val="bottom"/>
            <w:vMerge w:val="continue"/>
          </w:tcPr>
          <w:p>
            <w:pPr>
              <w:spacing w:after="0"/>
              <w:rPr>
                <w:sz w:val="21"/>
                <w:szCs w:val="21"/>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rPr>
              <w:t>(23,636</w:t>
            </w:r>
          </w:p>
        </w:tc>
        <w:tc>
          <w:tcPr>
            <w:tcW w:w="220" w:type="dxa"/>
            <w:vAlign w:val="bottom"/>
            <w:vMerge w:val="continue"/>
          </w:tcPr>
          <w:p>
            <w:pPr>
              <w:spacing w:after="0"/>
              <w:rPr>
                <w:sz w:val="21"/>
                <w:szCs w:val="21"/>
                <w:color w:val="auto"/>
              </w:rPr>
            </w:pPr>
          </w:p>
        </w:tc>
        <w:tc>
          <w:tcPr>
            <w:tcW w:w="126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4,115</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1,057,450</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5"/>
          </w:tcPr>
          <w:p>
            <w:pPr>
              <w:jc w:val="right"/>
              <w:ind w:right="1101"/>
              <w:spacing w:after="0"/>
              <w:rPr>
                <w:sz w:val="20"/>
                <w:szCs w:val="20"/>
                <w:color w:val="auto"/>
              </w:rPr>
            </w:pPr>
            <w:r>
              <w:rPr>
                <w:rFonts w:ascii="Arial" w:cs="Arial" w:eastAsia="Arial" w:hAnsi="Arial"/>
                <w:sz w:val="18"/>
                <w:szCs w:val="18"/>
                <w:b w:val="1"/>
                <w:bCs w:val="1"/>
                <w:color w:val="auto"/>
                <w:w w:val="91"/>
              </w:rPr>
              <w:t>December 31, 2019</w:t>
            </w: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gridSpan w:val="2"/>
          </w:tcPr>
          <w:p>
            <w:pPr>
              <w:jc w:val="right"/>
              <w:ind w:right="440"/>
              <w:spacing w:after="0" w:line="191" w:lineRule="exact"/>
              <w:rPr>
                <w:sz w:val="20"/>
                <w:szCs w:val="20"/>
                <w:color w:val="auto"/>
              </w:rPr>
            </w:pPr>
            <w:r>
              <w:rPr>
                <w:rFonts w:ascii="Arial" w:cs="Arial" w:eastAsia="Arial" w:hAnsi="Arial"/>
                <w:sz w:val="18"/>
                <w:szCs w:val="18"/>
                <w:b w:val="1"/>
                <w:bCs w:val="1"/>
                <w:color w:val="auto"/>
              </w:rPr>
              <w:t>Up to 3</w:t>
            </w:r>
          </w:p>
        </w:tc>
        <w:tc>
          <w:tcPr>
            <w:tcW w:w="122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3 to 6</w:t>
            </w:r>
          </w:p>
        </w:tc>
        <w:tc>
          <w:tcPr>
            <w:tcW w:w="1220" w:type="dxa"/>
            <w:vAlign w:val="bottom"/>
            <w:gridSpan w:val="2"/>
          </w:tcPr>
          <w:p>
            <w:pPr>
              <w:jc w:val="right"/>
              <w:ind w:right="210"/>
              <w:spacing w:after="0" w:line="191" w:lineRule="exact"/>
              <w:rPr>
                <w:sz w:val="20"/>
                <w:szCs w:val="20"/>
                <w:color w:val="auto"/>
              </w:rPr>
            </w:pPr>
            <w:r>
              <w:rPr>
                <w:rFonts w:ascii="Arial" w:cs="Arial" w:eastAsia="Arial" w:hAnsi="Arial"/>
                <w:sz w:val="18"/>
                <w:szCs w:val="18"/>
                <w:b w:val="1"/>
                <w:bCs w:val="1"/>
                <w:color w:val="auto"/>
                <w:w w:val="88"/>
              </w:rPr>
              <w:t>6 months to</w:t>
            </w:r>
          </w:p>
        </w:tc>
        <w:tc>
          <w:tcPr>
            <w:tcW w:w="1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gridSpan w:val="2"/>
          </w:tcPr>
          <w:p>
            <w:pPr>
              <w:jc w:val="center"/>
              <w:ind w:right="141"/>
              <w:spacing w:after="0" w:line="191" w:lineRule="exact"/>
              <w:rPr>
                <w:sz w:val="20"/>
                <w:szCs w:val="20"/>
                <w:color w:val="auto"/>
              </w:rPr>
            </w:pPr>
            <w:r>
              <w:rPr>
                <w:rFonts w:ascii="Arial" w:cs="Arial" w:eastAsia="Arial" w:hAnsi="Arial"/>
                <w:sz w:val="18"/>
                <w:szCs w:val="18"/>
                <w:b w:val="1"/>
                <w:bCs w:val="1"/>
                <w:color w:val="auto"/>
                <w:w w:val="93"/>
              </w:rPr>
              <w:t>More than 5</w:t>
            </w:r>
          </w:p>
        </w:tc>
        <w:tc>
          <w:tcPr>
            <w:tcW w:w="1260" w:type="dxa"/>
            <w:vAlign w:val="bottom"/>
            <w:gridSpan w:val="2"/>
          </w:tcPr>
          <w:p>
            <w:pPr>
              <w:jc w:val="right"/>
              <w:ind w:right="221"/>
              <w:spacing w:after="0" w:line="191" w:lineRule="exact"/>
              <w:rPr>
                <w:sz w:val="20"/>
                <w:szCs w:val="20"/>
                <w:color w:val="auto"/>
              </w:rPr>
            </w:pPr>
            <w:r>
              <w:rPr>
                <w:rFonts w:ascii="Arial" w:cs="Arial" w:eastAsia="Arial" w:hAnsi="Arial"/>
                <w:sz w:val="18"/>
                <w:szCs w:val="18"/>
                <w:b w:val="1"/>
                <w:bCs w:val="1"/>
                <w:color w:val="auto"/>
                <w:w w:val="89"/>
              </w:rPr>
              <w:t>Non interest</w:t>
            </w:r>
          </w:p>
        </w:tc>
        <w:tc>
          <w:tcPr>
            <w:tcW w:w="10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340" w:type="dxa"/>
            <w:vAlign w:val="bottom"/>
            <w:gridSpan w:val="2"/>
          </w:tcPr>
          <w:p>
            <w:pPr>
              <w:spacing w:after="0"/>
              <w:rPr>
                <w:sz w:val="20"/>
                <w:szCs w:val="20"/>
                <w:color w:val="auto"/>
              </w:rPr>
            </w:pPr>
            <w:r>
              <w:rPr>
                <w:rFonts w:ascii="Arial" w:cs="Arial" w:eastAsia="Arial" w:hAnsi="Arial"/>
                <w:sz w:val="18"/>
                <w:szCs w:val="18"/>
                <w:b w:val="1"/>
                <w:bCs w:val="1"/>
                <w:color w:val="auto"/>
              </w:rPr>
              <w:t>Description</w:t>
            </w:r>
          </w:p>
        </w:tc>
        <w:tc>
          <w:tcPr>
            <w:tcW w:w="12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months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months</w:t>
            </w:r>
          </w:p>
        </w:tc>
        <w:tc>
          <w:tcPr>
            <w:tcW w:w="1220" w:type="dxa"/>
            <w:vAlign w:val="bottom"/>
            <w:gridSpan w:val="2"/>
          </w:tcPr>
          <w:p>
            <w:pPr>
              <w:jc w:val="right"/>
              <w:ind w:right="390"/>
              <w:spacing w:after="0"/>
              <w:rPr>
                <w:sz w:val="20"/>
                <w:szCs w:val="20"/>
                <w:color w:val="auto"/>
              </w:rPr>
            </w:pPr>
            <w:r>
              <w:rPr>
                <w:rFonts w:ascii="Arial" w:cs="Arial" w:eastAsia="Arial" w:hAnsi="Arial"/>
                <w:sz w:val="18"/>
                <w:szCs w:val="18"/>
                <w:b w:val="1"/>
                <w:bCs w:val="1"/>
                <w:color w:val="auto"/>
              </w:rPr>
              <w:t>1 year</w:t>
            </w:r>
          </w:p>
        </w:tc>
        <w:tc>
          <w:tcPr>
            <w:tcW w:w="1220" w:type="dxa"/>
            <w:vAlign w:val="bottom"/>
            <w:gridSpan w:val="2"/>
          </w:tcPr>
          <w:p>
            <w:pPr>
              <w:jc w:val="right"/>
              <w:ind w:right="201"/>
              <w:spacing w:after="0"/>
              <w:rPr>
                <w:sz w:val="20"/>
                <w:szCs w:val="20"/>
                <w:color w:val="auto"/>
              </w:rPr>
            </w:pPr>
            <w:r>
              <w:rPr>
                <w:rFonts w:ascii="Arial" w:cs="Arial" w:eastAsia="Arial" w:hAnsi="Arial"/>
                <w:sz w:val="18"/>
                <w:szCs w:val="18"/>
                <w:b w:val="1"/>
                <w:bCs w:val="1"/>
                <w:color w:val="auto"/>
                <w:w w:val="92"/>
              </w:rPr>
              <w:t>1 to 5 years</w:t>
            </w:r>
          </w:p>
        </w:tc>
        <w:tc>
          <w:tcPr>
            <w:tcW w:w="12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years</w:t>
            </w:r>
          </w:p>
        </w:tc>
        <w:tc>
          <w:tcPr>
            <w:tcW w:w="126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rate risk</w:t>
            </w:r>
          </w:p>
        </w:tc>
        <w:tc>
          <w:tcPr>
            <w:tcW w:w="116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2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Demand deposits and time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1,170,092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3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1,170,092</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3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and other financial</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assets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14,935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6,351</w:t>
            </w:r>
          </w:p>
        </w:tc>
        <w:tc>
          <w:tcPr>
            <w:tcW w:w="12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5,055</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53,300</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79,641</w:t>
            </w: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Loans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4,031,432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1,096,355</w:t>
            </w:r>
          </w:p>
        </w:tc>
        <w:tc>
          <w:tcPr>
            <w:tcW w:w="1220" w:type="dxa"/>
            <w:vAlign w:val="bottom"/>
            <w:gridSpan w:val="2"/>
          </w:tcPr>
          <w:p>
            <w:pPr>
              <w:jc w:val="right"/>
              <w:ind w:right="130"/>
              <w:spacing w:after="0"/>
              <w:rPr>
                <w:sz w:val="20"/>
                <w:szCs w:val="20"/>
                <w:color w:val="auto"/>
              </w:rPr>
            </w:pPr>
            <w:r>
              <w:rPr>
                <w:rFonts w:ascii="Arial" w:cs="Arial" w:eastAsia="Arial" w:hAnsi="Arial"/>
                <w:sz w:val="18"/>
                <w:szCs w:val="18"/>
                <w:color w:val="auto"/>
              </w:rPr>
              <w:t>548,028</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color w:val="auto"/>
              </w:rPr>
              <w:t>208,443</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8,739</w:t>
            </w:r>
          </w:p>
        </w:tc>
        <w:tc>
          <w:tcPr>
            <w:tcW w:w="126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5,892,997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3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assets</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5,216,459</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1,102,706</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553,083</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261,743</w:t>
            </w: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8,739</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7,142,730</w:t>
            </w: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40" w:type="dxa"/>
            <w:vAlign w:val="bottom"/>
            <w:gridSpan w:val="2"/>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Demand deposits and time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(2,570,324)</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(197,300)</w:t>
            </w:r>
          </w:p>
        </w:tc>
        <w:tc>
          <w:tcPr>
            <w:tcW w:w="1220" w:type="dxa"/>
            <w:vAlign w:val="bottom"/>
            <w:gridSpan w:val="2"/>
          </w:tcPr>
          <w:p>
            <w:pPr>
              <w:jc w:val="right"/>
              <w:ind w:right="70"/>
              <w:spacing w:after="0"/>
              <w:rPr>
                <w:sz w:val="20"/>
                <w:szCs w:val="20"/>
                <w:color w:val="auto"/>
              </w:rPr>
            </w:pPr>
            <w:r>
              <w:rPr>
                <w:rFonts w:ascii="Arial" w:cs="Arial" w:eastAsia="Arial" w:hAnsi="Arial"/>
                <w:sz w:val="18"/>
                <w:szCs w:val="18"/>
                <w:color w:val="auto"/>
              </w:rPr>
              <w:t>(120,419)</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1"/>
              <w:spacing w:after="0"/>
              <w:rPr>
                <w:sz w:val="20"/>
                <w:szCs w:val="20"/>
                <w:color w:val="auto"/>
              </w:rPr>
            </w:pPr>
            <w:r>
              <w:rPr>
                <w:rFonts w:ascii="Arial" w:cs="Arial" w:eastAsia="Arial" w:hAnsi="Arial"/>
                <w:sz w:val="18"/>
                <w:szCs w:val="18"/>
                <w:color w:val="auto"/>
              </w:rPr>
              <w:t>(293)</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(2,888,336)</w:t>
            </w:r>
          </w:p>
        </w:tc>
        <w:tc>
          <w:tcPr>
            <w:tcW w:w="0" w:type="dxa"/>
            <w:vAlign w:val="bottom"/>
          </w:tcPr>
          <w:p>
            <w:pPr>
              <w:spacing w:after="0"/>
              <w:rPr>
                <w:sz w:val="1"/>
                <w:szCs w:val="1"/>
                <w:color w:val="auto"/>
              </w:rPr>
            </w:pPr>
          </w:p>
        </w:tc>
      </w:tr>
      <w:tr>
        <w:trPr>
          <w:trHeight w:val="202"/>
        </w:trPr>
        <w:tc>
          <w:tcPr>
            <w:tcW w:w="234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Securities sold under</w:t>
            </w: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(40,530)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(40,530)</w:t>
            </w: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Borrowings and debt</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(2,534,382)</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(401,432)</w:t>
            </w:r>
          </w:p>
        </w:tc>
        <w:tc>
          <w:tcPr>
            <w:tcW w:w="1220" w:type="dxa"/>
            <w:vAlign w:val="bottom"/>
            <w:gridSpan w:val="2"/>
          </w:tcPr>
          <w:p>
            <w:pPr>
              <w:jc w:val="right"/>
              <w:ind w:right="70"/>
              <w:spacing w:after="0"/>
              <w:rPr>
                <w:sz w:val="20"/>
                <w:szCs w:val="20"/>
                <w:color w:val="auto"/>
              </w:rPr>
            </w:pPr>
            <w:r>
              <w:rPr>
                <w:rFonts w:ascii="Arial" w:cs="Arial" w:eastAsia="Arial" w:hAnsi="Arial"/>
                <w:sz w:val="18"/>
                <w:szCs w:val="18"/>
                <w:color w:val="auto"/>
              </w:rPr>
              <w:t>(25,261)</w:t>
            </w:r>
          </w:p>
        </w:tc>
        <w:tc>
          <w:tcPr>
            <w:tcW w:w="1220" w:type="dxa"/>
            <w:vAlign w:val="bottom"/>
            <w:gridSpan w:val="2"/>
          </w:tcPr>
          <w:p>
            <w:pPr>
              <w:jc w:val="right"/>
              <w:ind w:right="61"/>
              <w:spacing w:after="0"/>
              <w:rPr>
                <w:sz w:val="20"/>
                <w:szCs w:val="20"/>
                <w:color w:val="auto"/>
              </w:rPr>
            </w:pPr>
            <w:r>
              <w:rPr>
                <w:rFonts w:ascii="Arial" w:cs="Arial" w:eastAsia="Arial" w:hAnsi="Arial"/>
                <w:sz w:val="18"/>
                <w:szCs w:val="18"/>
                <w:color w:val="auto"/>
              </w:rPr>
              <w:t>(157,321)</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1"/>
              <w:spacing w:after="0"/>
              <w:rPr>
                <w:sz w:val="20"/>
                <w:szCs w:val="20"/>
                <w:color w:val="auto"/>
              </w:rPr>
            </w:pPr>
            <w:r>
              <w:rPr>
                <w:rFonts w:ascii="Arial" w:cs="Arial" w:eastAsia="Arial" w:hAnsi="Arial"/>
                <w:sz w:val="18"/>
                <w:szCs w:val="18"/>
                <w:color w:val="auto"/>
              </w:rPr>
              <w:t>(19,914)</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(3,138,310)</w:t>
            </w:r>
          </w:p>
        </w:tc>
        <w:tc>
          <w:tcPr>
            <w:tcW w:w="0" w:type="dxa"/>
            <w:vAlign w:val="bottom"/>
          </w:tcPr>
          <w:p>
            <w:pPr>
              <w:spacing w:after="0"/>
              <w:rPr>
                <w:sz w:val="1"/>
                <w:szCs w:val="1"/>
                <w:color w:val="auto"/>
              </w:rPr>
            </w:pPr>
          </w:p>
        </w:tc>
      </w:tr>
      <w:tr>
        <w:trPr>
          <w:trHeight w:val="210"/>
        </w:trPr>
        <w:tc>
          <w:tcPr>
            <w:tcW w:w="23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(5,145,236)</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(598,732)</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(145,680)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(157,321)</w:t>
            </w:r>
          </w:p>
        </w:tc>
        <w:tc>
          <w:tcPr>
            <w:tcW w:w="2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(20,207)</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(6,067,176)</w:t>
            </w:r>
          </w:p>
        </w:tc>
        <w:tc>
          <w:tcPr>
            <w:tcW w:w="120" w:type="dxa"/>
            <w:vAlign w:val="bottom"/>
            <w:tcBorders>
              <w:top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340" w:type="dxa"/>
            <w:vAlign w:val="bottom"/>
            <w:gridSpan w:val="2"/>
          </w:tcPr>
          <w:p>
            <w:pPr>
              <w:spacing w:after="0" w:line="201" w:lineRule="exact"/>
              <w:rPr>
                <w:sz w:val="20"/>
                <w:szCs w:val="20"/>
                <w:color w:val="auto"/>
              </w:rPr>
            </w:pPr>
            <w:r>
              <w:rPr>
                <w:rFonts w:ascii="Arial" w:cs="Arial" w:eastAsia="Arial" w:hAnsi="Arial"/>
                <w:sz w:val="18"/>
                <w:szCs w:val="18"/>
                <w:color w:val="auto"/>
              </w:rPr>
              <w:t>Net effect of derivative</w:t>
            </w: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340" w:type="dxa"/>
            <w:vAlign w:val="bottom"/>
            <w:gridSpan w:val="2"/>
          </w:tcPr>
          <w:p>
            <w:pPr>
              <w:spacing w:after="0"/>
              <w:rPr>
                <w:sz w:val="20"/>
                <w:szCs w:val="20"/>
                <w:color w:val="auto"/>
              </w:rPr>
            </w:pPr>
            <w:r>
              <w:rPr>
                <w:rFonts w:ascii="Arial" w:cs="Arial" w:eastAsia="Arial" w:hAnsi="Arial"/>
                <w:sz w:val="18"/>
                <w:szCs w:val="18"/>
                <w:color w:val="auto"/>
              </w:rPr>
              <w:t>financial instruments held</w:t>
            </w: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23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for interest risk management</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(2,425)</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(150)</w:t>
            </w:r>
          </w:p>
        </w:tc>
        <w:tc>
          <w:tcPr>
            <w:tcW w:w="12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(1,711)</w:t>
            </w:r>
          </w:p>
        </w:tc>
        <w:tc>
          <w:tcPr>
            <w:tcW w:w="12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(1,482)</w:t>
            </w:r>
          </w:p>
        </w:tc>
        <w:tc>
          <w:tcPr>
            <w:tcW w:w="12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(5,768)</w:t>
            </w:r>
          </w:p>
        </w:tc>
        <w:tc>
          <w:tcPr>
            <w:tcW w:w="0" w:type="dxa"/>
            <w:vAlign w:val="bottom"/>
          </w:tcPr>
          <w:p>
            <w:pPr>
              <w:spacing w:after="0"/>
              <w:rPr>
                <w:sz w:val="1"/>
                <w:szCs w:val="1"/>
                <w:color w:val="auto"/>
              </w:rPr>
            </w:pPr>
          </w:p>
        </w:tc>
      </w:tr>
      <w:tr>
        <w:trPr>
          <w:trHeight w:val="20"/>
        </w:trPr>
        <w:tc>
          <w:tcPr>
            <w:tcW w:w="2340" w:type="dxa"/>
            <w:vAlign w:val="bottom"/>
            <w:gridSpan w:val="2"/>
            <w:vMerge w:val="restart"/>
          </w:tcPr>
          <w:p>
            <w:pPr>
              <w:spacing w:after="0"/>
              <w:rPr>
                <w:sz w:val="20"/>
                <w:szCs w:val="20"/>
                <w:color w:val="auto"/>
              </w:rPr>
            </w:pPr>
            <w:r>
              <w:rPr>
                <w:rFonts w:ascii="Arial" w:cs="Arial" w:eastAsia="Arial" w:hAnsi="Arial"/>
                <w:sz w:val="18"/>
                <w:szCs w:val="18"/>
                <w:color w:val="auto"/>
              </w:rPr>
              <w:t>Total interest rate sensitivity</w:t>
            </w: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4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2340" w:type="dxa"/>
            <w:vAlign w:val="bottom"/>
            <w:gridSpan w:val="2"/>
            <w:vMerge w:val="continue"/>
          </w:tcPr>
          <w:p>
            <w:pPr>
              <w:spacing w:after="0"/>
              <w:rPr>
                <w:sz w:val="21"/>
                <w:szCs w:val="21"/>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68,798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503,824</w:t>
            </w:r>
          </w:p>
        </w:tc>
        <w:tc>
          <w:tcPr>
            <w:tcW w:w="122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405,692</w:t>
            </w:r>
          </w:p>
        </w:tc>
        <w:tc>
          <w:tcPr>
            <w:tcW w:w="1220" w:type="dxa"/>
            <w:vAlign w:val="bottom"/>
            <w:gridSpan w:val="2"/>
          </w:tcPr>
          <w:p>
            <w:pPr>
              <w:jc w:val="right"/>
              <w:ind w:right="121"/>
              <w:spacing w:after="0"/>
              <w:rPr>
                <w:sz w:val="20"/>
                <w:szCs w:val="20"/>
                <w:color w:val="auto"/>
              </w:rPr>
            </w:pPr>
            <w:r>
              <w:rPr>
                <w:rFonts w:ascii="Arial" w:cs="Arial" w:eastAsia="Arial" w:hAnsi="Arial"/>
                <w:sz w:val="18"/>
                <w:szCs w:val="18"/>
                <w:b w:val="1"/>
                <w:bCs w:val="1"/>
                <w:color w:val="auto"/>
              </w:rPr>
              <w:t>102,940</w:t>
            </w:r>
          </w:p>
        </w:tc>
        <w:tc>
          <w:tcPr>
            <w:tcW w:w="124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rPr>
              <w:t>8,739</w:t>
            </w:r>
          </w:p>
        </w:tc>
        <w:tc>
          <w:tcPr>
            <w:tcW w:w="1040" w:type="dxa"/>
            <w:vAlign w:val="bottom"/>
          </w:tcPr>
          <w:p>
            <w:pPr>
              <w:jc w:val="right"/>
              <w:spacing w:after="0"/>
              <w:rPr>
                <w:sz w:val="20"/>
                <w:szCs w:val="20"/>
                <w:color w:val="auto"/>
              </w:rPr>
            </w:pPr>
            <w:r>
              <w:rPr>
                <w:rFonts w:ascii="Arial" w:cs="Arial" w:eastAsia="Arial" w:hAnsi="Arial"/>
                <w:sz w:val="18"/>
                <w:szCs w:val="18"/>
                <w:b w:val="1"/>
                <w:bCs w:val="1"/>
                <w:color w:val="auto"/>
              </w:rPr>
              <w:t>(20,207</w:t>
            </w:r>
          </w:p>
        </w:tc>
        <w:tc>
          <w:tcPr>
            <w:tcW w:w="220" w:type="dxa"/>
            <w:vAlign w:val="bottom"/>
            <w:vMerge w:val="continue"/>
          </w:tcPr>
          <w:p>
            <w:pPr>
              <w:spacing w:after="0"/>
              <w:rPr>
                <w:sz w:val="21"/>
                <w:szCs w:val="21"/>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1,069,786</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parallel fall or rise in all yield curves which are assessed accordingly to market conditions.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767" w:gutter="0" w:footer="0" w:header="0"/>
        </w:sectPr>
      </w:pPr>
    </w:p>
    <w:bookmarkStart w:id="197" w:name="page198"/>
    <w:bookmarkEnd w:id="19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1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Interest rate risk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166" w:lineRule="exact"/>
        <w:rPr>
          <w:sz w:val="20"/>
          <w:szCs w:val="20"/>
          <w:color w:val="auto"/>
        </w:rPr>
      </w:pPr>
    </w:p>
    <w:tbl>
      <w:tblPr>
        <w:tblLayout w:type="fixed"/>
        <w:tblInd w:w="660" w:type="dxa"/>
        <w:tblCellMar>
          <w:top w:w="0" w:type="dxa"/>
          <w:left w:w="0" w:type="dxa"/>
          <w:bottom w:w="0" w:type="dxa"/>
          <w:right w:w="0" w:type="dxa"/>
        </w:tblCellMar>
      </w:tblPr>
      <w:tr>
        <w:trPr>
          <w:trHeight w:val="216"/>
        </w:trPr>
        <w:tc>
          <w:tcPr>
            <w:tcW w:w="586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Change in</w:t>
            </w:r>
          </w:p>
        </w:tc>
        <w:tc>
          <w:tcPr>
            <w:tcW w:w="1640" w:type="dxa"/>
            <w:vAlign w:val="bottom"/>
            <w:gridSpan w:val="2"/>
          </w:tcPr>
          <w:p>
            <w:pPr>
              <w:jc w:val="right"/>
              <w:ind w:right="481"/>
              <w:spacing w:after="0"/>
              <w:rPr>
                <w:sz w:val="20"/>
                <w:szCs w:val="20"/>
                <w:color w:val="auto"/>
              </w:rPr>
            </w:pPr>
            <w:r>
              <w:rPr>
                <w:rFonts w:ascii="Arial" w:cs="Arial" w:eastAsia="Arial" w:hAnsi="Arial"/>
                <w:sz w:val="18"/>
                <w:szCs w:val="18"/>
                <w:b w:val="1"/>
                <w:bCs w:val="1"/>
                <w:color w:val="auto"/>
              </w:rPr>
              <w:t>Effect on</w:t>
            </w:r>
          </w:p>
        </w:tc>
        <w:tc>
          <w:tcPr>
            <w:tcW w:w="1620" w:type="dxa"/>
            <w:vAlign w:val="bottom"/>
            <w:gridSpan w:val="2"/>
          </w:tcPr>
          <w:p>
            <w:pPr>
              <w:jc w:val="right"/>
              <w:ind w:right="441"/>
              <w:spacing w:after="0"/>
              <w:rPr>
                <w:sz w:val="20"/>
                <w:szCs w:val="20"/>
                <w:color w:val="auto"/>
              </w:rPr>
            </w:pPr>
            <w:r>
              <w:rPr>
                <w:rFonts w:ascii="Arial" w:cs="Arial" w:eastAsia="Arial" w:hAnsi="Arial"/>
                <w:sz w:val="18"/>
                <w:szCs w:val="18"/>
                <w:b w:val="1"/>
                <w:bCs w:val="1"/>
                <w:color w:val="auto"/>
              </w:rPr>
              <w:t>Effect on</w:t>
            </w:r>
          </w:p>
        </w:tc>
        <w:tc>
          <w:tcPr>
            <w:tcW w:w="0" w:type="dxa"/>
            <w:vAlign w:val="bottom"/>
          </w:tcPr>
          <w:p>
            <w:pPr>
              <w:spacing w:after="0"/>
              <w:rPr>
                <w:sz w:val="1"/>
                <w:szCs w:val="1"/>
                <w:color w:val="auto"/>
              </w:rPr>
            </w:pPr>
          </w:p>
        </w:tc>
      </w:tr>
      <w:tr>
        <w:trPr>
          <w:trHeight w:val="234"/>
        </w:trPr>
        <w:tc>
          <w:tcPr>
            <w:tcW w:w="586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ind w:left="200"/>
              <w:spacing w:after="0"/>
              <w:rPr>
                <w:sz w:val="20"/>
                <w:szCs w:val="20"/>
                <w:color w:val="auto"/>
              </w:rPr>
            </w:pPr>
            <w:r>
              <w:rPr>
                <w:rFonts w:ascii="Arial" w:cs="Arial" w:eastAsia="Arial" w:hAnsi="Arial"/>
                <w:sz w:val="18"/>
                <w:szCs w:val="18"/>
                <w:b w:val="1"/>
                <w:bCs w:val="1"/>
                <w:color w:val="auto"/>
              </w:rPr>
              <w:t>interest rate</w:t>
            </w:r>
          </w:p>
        </w:tc>
        <w:tc>
          <w:tcPr>
            <w:tcW w:w="10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150"/>
              <w:spacing w:after="0"/>
              <w:rPr>
                <w:sz w:val="20"/>
                <w:szCs w:val="20"/>
                <w:color w:val="auto"/>
              </w:rPr>
            </w:pPr>
            <w:r>
              <w:rPr>
                <w:rFonts w:ascii="Arial" w:cs="Arial" w:eastAsia="Arial" w:hAnsi="Arial"/>
                <w:sz w:val="18"/>
                <w:szCs w:val="18"/>
                <w:b w:val="1"/>
                <w:bCs w:val="1"/>
                <w:color w:val="auto"/>
              </w:rPr>
              <w:t>profit or loss</w:t>
            </w:r>
          </w:p>
        </w:tc>
        <w:tc>
          <w:tcPr>
            <w:tcW w:w="18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equity</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December 31, 2020</w:t>
            </w:r>
          </w:p>
        </w:tc>
        <w:tc>
          <w:tcPr>
            <w:tcW w:w="1340" w:type="dxa"/>
            <w:vAlign w:val="bottom"/>
            <w:shd w:val="clear" w:color="auto" w:fill="CCEEFF"/>
          </w:tcPr>
          <w:p>
            <w:pPr>
              <w:ind w:left="540"/>
              <w:spacing w:after="0"/>
              <w:rPr>
                <w:sz w:val="20"/>
                <w:szCs w:val="20"/>
                <w:color w:val="auto"/>
              </w:rPr>
            </w:pPr>
            <w:r>
              <w:rPr>
                <w:rFonts w:ascii="Arial" w:cs="Arial" w:eastAsia="Arial" w:hAnsi="Arial"/>
                <w:sz w:val="18"/>
                <w:szCs w:val="18"/>
                <w:color w:val="auto"/>
              </w:rPr>
              <w:t>+50 bps</w:t>
            </w:r>
          </w:p>
        </w:tc>
        <w:tc>
          <w:tcPr>
            <w:tcW w:w="100" w:type="dxa"/>
            <w:vAlign w:val="bottom"/>
            <w:shd w:val="clear" w:color="auto" w:fill="CCEEFF"/>
          </w:tcPr>
          <w:p>
            <w:pPr>
              <w:spacing w:after="0"/>
              <w:rPr>
                <w:sz w:val="20"/>
                <w:szCs w:val="20"/>
                <w:color w:val="auto"/>
              </w:rPr>
            </w:pPr>
          </w:p>
        </w:tc>
        <w:tc>
          <w:tcPr>
            <w:tcW w:w="164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1,182</w:t>
            </w:r>
          </w:p>
        </w:tc>
        <w:tc>
          <w:tcPr>
            <w:tcW w:w="162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16,618</w:t>
            </w:r>
          </w:p>
        </w:tc>
        <w:tc>
          <w:tcPr>
            <w:tcW w:w="0" w:type="dxa"/>
            <w:vAlign w:val="bottom"/>
          </w:tcPr>
          <w:p>
            <w:pPr>
              <w:spacing w:after="0"/>
              <w:rPr>
                <w:sz w:val="1"/>
                <w:szCs w:val="1"/>
                <w:color w:val="auto"/>
              </w:rPr>
            </w:pPr>
          </w:p>
        </w:tc>
      </w:tr>
      <w:tr>
        <w:trPr>
          <w:trHeight w:val="20"/>
        </w:trPr>
        <w:tc>
          <w:tcPr>
            <w:tcW w:w="586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CCEEFF"/>
              <w:bottom w:val="single" w:sz="8" w:color="CCEEFF"/>
            </w:tcBorders>
            <w:gridSpan w:val="2"/>
            <w:vMerge w:val="restart"/>
          </w:tcPr>
          <w:p>
            <w:pPr>
              <w:ind w:left="560"/>
              <w:spacing w:after="0"/>
              <w:rPr>
                <w:sz w:val="20"/>
                <w:szCs w:val="20"/>
                <w:color w:val="auto"/>
              </w:rPr>
            </w:pPr>
            <w:r>
              <w:rPr>
                <w:rFonts w:ascii="Arial" w:cs="Arial" w:eastAsia="Arial" w:hAnsi="Arial"/>
                <w:sz w:val="18"/>
                <w:szCs w:val="18"/>
                <w:color w:val="auto"/>
              </w:rPr>
              <w:t>-50 bps</w:t>
            </w: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bottom w:val="single" w:sz="8" w:color="CCEEFF"/>
            </w:tcBorders>
            <w:vMerge w:val="restart"/>
          </w:tcPr>
          <w:p>
            <w:pPr>
              <w:jc w:val="right"/>
              <w:ind w:right="41"/>
              <w:spacing w:after="0"/>
              <w:rPr>
                <w:sz w:val="20"/>
                <w:szCs w:val="20"/>
                <w:color w:val="auto"/>
              </w:rPr>
            </w:pPr>
            <w:r>
              <w:rPr>
                <w:rFonts w:ascii="Arial" w:cs="Arial" w:eastAsia="Arial" w:hAnsi="Arial"/>
                <w:sz w:val="16"/>
                <w:szCs w:val="16"/>
                <w:color w:val="auto"/>
                <w:w w:val="74"/>
              </w:rPr>
              <w:t>)</w:t>
            </w:r>
          </w:p>
        </w:tc>
        <w:tc>
          <w:tcPr>
            <w:tcW w:w="15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5860" w:type="dxa"/>
            <w:vAlign w:val="bottom"/>
            <w:tcBorders>
              <w:bottom w:val="single" w:sz="8" w:color="CCEEFF"/>
            </w:tcBorders>
          </w:tcPr>
          <w:p>
            <w:pPr>
              <w:spacing w:after="0"/>
              <w:rPr>
                <w:sz w:val="20"/>
                <w:szCs w:val="20"/>
                <w:color w:val="auto"/>
              </w:rPr>
            </w:pPr>
          </w:p>
        </w:tc>
        <w:tc>
          <w:tcPr>
            <w:tcW w:w="1440" w:type="dxa"/>
            <w:vAlign w:val="bottom"/>
            <w:tcBorders>
              <w:bottom w:val="single" w:sz="8" w:color="CCEEFF"/>
            </w:tcBorders>
            <w:gridSpan w:val="2"/>
            <w:vMerge w:val="continue"/>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(5,161</w:t>
            </w:r>
          </w:p>
        </w:tc>
        <w:tc>
          <w:tcPr>
            <w:tcW w:w="180" w:type="dxa"/>
            <w:vAlign w:val="bottom"/>
            <w:tcBorders>
              <w:bottom w:val="single" w:sz="8" w:color="CCEEFF"/>
            </w:tcBorders>
            <w:vMerge w:val="continue"/>
          </w:tcPr>
          <w:p>
            <w:pPr>
              <w:spacing w:after="0"/>
              <w:rPr>
                <w:sz w:val="20"/>
                <w:szCs w:val="20"/>
                <w:color w:val="auto"/>
              </w:rPr>
            </w:pPr>
          </w:p>
        </w:tc>
        <w:tc>
          <w:tcPr>
            <w:tcW w:w="15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107</w:t>
            </w:r>
          </w:p>
        </w:tc>
        <w:tc>
          <w:tcPr>
            <w:tcW w:w="12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8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5860" w:type="dxa"/>
            <w:vAlign w:val="bottom"/>
          </w:tcPr>
          <w:p>
            <w:pPr>
              <w:spacing w:after="0"/>
              <w:rPr>
                <w:sz w:val="20"/>
                <w:szCs w:val="20"/>
                <w:color w:val="auto"/>
              </w:rPr>
            </w:pPr>
            <w:r>
              <w:rPr>
                <w:rFonts w:ascii="Arial" w:cs="Arial" w:eastAsia="Arial" w:hAnsi="Arial"/>
                <w:sz w:val="18"/>
                <w:szCs w:val="18"/>
                <w:color w:val="auto"/>
              </w:rPr>
              <w:t>December 31, 2019</w:t>
            </w:r>
          </w:p>
        </w:tc>
        <w:tc>
          <w:tcPr>
            <w:tcW w:w="1440" w:type="dxa"/>
            <w:vAlign w:val="bottom"/>
            <w:gridSpan w:val="2"/>
          </w:tcPr>
          <w:p>
            <w:pPr>
              <w:ind w:left="540"/>
              <w:spacing w:after="0"/>
              <w:rPr>
                <w:sz w:val="20"/>
                <w:szCs w:val="20"/>
                <w:color w:val="auto"/>
              </w:rPr>
            </w:pPr>
            <w:r>
              <w:rPr>
                <w:rFonts w:ascii="Arial" w:cs="Arial" w:eastAsia="Arial" w:hAnsi="Arial"/>
                <w:sz w:val="18"/>
                <w:szCs w:val="18"/>
                <w:color w:val="auto"/>
              </w:rPr>
              <w:t>+50 bps</w:t>
            </w:r>
          </w:p>
        </w:tc>
        <w:tc>
          <w:tcPr>
            <w:tcW w:w="1640" w:type="dxa"/>
            <w:vAlign w:val="bottom"/>
            <w:gridSpan w:val="2"/>
          </w:tcPr>
          <w:p>
            <w:pPr>
              <w:jc w:val="right"/>
              <w:ind w:right="101"/>
              <w:spacing w:after="0"/>
              <w:rPr>
                <w:sz w:val="20"/>
                <w:szCs w:val="20"/>
                <w:color w:val="auto"/>
              </w:rPr>
            </w:pPr>
            <w:r>
              <w:rPr>
                <w:rFonts w:ascii="Arial" w:cs="Arial" w:eastAsia="Arial" w:hAnsi="Arial"/>
                <w:sz w:val="18"/>
                <w:szCs w:val="18"/>
                <w:color w:val="auto"/>
              </w:rPr>
              <w:t>3,064</w:t>
            </w:r>
          </w:p>
        </w:tc>
        <w:tc>
          <w:tcPr>
            <w:tcW w:w="1620" w:type="dxa"/>
            <w:vAlign w:val="bottom"/>
            <w:gridSpan w:val="2"/>
          </w:tcPr>
          <w:p>
            <w:pPr>
              <w:jc w:val="right"/>
              <w:ind w:right="41"/>
              <w:spacing w:after="0"/>
              <w:rPr>
                <w:sz w:val="20"/>
                <w:szCs w:val="20"/>
                <w:color w:val="auto"/>
              </w:rPr>
            </w:pPr>
            <w:r>
              <w:rPr>
                <w:rFonts w:ascii="Arial" w:cs="Arial" w:eastAsia="Arial" w:hAnsi="Arial"/>
                <w:sz w:val="18"/>
                <w:szCs w:val="18"/>
                <w:color w:val="auto"/>
              </w:rPr>
              <w:t>7,461</w:t>
            </w:r>
          </w:p>
        </w:tc>
        <w:tc>
          <w:tcPr>
            <w:tcW w:w="0" w:type="dxa"/>
            <w:vAlign w:val="bottom"/>
          </w:tcPr>
          <w:p>
            <w:pPr>
              <w:spacing w:after="0"/>
              <w:rPr>
                <w:sz w:val="1"/>
                <w:szCs w:val="1"/>
                <w:color w:val="auto"/>
              </w:rPr>
            </w:pPr>
          </w:p>
        </w:tc>
      </w:tr>
      <w:tr>
        <w:trPr>
          <w:trHeight w:val="197"/>
        </w:trPr>
        <w:tc>
          <w:tcPr>
            <w:tcW w:w="5860" w:type="dxa"/>
            <w:vAlign w:val="bottom"/>
            <w:tcBorders>
              <w:top w:val="single" w:sz="8" w:color="CCEEFF"/>
              <w:bottom w:val="single" w:sz="8" w:color="CCEEFF"/>
            </w:tcBorders>
            <w:shd w:val="clear" w:color="auto" w:fill="CCEEFF"/>
          </w:tcPr>
          <w:p>
            <w:pPr>
              <w:spacing w:after="0"/>
              <w:rPr>
                <w:sz w:val="17"/>
                <w:szCs w:val="17"/>
                <w:color w:val="auto"/>
              </w:rPr>
            </w:pPr>
          </w:p>
        </w:tc>
        <w:tc>
          <w:tcPr>
            <w:tcW w:w="1440" w:type="dxa"/>
            <w:vAlign w:val="bottom"/>
            <w:tcBorders>
              <w:top w:val="single" w:sz="8" w:color="CCEEFF"/>
              <w:bottom w:val="single" w:sz="8" w:color="CCEEFF"/>
            </w:tcBorders>
            <w:gridSpan w:val="2"/>
            <w:shd w:val="clear" w:color="auto" w:fill="CCEEFF"/>
          </w:tcPr>
          <w:p>
            <w:pPr>
              <w:ind w:left="560"/>
              <w:spacing w:after="0" w:line="190" w:lineRule="exact"/>
              <w:rPr>
                <w:sz w:val="20"/>
                <w:szCs w:val="20"/>
                <w:color w:val="auto"/>
              </w:rPr>
            </w:pPr>
            <w:r>
              <w:rPr>
                <w:rFonts w:ascii="Arial" w:cs="Arial" w:eastAsia="Arial" w:hAnsi="Arial"/>
                <w:sz w:val="18"/>
                <w:szCs w:val="18"/>
                <w:color w:val="auto"/>
              </w:rPr>
              <w:t>-50 bps</w:t>
            </w:r>
          </w:p>
        </w:tc>
        <w:tc>
          <w:tcPr>
            <w:tcW w:w="146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(3,064</w:t>
            </w:r>
          </w:p>
        </w:tc>
        <w:tc>
          <w:tcPr>
            <w:tcW w:w="180" w:type="dxa"/>
            <w:vAlign w:val="bottom"/>
            <w:tcBorders>
              <w:top w:val="single" w:sz="8" w:color="CCEEFF"/>
              <w:bottom w:val="single" w:sz="8" w:color="CCEEFF"/>
            </w:tcBorders>
            <w:shd w:val="clear" w:color="auto" w:fill="CCEEFF"/>
          </w:tcPr>
          <w:p>
            <w:pPr>
              <w:jc w:val="right"/>
              <w:ind w:right="41"/>
              <w:spacing w:after="0"/>
              <w:rPr>
                <w:sz w:val="20"/>
                <w:szCs w:val="20"/>
                <w:color w:val="auto"/>
              </w:rPr>
            </w:pPr>
            <w:r>
              <w:rPr>
                <w:rFonts w:ascii="Arial" w:cs="Arial" w:eastAsia="Arial" w:hAnsi="Arial"/>
                <w:sz w:val="16"/>
                <w:szCs w:val="16"/>
                <w:color w:val="auto"/>
                <w:w w:val="74"/>
              </w:rPr>
              <w:t>)</w:t>
            </w:r>
          </w:p>
        </w:tc>
        <w:tc>
          <w:tcPr>
            <w:tcW w:w="15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(7,461</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586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25" w:lineRule="exact"/>
        <w:rPr>
          <w:sz w:val="20"/>
          <w:szCs w:val="20"/>
          <w:color w:val="auto"/>
        </w:rPr>
      </w:pPr>
    </w:p>
    <w:p>
      <w:pPr>
        <w:ind w:left="980" w:hanging="324"/>
        <w:spacing w:after="0"/>
        <w:tabs>
          <w:tab w:leader="none" w:pos="98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211"/>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0"/>
          <w:numId w:val="211"/>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2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 consideration of changes in interest rates, considering last period interest rate volatility.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iii.  Foreign exchange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Assets</w:t>
      </w:r>
    </w:p>
    <w:p>
      <w:pPr>
        <w:spacing w:after="0" w:line="9" w:lineRule="exact"/>
        <w:rPr>
          <w:sz w:val="20"/>
          <w:szCs w:val="20"/>
          <w:color w:val="auto"/>
        </w:rPr>
      </w:pPr>
    </w:p>
    <w:p>
      <w:pPr>
        <w:ind w:left="340"/>
        <w:spacing w:after="0" w:line="260" w:lineRule="auto"/>
        <w:rPr>
          <w:sz w:val="20"/>
          <w:szCs w:val="20"/>
          <w:color w:val="auto"/>
        </w:rPr>
      </w:pPr>
      <w:r>
        <w:rPr>
          <w:rFonts w:ascii="Arial" w:cs="Arial" w:eastAsia="Arial" w:hAnsi="Arial"/>
          <w:sz w:val="18"/>
          <w:szCs w:val="18"/>
          <w:color w:val="auto"/>
        </w:rPr>
        <w:t>Cash and due from banks Loans</w:t>
      </w:r>
    </w:p>
    <w:p>
      <w:pPr>
        <w:spacing w:after="0" w:line="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Assets</w:t>
      </w:r>
    </w:p>
    <w:p>
      <w:pPr>
        <w:spacing w:after="0" w:line="293" w:lineRule="exact"/>
        <w:rPr>
          <w:sz w:val="20"/>
          <w:szCs w:val="20"/>
          <w:color w:val="auto"/>
        </w:rPr>
      </w:pPr>
    </w:p>
    <w:p>
      <w:pPr>
        <w:ind w:left="340" w:right="320"/>
        <w:spacing w:after="0" w:line="314" w:lineRule="auto"/>
        <w:rPr>
          <w:sz w:val="20"/>
          <w:szCs w:val="20"/>
          <w:color w:val="auto"/>
        </w:rPr>
      </w:pPr>
      <w:r>
        <w:rPr>
          <w:rFonts w:ascii="Arial" w:cs="Arial" w:eastAsia="Arial" w:hAnsi="Arial"/>
          <w:sz w:val="16"/>
          <w:szCs w:val="16"/>
          <w:b w:val="1"/>
          <w:bCs w:val="1"/>
          <w:color w:val="auto"/>
        </w:rPr>
        <w:t xml:space="preserve">Liabilities </w:t>
      </w:r>
      <w:r>
        <w:rPr>
          <w:rFonts w:ascii="Arial" w:cs="Arial" w:eastAsia="Arial" w:hAnsi="Arial"/>
          <w:sz w:val="16"/>
          <w:szCs w:val="16"/>
          <w:color w:val="auto"/>
        </w:rPr>
        <w:t>Borrowings and debt</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348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93"/>
              </w:rPr>
              <w:t>Brazilian</w:t>
            </w:r>
          </w:p>
        </w:tc>
        <w:tc>
          <w:tcPr>
            <w:tcW w:w="1220" w:type="dxa"/>
            <w:vAlign w:val="bottom"/>
            <w:tcBorders>
              <w:top w:val="single" w:sz="8" w:color="auto"/>
            </w:tcBorders>
            <w:gridSpan w:val="2"/>
            <w:vMerge w:val="restart"/>
          </w:tcPr>
          <w:p>
            <w:pPr>
              <w:jc w:val="right"/>
              <w:ind w:right="360"/>
              <w:spacing w:after="0"/>
              <w:rPr>
                <w:sz w:val="20"/>
                <w:szCs w:val="20"/>
                <w:color w:val="auto"/>
              </w:rPr>
            </w:pPr>
            <w:r>
              <w:rPr>
                <w:rFonts w:ascii="Arial" w:cs="Arial" w:eastAsia="Arial" w:hAnsi="Arial"/>
                <w:sz w:val="18"/>
                <w:szCs w:val="18"/>
                <w:b w:val="1"/>
                <w:bCs w:val="1"/>
                <w:color w:val="auto"/>
              </w:rPr>
              <w:t>European</w:t>
            </w:r>
          </w:p>
        </w:tc>
        <w:tc>
          <w:tcPr>
            <w:tcW w:w="1240" w:type="dxa"/>
            <w:vAlign w:val="bottom"/>
            <w:tcBorders>
              <w:top w:val="single" w:sz="8" w:color="auto"/>
            </w:tcBorders>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85"/>
              </w:rPr>
              <w:t>Japanese</w:t>
            </w:r>
          </w:p>
        </w:tc>
        <w:tc>
          <w:tcPr>
            <w:tcW w:w="122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8"/>
                <w:szCs w:val="18"/>
                <w:b w:val="1"/>
                <w:bCs w:val="1"/>
                <w:color w:val="auto"/>
                <w:w w:val="94"/>
              </w:rPr>
              <w:t>Colombian</w:t>
            </w:r>
          </w:p>
        </w:tc>
        <w:tc>
          <w:tcPr>
            <w:tcW w:w="1220" w:type="dxa"/>
            <w:vAlign w:val="bottom"/>
            <w:tcBorders>
              <w:top w:val="single" w:sz="8" w:color="auto"/>
            </w:tcBorders>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Mexican</w:t>
            </w:r>
          </w:p>
        </w:tc>
        <w:tc>
          <w:tcPr>
            <w:tcW w:w="126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5"/>
              </w:rPr>
              <w:t>Other</w:t>
            </w:r>
          </w:p>
        </w:tc>
        <w:tc>
          <w:tcPr>
            <w:tcW w:w="104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20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4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6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89"/>
              </w:rPr>
              <w:t>Currencies</w:t>
            </w: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Real</w:t>
            </w: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Euro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040" w:type="dxa"/>
            <w:vAlign w:val="bottom"/>
          </w:tcPr>
          <w:p>
            <w:pPr>
              <w:jc w:val="center"/>
              <w:spacing w:after="0"/>
              <w:rPr>
                <w:sz w:val="20"/>
                <w:szCs w:val="20"/>
                <w:color w:val="auto"/>
              </w:rPr>
            </w:pPr>
            <w:r>
              <w:rPr>
                <w:rFonts w:ascii="Arial" w:cs="Arial" w:eastAsia="Arial" w:hAnsi="Arial"/>
                <w:sz w:val="15"/>
                <w:szCs w:val="15"/>
                <w:b w:val="1"/>
                <w:bCs w:val="1"/>
                <w:color w:val="auto"/>
                <w:w w:val="97"/>
              </w:rPr>
              <w:t>(1)</w:t>
            </w:r>
          </w:p>
        </w:tc>
        <w:tc>
          <w:tcPr>
            <w:tcW w:w="220" w:type="dxa"/>
            <w:vAlign w:val="bottom"/>
          </w:tcPr>
          <w:p>
            <w:pPr>
              <w:spacing w:after="0"/>
              <w:rPr>
                <w:sz w:val="20"/>
                <w:szCs w:val="20"/>
                <w:color w:val="auto"/>
              </w:rPr>
            </w:pPr>
          </w:p>
        </w:tc>
        <w:tc>
          <w:tcPr>
            <w:tcW w:w="110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4"/>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5.19</w:t>
            </w:r>
          </w:p>
        </w:tc>
        <w:tc>
          <w:tcPr>
            <w:tcW w:w="20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103.23</w:t>
            </w:r>
          </w:p>
        </w:tc>
        <w:tc>
          <w:tcPr>
            <w:tcW w:w="22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3,430.19</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19.92</w:t>
            </w:r>
          </w:p>
        </w:tc>
        <w:tc>
          <w:tcPr>
            <w:tcW w:w="20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17"/>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81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20</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1,615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80</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1,810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182,395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182,395</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gridSpan w:val="2"/>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81</w:t>
            </w:r>
          </w:p>
        </w:tc>
        <w:tc>
          <w:tcPr>
            <w:tcW w:w="200" w:type="dxa"/>
            <w:vAlign w:val="bottom"/>
          </w:tcPr>
          <w:p>
            <w:pPr>
              <w:spacing w:after="0"/>
              <w:rPr>
                <w:sz w:val="21"/>
                <w:szCs w:val="21"/>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13</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20</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184,010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80</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184,205</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0"/>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(183,863)</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3"/>
          </w:tcPr>
          <w:p>
            <w:pPr>
              <w:jc w:val="right"/>
              <w:spacing w:after="0"/>
              <w:rPr>
                <w:sz w:val="20"/>
                <w:szCs w:val="20"/>
                <w:color w:val="auto"/>
              </w:rPr>
            </w:pPr>
            <w:r>
              <w:rPr>
                <w:rFonts w:ascii="Arial" w:cs="Arial" w:eastAsia="Arial" w:hAnsi="Arial"/>
                <w:sz w:val="18"/>
                <w:szCs w:val="18"/>
                <w:color w:val="auto"/>
              </w:rPr>
              <w:t>(183,863)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-1503045</wp:posOffset>
            </wp:positionH>
            <wp:positionV relativeFrom="paragraph">
              <wp:posOffset>-1181100</wp:posOffset>
            </wp:positionV>
            <wp:extent cx="6917690" cy="14605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6">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-897890</wp:posOffset>
            </wp:positionV>
            <wp:extent cx="6917690" cy="13716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7">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-615315</wp:posOffset>
            </wp:positionV>
            <wp:extent cx="6917690" cy="18034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8">
                      <a:extLst>
                        <a:ext uri="{28A0092B-C50C-407E-A947-70E740481C1C}"/>
                      </a:extLst>
                    </a:blip>
                    <a:srcRect/>
                    <a:stretch>
                      <a:fillRect/>
                    </a:stretch>
                  </pic:blipFill>
                  <pic:spPr bwMode="auto">
                    <a:xfrm>
                      <a:off x="0" y="0"/>
                      <a:ext cx="6917690" cy="18034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-280670</wp:posOffset>
            </wp:positionV>
            <wp:extent cx="6917690" cy="13716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9">
                      <a:extLst>
                        <a:ext uri="{28A0092B-C50C-407E-A947-70E740481C1C}"/>
                      </a:extLst>
                    </a:blip>
                    <a:srcRect/>
                    <a:stretch>
                      <a:fillRect/>
                    </a:stretch>
                  </pic:blipFill>
                  <pic:spPr bwMode="auto">
                    <a:xfrm>
                      <a:off x="0" y="0"/>
                      <a:ext cx="6917690" cy="13716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2160" w:space="540"/>
            <w:col w:w="8540"/>
          </w:cols>
          <w:pgMar w:left="320" w:top="688" w:right="339" w:bottom="1440" w:gutter="0" w:footer="0" w:header="0"/>
          <w:type w:val="continuous"/>
        </w:sectPr>
      </w:pPr>
    </w:p>
    <w:tbl>
      <w:tblPr>
        <w:tblLayout w:type="fixed"/>
        <w:tblInd w:w="340" w:type="dxa"/>
        <w:tblCellMar>
          <w:top w:w="0" w:type="dxa"/>
          <w:left w:w="0" w:type="dxa"/>
          <w:bottom w:w="0" w:type="dxa"/>
          <w:right w:w="0" w:type="dxa"/>
        </w:tblCellMar>
      </w:tblPr>
      <w:tr>
        <w:trPr>
          <w:trHeight w:val="20"/>
        </w:trPr>
        <w:tc>
          <w:tcPr>
            <w:tcW w:w="236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r>
      <w:tr>
        <w:trPr>
          <w:trHeight w:val="232"/>
        </w:trPr>
        <w:tc>
          <w:tcPr>
            <w:tcW w:w="2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(183,863)</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(183,863)</w:t>
            </w:r>
          </w:p>
        </w:tc>
      </w:tr>
      <w:tr>
        <w:trPr>
          <w:trHeight w:val="20"/>
        </w:trPr>
        <w:tc>
          <w:tcPr>
            <w:tcW w:w="23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r>
        <w:trPr>
          <w:trHeight w:val="197"/>
        </w:trPr>
        <w:tc>
          <w:tcPr>
            <w:tcW w:w="23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56"/>
        </w:trPr>
        <w:tc>
          <w:tcPr>
            <w:tcW w:w="2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81</w:t>
            </w:r>
          </w:p>
        </w:tc>
        <w:tc>
          <w:tcPr>
            <w:tcW w:w="12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13</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20</w:t>
            </w:r>
          </w:p>
        </w:tc>
        <w:tc>
          <w:tcPr>
            <w:tcW w:w="12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147</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80</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342</w:t>
            </w:r>
          </w:p>
        </w:tc>
      </w:tr>
      <w:tr>
        <w:trPr>
          <w:trHeight w:val="20"/>
        </w:trPr>
        <w:tc>
          <w:tcPr>
            <w:tcW w:w="23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185" w:lineRule="exact"/>
        <w:rPr>
          <w:sz w:val="20"/>
          <w:szCs w:val="20"/>
          <w:color w:val="auto"/>
        </w:rPr>
      </w:pPr>
    </w:p>
    <w:p>
      <w:pPr>
        <w:ind w:left="540" w:hanging="208"/>
        <w:spacing w:after="0"/>
        <w:tabs>
          <w:tab w:leader="none" w:pos="540" w:val="left"/>
        </w:tabs>
        <w:numPr>
          <w:ilvl w:val="0"/>
          <w:numId w:val="212"/>
        </w:numPr>
        <w:rPr>
          <w:rFonts w:ascii="Arial" w:cs="Arial" w:eastAsia="Arial" w:hAnsi="Arial"/>
          <w:sz w:val="25"/>
          <w:szCs w:val="25"/>
          <w:color w:val="auto"/>
          <w:vertAlign w:val="superscript"/>
        </w:rPr>
      </w:pPr>
      <w:r>
        <w:rPr>
          <w:rFonts w:ascii="Arial" w:cs="Arial" w:eastAsia="Arial" w:hAnsi="Arial"/>
          <w:sz w:val="15"/>
          <w:szCs w:val="15"/>
          <w:color w:val="auto"/>
        </w:rPr>
        <w:t>It includes other currencies such as: Argentine pesos, Australian dollar, Swiss franc, Sterling pound, Peruvian soles, and Chinese renminbi.</w:t>
      </w:r>
    </w:p>
    <w:p>
      <w:pPr>
        <w:spacing w:after="0" w:line="201" w:lineRule="exact"/>
        <w:rPr>
          <w:rFonts w:ascii="Arial" w:cs="Arial" w:eastAsia="Arial" w:hAnsi="Arial"/>
          <w:sz w:val="25"/>
          <w:szCs w:val="25"/>
          <w:color w:val="auto"/>
          <w:vertAlign w:val="superscript"/>
        </w:rPr>
      </w:pPr>
    </w:p>
    <w:p>
      <w:pPr>
        <w:ind w:left="5460"/>
        <w:spacing w:after="0"/>
        <w:rPr>
          <w:rFonts w:ascii="Arial" w:cs="Arial" w:eastAsia="Arial" w:hAnsi="Arial"/>
          <w:sz w:val="25"/>
          <w:szCs w:val="25"/>
          <w:color w:val="auto"/>
          <w:vertAlign w:val="superscript"/>
        </w:rPr>
      </w:pPr>
      <w:r>
        <w:rPr>
          <w:rFonts w:ascii="Arial" w:cs="Arial" w:eastAsia="Arial" w:hAnsi="Arial"/>
          <w:sz w:val="18"/>
          <w:szCs w:val="18"/>
          <w:color w:val="auto"/>
        </w:rPr>
        <w:t>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198" w:name="page199"/>
    <w:bookmarkEnd w:id="19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720" w:hanging="332"/>
        <w:spacing w:after="0" w:line="532" w:lineRule="auto"/>
        <w:tabs>
          <w:tab w:leader="none" w:pos="340" w:val="left"/>
        </w:tabs>
        <w:numPr>
          <w:ilvl w:val="0"/>
          <w:numId w:val="21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rFonts w:ascii="Arial" w:cs="Arial" w:eastAsia="Arial" w:hAnsi="Arial"/>
          <w:sz w:val="17"/>
          <w:szCs w:val="17"/>
          <w:b w:val="1"/>
          <w:bCs w:val="1"/>
          <w:color w:val="auto"/>
        </w:rPr>
      </w:pPr>
    </w:p>
    <w:p>
      <w:pPr>
        <w:ind w:left="780" w:hanging="327"/>
        <w:spacing w:after="0"/>
        <w:tabs>
          <w:tab w:leader="none" w:pos="780" w:val="left"/>
        </w:tabs>
        <w:numPr>
          <w:ilvl w:val="2"/>
          <w:numId w:val="213"/>
        </w:numPr>
        <w:rPr>
          <w:rFonts w:ascii="Arial" w:cs="Arial" w:eastAsia="Arial" w:hAnsi="Arial"/>
          <w:sz w:val="18"/>
          <w:szCs w:val="18"/>
          <w:color w:val="auto"/>
        </w:rPr>
      </w:pPr>
      <w:r>
        <w:rPr>
          <w:rFonts w:ascii="Arial" w:cs="Arial" w:eastAsia="Arial" w:hAnsi="Arial"/>
          <w:sz w:val="18"/>
          <w:szCs w:val="18"/>
          <w:color w:val="auto"/>
        </w:rPr>
        <w:t>Foreign exchange risk (continued)</w:t>
      </w:r>
    </w:p>
    <w:p>
      <w:pPr>
        <w:spacing w:after="0" w:line="235" w:lineRule="exact"/>
        <w:rPr>
          <w:sz w:val="20"/>
          <w:szCs w:val="20"/>
          <w:color w:val="auto"/>
        </w:rPr>
      </w:pPr>
    </w:p>
    <w:p>
      <w:pPr>
        <w:jc w:val="right"/>
        <w:ind w:right="3620"/>
        <w:spacing w:after="0"/>
        <w:rPr>
          <w:sz w:val="20"/>
          <w:szCs w:val="20"/>
          <w:color w:val="auto"/>
        </w:rPr>
      </w:pPr>
      <w:r>
        <w:rPr>
          <w:rFonts w:ascii="Arial" w:cs="Arial" w:eastAsia="Arial" w:hAnsi="Arial"/>
          <w:sz w:val="18"/>
          <w:szCs w:val="18"/>
          <w:b w:val="1"/>
          <w:bCs w:val="1"/>
          <w:color w:val="auto"/>
        </w:rPr>
        <w:t>December 31, 2019</w:t>
      </w:r>
    </w:p>
    <w:p>
      <w:pPr>
        <w:sectPr>
          <w:pgSz w:w="11900" w:h="16838" w:orient="portrait"/>
          <w:cols w:equalWidth="0" w:num="1">
            <w:col w:w="11220"/>
          </w:cols>
          <w:pgMar w:left="320" w:top="688"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Assets</w:t>
      </w:r>
    </w:p>
    <w:p>
      <w:pPr>
        <w:spacing w:after="0" w:line="9" w:lineRule="exact"/>
        <w:rPr>
          <w:sz w:val="20"/>
          <w:szCs w:val="20"/>
          <w:color w:val="auto"/>
        </w:rPr>
      </w:pPr>
    </w:p>
    <w:p>
      <w:pPr>
        <w:ind w:left="340"/>
        <w:spacing w:after="0" w:line="260" w:lineRule="auto"/>
        <w:rPr>
          <w:sz w:val="20"/>
          <w:szCs w:val="20"/>
          <w:color w:val="auto"/>
        </w:rPr>
      </w:pPr>
      <w:r>
        <w:rPr>
          <w:rFonts w:ascii="Arial" w:cs="Arial" w:eastAsia="Arial" w:hAnsi="Arial"/>
          <w:sz w:val="18"/>
          <w:szCs w:val="18"/>
          <w:color w:val="auto"/>
        </w:rPr>
        <w:t>Cash and due from banks Loans</w:t>
      </w:r>
    </w:p>
    <w:p>
      <w:pPr>
        <w:spacing w:after="0" w:line="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Assets</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gridSpan w:val="2"/>
            <w:vMerge w:val="restart"/>
          </w:tcPr>
          <w:p>
            <w:pPr>
              <w:jc w:val="right"/>
              <w:ind w:right="380"/>
              <w:spacing w:after="0"/>
              <w:rPr>
                <w:sz w:val="20"/>
                <w:szCs w:val="20"/>
                <w:color w:val="auto"/>
              </w:rPr>
            </w:pPr>
            <w:r>
              <w:rPr>
                <w:rFonts w:ascii="Arial" w:cs="Arial" w:eastAsia="Arial" w:hAnsi="Arial"/>
                <w:sz w:val="18"/>
                <w:szCs w:val="18"/>
                <w:b w:val="1"/>
                <w:bCs w:val="1"/>
                <w:color w:val="auto"/>
              </w:rPr>
              <w:t>Brazilian</w:t>
            </w: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gridSpan w:val="2"/>
            <w:vMerge w:val="restart"/>
          </w:tcPr>
          <w:p>
            <w:pPr>
              <w:jc w:val="right"/>
              <w:ind w:right="380"/>
              <w:spacing w:after="0"/>
              <w:rPr>
                <w:sz w:val="20"/>
                <w:szCs w:val="20"/>
                <w:color w:val="auto"/>
              </w:rPr>
            </w:pPr>
            <w:r>
              <w:rPr>
                <w:rFonts w:ascii="Arial" w:cs="Arial" w:eastAsia="Arial" w:hAnsi="Arial"/>
                <w:sz w:val="18"/>
                <w:szCs w:val="18"/>
                <w:b w:val="1"/>
                <w:bCs w:val="1"/>
                <w:color w:val="auto"/>
                <w:w w:val="97"/>
              </w:rPr>
              <w:t>Japanese</w:t>
            </w:r>
          </w:p>
        </w:tc>
        <w:tc>
          <w:tcPr>
            <w:tcW w:w="1200" w:type="dxa"/>
            <w:vAlign w:val="bottom"/>
            <w:tcBorders>
              <w:top w:val="single" w:sz="8" w:color="auto"/>
            </w:tcBorders>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4"/>
              </w:rPr>
              <w:t>Colombian</w:t>
            </w:r>
          </w:p>
        </w:tc>
        <w:tc>
          <w:tcPr>
            <w:tcW w:w="1220" w:type="dxa"/>
            <w:vAlign w:val="bottom"/>
            <w:tcBorders>
              <w:top w:val="single" w:sz="8" w:color="auto"/>
            </w:tcBorders>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Mexican</w:t>
            </w:r>
          </w:p>
        </w:tc>
        <w:tc>
          <w:tcPr>
            <w:tcW w:w="122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95"/>
              </w:rPr>
              <w:t>Other</w:t>
            </w:r>
          </w:p>
        </w:tc>
        <w:tc>
          <w:tcPr>
            <w:tcW w:w="10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200" w:type="dxa"/>
            <w:vAlign w:val="bottom"/>
            <w:gridSpan w:val="2"/>
            <w:vMerge w:val="continue"/>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gridSpan w:val="2"/>
            <w:vMerge w:val="continue"/>
          </w:tcPr>
          <w:p>
            <w:pPr>
              <w:spacing w:after="0"/>
              <w:rPr>
                <w:sz w:val="17"/>
                <w:szCs w:val="17"/>
                <w:color w:val="auto"/>
              </w:rPr>
            </w:pPr>
          </w:p>
        </w:tc>
        <w:tc>
          <w:tcPr>
            <w:tcW w:w="120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2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89"/>
              </w:rPr>
              <w:t>Currencies</w:t>
            </w:r>
          </w:p>
        </w:tc>
        <w:tc>
          <w:tcPr>
            <w:tcW w:w="10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2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Real</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1"/>
              </w:rPr>
              <w:t>European Euro</w:t>
            </w:r>
          </w:p>
        </w:tc>
        <w:tc>
          <w:tcPr>
            <w:tcW w:w="12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Yen</w:t>
            </w:r>
          </w:p>
        </w:tc>
        <w:tc>
          <w:tcPr>
            <w:tcW w:w="12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000" w:type="dxa"/>
            <w:vAlign w:val="bottom"/>
          </w:tcPr>
          <w:p>
            <w:pPr>
              <w:jc w:val="center"/>
              <w:spacing w:after="0"/>
              <w:rPr>
                <w:sz w:val="20"/>
                <w:szCs w:val="20"/>
                <w:color w:val="auto"/>
              </w:rPr>
            </w:pPr>
            <w:r>
              <w:rPr>
                <w:rFonts w:ascii="Arial" w:cs="Arial" w:eastAsia="Arial" w:hAnsi="Arial"/>
                <w:sz w:val="15"/>
                <w:szCs w:val="15"/>
                <w:b w:val="1"/>
                <w:bCs w:val="1"/>
                <w:color w:val="auto"/>
                <w:w w:val="97"/>
              </w:rPr>
              <w:t>(1)</w:t>
            </w:r>
          </w:p>
        </w:tc>
        <w:tc>
          <w:tcPr>
            <w:tcW w:w="220" w:type="dxa"/>
            <w:vAlign w:val="bottom"/>
          </w:tcPr>
          <w:p>
            <w:pPr>
              <w:spacing w:after="0"/>
              <w:rPr>
                <w:sz w:val="20"/>
                <w:szCs w:val="20"/>
                <w:color w:val="auto"/>
              </w:rPr>
            </w:pPr>
          </w:p>
        </w:tc>
        <w:tc>
          <w:tcPr>
            <w:tcW w:w="100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4"/>
        </w:trPr>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4.02</w:t>
            </w:r>
          </w:p>
        </w:tc>
        <w:tc>
          <w:tcPr>
            <w:tcW w:w="22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1.12</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108.67</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3,287.50</w:t>
            </w:r>
          </w:p>
        </w:tc>
        <w:tc>
          <w:tcPr>
            <w:tcW w:w="22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18.88</w:t>
            </w:r>
          </w:p>
        </w:tc>
        <w:tc>
          <w:tcPr>
            <w:tcW w:w="220" w:type="dxa"/>
            <w:vAlign w:val="bottom"/>
          </w:tcPr>
          <w:p>
            <w:pPr>
              <w:spacing w:after="0"/>
              <w:rPr>
                <w:sz w:val="19"/>
                <w:szCs w:val="19"/>
                <w:color w:val="auto"/>
              </w:rPr>
            </w:pPr>
          </w:p>
        </w:tc>
        <w:tc>
          <w:tcPr>
            <w:tcW w:w="10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17"/>
        </w:trPr>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274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17</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4,243</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58</w:t>
            </w:r>
          </w:p>
        </w:tc>
        <w:tc>
          <w:tcPr>
            <w:tcW w:w="1000" w:type="dxa"/>
            <w:vAlign w:val="bottom"/>
          </w:tcPr>
          <w:p>
            <w:pPr>
              <w:jc w:val="right"/>
              <w:spacing w:after="0"/>
              <w:rPr>
                <w:sz w:val="20"/>
                <w:szCs w:val="20"/>
                <w:color w:val="auto"/>
              </w:rPr>
            </w:pPr>
            <w:r>
              <w:rPr>
                <w:rFonts w:ascii="Arial" w:cs="Arial" w:eastAsia="Arial" w:hAnsi="Arial"/>
                <w:sz w:val="18"/>
                <w:szCs w:val="18"/>
                <w:color w:val="auto"/>
              </w:rPr>
              <w:t>4,630</w:t>
            </w:r>
          </w:p>
        </w:tc>
        <w:tc>
          <w:tcPr>
            <w:tcW w:w="0" w:type="dxa"/>
            <w:vAlign w:val="bottom"/>
          </w:tcPr>
          <w:p>
            <w:pPr>
              <w:spacing w:after="0"/>
              <w:rPr>
                <w:sz w:val="1"/>
                <w:szCs w:val="1"/>
                <w:color w:val="auto"/>
              </w:rPr>
            </w:pPr>
          </w:p>
        </w:tc>
      </w:tr>
      <w:tr>
        <w:trPr>
          <w:trHeight w:val="230"/>
        </w:trPr>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473,729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473,729</w:t>
            </w:r>
          </w:p>
        </w:tc>
        <w:tc>
          <w:tcPr>
            <w:tcW w:w="0" w:type="dxa"/>
            <w:vAlign w:val="bottom"/>
          </w:tcPr>
          <w:p>
            <w:pPr>
              <w:spacing w:after="0"/>
              <w:rPr>
                <w:sz w:val="1"/>
                <w:szCs w:val="1"/>
                <w:color w:val="auto"/>
              </w:rPr>
            </w:pPr>
          </w:p>
        </w:tc>
      </w:tr>
      <w:tr>
        <w:trPr>
          <w:trHeight w:val="20"/>
        </w:trPr>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274</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17</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477,972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58</w:t>
            </w: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478,359</w:t>
            </w:r>
          </w:p>
        </w:tc>
        <w:tc>
          <w:tcPr>
            <w:tcW w:w="0" w:type="dxa"/>
            <w:vAlign w:val="bottom"/>
          </w:tcPr>
          <w:p>
            <w:pPr>
              <w:spacing w:after="0"/>
              <w:rPr>
                <w:sz w:val="1"/>
                <w:szCs w:val="1"/>
                <w:color w:val="auto"/>
              </w:rPr>
            </w:pPr>
          </w:p>
        </w:tc>
      </w:tr>
      <w:tr>
        <w:trPr>
          <w:trHeight w:val="20"/>
        </w:trPr>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-1464945</wp:posOffset>
            </wp:positionH>
            <wp:positionV relativeFrom="paragraph">
              <wp:posOffset>-762635</wp:posOffset>
            </wp:positionV>
            <wp:extent cx="6917690" cy="14541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2">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-1464945</wp:posOffset>
            </wp:positionH>
            <wp:positionV relativeFrom="paragraph">
              <wp:posOffset>-479425</wp:posOffset>
            </wp:positionV>
            <wp:extent cx="6917690" cy="13716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3">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-1464945</wp:posOffset>
            </wp:positionH>
            <wp:positionV relativeFrom="paragraph">
              <wp:posOffset>-196850</wp:posOffset>
            </wp:positionV>
            <wp:extent cx="6917690" cy="17970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4">
                      <a:extLst>
                        <a:ext uri="{28A0092B-C50C-407E-A947-70E740481C1C}"/>
                      </a:extLst>
                    </a:blip>
                    <a:srcRect/>
                    <a:stretch>
                      <a:fillRect/>
                    </a:stretch>
                  </pic:blipFill>
                  <pic:spPr bwMode="auto">
                    <a:xfrm>
                      <a:off x="0" y="0"/>
                      <a:ext cx="6917690" cy="1797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160" w:space="480"/>
            <w:col w:w="8580"/>
          </w:cols>
          <w:pgMar w:left="320" w:top="688" w:right="359" w:bottom="1440" w:gutter="0" w:footer="0" w:header="0"/>
          <w:type w:val="continuous"/>
        </w:sectPr>
      </w:pPr>
    </w:p>
    <w:p>
      <w:pPr>
        <w:spacing w:after="0" w:line="1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300" w:type="dxa"/>
            <w:vAlign w:val="bottom"/>
          </w:tcPr>
          <w:p>
            <w:pPr>
              <w:spacing w:after="0"/>
              <w:rPr>
                <w:sz w:val="20"/>
                <w:szCs w:val="20"/>
                <w:color w:val="auto"/>
              </w:rPr>
            </w:pPr>
            <w:r>
              <w:rPr>
                <w:rFonts w:ascii="Arial" w:cs="Arial" w:eastAsia="Arial" w:hAnsi="Arial"/>
                <w:sz w:val="18"/>
                <w:szCs w:val="18"/>
                <w:color w:val="auto"/>
              </w:rPr>
              <w:t>Borrowings and debt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81"/>
              <w:spacing w:after="0"/>
              <w:rPr>
                <w:sz w:val="20"/>
                <w:szCs w:val="20"/>
                <w:color w:val="auto"/>
              </w:rPr>
            </w:pPr>
            <w:r>
              <w:rPr>
                <w:rFonts w:ascii="Arial" w:cs="Arial" w:eastAsia="Arial" w:hAnsi="Arial"/>
                <w:sz w:val="18"/>
                <w:szCs w:val="18"/>
                <w:color w:val="auto"/>
              </w:rPr>
              <w:t>(478,038)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(478,038)</w:t>
            </w:r>
          </w:p>
        </w:tc>
        <w:tc>
          <w:tcPr>
            <w:tcW w:w="0" w:type="dxa"/>
            <w:vAlign w:val="bottom"/>
          </w:tcPr>
          <w:p>
            <w:pPr>
              <w:spacing w:after="0"/>
              <w:rPr>
                <w:sz w:val="1"/>
                <w:szCs w:val="1"/>
                <w:color w:val="auto"/>
              </w:rPr>
            </w:pPr>
          </w:p>
        </w:tc>
      </w:tr>
      <w:tr>
        <w:trPr>
          <w:trHeight w:val="20"/>
        </w:trPr>
        <w:tc>
          <w:tcPr>
            <w:tcW w:w="230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12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2300" w:type="dxa"/>
            <w:vAlign w:val="bottom"/>
            <w:vMerge w:val="continue"/>
            <w:shd w:val="clear" w:color="auto" w:fill="CCEEFF"/>
          </w:tcPr>
          <w:p>
            <w:pPr>
              <w:spacing w:after="0"/>
              <w:rPr>
                <w:sz w:val="21"/>
                <w:szCs w:val="21"/>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(478,038</w:t>
            </w:r>
          </w:p>
        </w:tc>
        <w:tc>
          <w:tcPr>
            <w:tcW w:w="220" w:type="dxa"/>
            <w:vAlign w:val="bottom"/>
            <w:vMerge w:val="continue"/>
            <w:shd w:val="clear" w:color="auto" w:fill="CCEEFF"/>
          </w:tcPr>
          <w:p>
            <w:pPr>
              <w:spacing w:after="0"/>
              <w:rPr>
                <w:sz w:val="21"/>
                <w:szCs w:val="21"/>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(478,038</w:t>
            </w:r>
          </w:p>
        </w:tc>
        <w:tc>
          <w:tcPr>
            <w:tcW w:w="120" w:type="dxa"/>
            <w:vAlign w:val="bottom"/>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3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7"/>
        </w:trPr>
        <w:tc>
          <w:tcPr>
            <w:tcW w:w="2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274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34</w:t>
            </w:r>
          </w:p>
        </w:tc>
        <w:tc>
          <w:tcPr>
            <w:tcW w:w="12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b w:val="1"/>
                <w:bCs w:val="1"/>
                <w:color w:val="auto"/>
              </w:rPr>
              <w:t>(66)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58</w:t>
            </w:r>
          </w:p>
        </w:tc>
        <w:tc>
          <w:tcPr>
            <w:tcW w:w="112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321</w:t>
            </w:r>
          </w:p>
        </w:tc>
        <w:tc>
          <w:tcPr>
            <w:tcW w:w="0" w:type="dxa"/>
            <w:vAlign w:val="bottom"/>
          </w:tcPr>
          <w:p>
            <w:pPr>
              <w:spacing w:after="0"/>
              <w:rPr>
                <w:sz w:val="1"/>
                <w:szCs w:val="1"/>
                <w:color w:val="auto"/>
              </w:rPr>
            </w:pP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5" w:lineRule="exact"/>
        <w:rPr>
          <w:sz w:val="20"/>
          <w:szCs w:val="20"/>
          <w:color w:val="auto"/>
        </w:rPr>
      </w:pPr>
    </w:p>
    <w:p>
      <w:pPr>
        <w:ind w:left="540" w:hanging="208"/>
        <w:spacing w:after="0"/>
        <w:tabs>
          <w:tab w:leader="none" w:pos="540" w:val="left"/>
        </w:tabs>
        <w:numPr>
          <w:ilvl w:val="0"/>
          <w:numId w:val="214"/>
        </w:numPr>
        <w:rPr>
          <w:rFonts w:ascii="Arial" w:cs="Arial" w:eastAsia="Arial" w:hAnsi="Arial"/>
          <w:sz w:val="25"/>
          <w:szCs w:val="25"/>
          <w:color w:val="auto"/>
          <w:vertAlign w:val="superscript"/>
        </w:rPr>
      </w:pPr>
      <w:r>
        <w:rPr>
          <w:rFonts w:ascii="Arial" w:cs="Arial" w:eastAsia="Arial" w:hAnsi="Arial"/>
          <w:sz w:val="15"/>
          <w:szCs w:val="15"/>
          <w:color w:val="auto"/>
        </w:rPr>
        <w:t>It includes other currencies such as: Argentine pesos, Australian dollar, Swiss franc, Sterling pound, Peruvian soles, and Chinese renminbi.</w:t>
      </w:r>
    </w:p>
    <w:p>
      <w:pPr>
        <w:spacing w:after="0" w:line="201" w:lineRule="exact"/>
        <w:rPr>
          <w:rFonts w:ascii="Arial" w:cs="Arial" w:eastAsia="Arial" w:hAnsi="Arial"/>
          <w:sz w:val="25"/>
          <w:szCs w:val="25"/>
          <w:color w:val="auto"/>
          <w:vertAlign w:val="superscript"/>
        </w:rPr>
      </w:pPr>
    </w:p>
    <w:p>
      <w:pPr>
        <w:ind w:left="5460"/>
        <w:spacing w:after="0"/>
        <w:rPr>
          <w:rFonts w:ascii="Arial" w:cs="Arial" w:eastAsia="Arial" w:hAnsi="Arial"/>
          <w:sz w:val="25"/>
          <w:szCs w:val="25"/>
          <w:color w:val="auto"/>
          <w:vertAlign w:val="superscript"/>
        </w:rPr>
      </w:pPr>
      <w:r>
        <w:rPr>
          <w:rFonts w:ascii="Arial" w:cs="Arial" w:eastAsia="Arial" w:hAnsi="Arial"/>
          <w:sz w:val="18"/>
          <w:szCs w:val="18"/>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type w:val="continuous"/>
        </w:sectPr>
      </w:pPr>
    </w:p>
    <w:bookmarkStart w:id="199" w:name="page200"/>
    <w:bookmarkEnd w:id="19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1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w:t>
      </w:r>
    </w:p>
    <w:p>
      <w:pPr>
        <w:spacing w:after="0" w:line="229" w:lineRule="exact"/>
        <w:rPr>
          <w:rFonts w:ascii="Arial" w:cs="Arial" w:eastAsia="Arial" w:hAnsi="Arial"/>
          <w:sz w:val="18"/>
          <w:szCs w:val="18"/>
          <w:b w:val="1"/>
          <w:bCs w:val="1"/>
          <w:color w:val="auto"/>
        </w:rPr>
      </w:pPr>
    </w:p>
    <w:p>
      <w:pPr>
        <w:jc w:val="both"/>
        <w:ind w:left="340"/>
        <w:spacing w:after="0" w:line="296" w:lineRule="auto"/>
        <w:rPr>
          <w:rFonts w:ascii="Arial" w:cs="Arial" w:eastAsia="Arial" w:hAnsi="Arial"/>
          <w:sz w:val="18"/>
          <w:szCs w:val="18"/>
          <w:b w:val="1"/>
          <w:bCs w:val="1"/>
          <w:color w:val="auto"/>
        </w:rPr>
      </w:pPr>
      <w:r>
        <w:rPr>
          <w:rFonts w:ascii="Arial" w:cs="Arial" w:eastAsia="Arial" w:hAnsi="Arial"/>
          <w:sz w:val="16"/>
          <w:szCs w:val="16"/>
          <w:color w:val="auto"/>
        </w:rPr>
        <w:t>The risk is inherent to the Bank’s activities. Risks are classified into two categories: financial and non-financial risks. Financial risks are those associated within the Bank’s business model, with impact in the Bank’s consolidated statement of financial position and profit or loss, as follows: country risk, credit risk, market risk and liquidity risk. Non-financial risks are those related to the Bank’s operating model and the regulatory environment that may affect the integrity of the information, the Bank’s reputation and also its profit or loss accounts, as follows: operational, technological, cyber security, compliance (know your customer, money laundering, terrorism financing), environmental, fraud risks, among others.</w:t>
      </w:r>
    </w:p>
    <w:p>
      <w:pPr>
        <w:spacing w:after="0" w:line="161"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Lead by the Head of Integrated Risk Management, an ongoing process of identification, measurement, monitoring, control, mitigation and reporting to all operating areas within the Bank is carried out continuously, considering the different types of risk to which the Bank is exposed according to the size and complexity of its operations, products and services.</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has in place policies, standards and procedures, structures, and manuals associated to the integral risk management, designed to identify potential events that may affect it, all of which are consistent with the risk profile of the business, considering the complexity and the volume of its operations.</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establishing the Bank’s acceptable risk profile, for which it has the knowledge and understanding of the risks to which the Bank is exposed to. The Board of Directors designate the members of the Risk Policy and Assessment Committee (CPER, for its acronym in Spanish), which is responsible for overseeing the overall risk process within the Bank.</w:t>
      </w:r>
    </w:p>
    <w:p>
      <w:pPr>
        <w:spacing w:after="0" w:line="183"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CPER oversees the assessment and recommendation for approval to the Board of Directors of all the policies relating to a reasonable Integrated Risk Management. Furthermore, the Committee also reviews and assesses the exposure, within the risk levels stated in its policies, by which the Bank is willing to assume the various risks it faces through the business management.</w:t>
      </w:r>
    </w:p>
    <w:p>
      <w:pPr>
        <w:spacing w:after="0" w:line="183"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The Head of Integrated Risk Management directly reports to the CEO and the CPER, and has as a main duty to ensure the comprehensive risk management of the Bank’s operating model and IT platform, as well as the financial and credit related risks, being responsible for implementing and maintaining risk-related procedures in place to ensure that an independent control process is kept, monitoring the compliance of the risk principles, policies and limits at all levels throughout the Bank. The Head of Integrated Risk Management works closely with CPER to ensure that procedures are consistent with the Integrated Risk Management Governance Framework.</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Risk Management Committees:</w:t>
      </w:r>
    </w:p>
    <w:p>
      <w:pPr>
        <w:spacing w:after="0" w:line="225" w:lineRule="exact"/>
        <w:rPr>
          <w:rFonts w:ascii="Arial" w:cs="Arial" w:eastAsia="Arial" w:hAnsi="Arial"/>
          <w:sz w:val="18"/>
          <w:szCs w:val="18"/>
          <w:b w:val="1"/>
          <w:bCs w:val="1"/>
          <w:color w:val="auto"/>
        </w:rPr>
      </w:pPr>
    </w:p>
    <w:p>
      <w:pPr>
        <w:ind w:left="820" w:hanging="164"/>
        <w:spacing w:after="0"/>
        <w:tabs>
          <w:tab w:leader="none" w:pos="820" w:val="left"/>
        </w:tabs>
        <w:numPr>
          <w:ilvl w:val="2"/>
          <w:numId w:val="215"/>
        </w:numPr>
        <w:rPr>
          <w:rFonts w:ascii="Arial" w:cs="Arial" w:eastAsia="Arial" w:hAnsi="Arial"/>
          <w:sz w:val="18"/>
          <w:szCs w:val="18"/>
          <w:color w:val="auto"/>
        </w:rPr>
      </w:pPr>
      <w:r>
        <w:rPr>
          <w:rFonts w:ascii="Arial" w:cs="Arial" w:eastAsia="Arial" w:hAnsi="Arial"/>
          <w:sz w:val="18"/>
          <w:szCs w:val="18"/>
          <w:color w:val="auto"/>
        </w:rPr>
        <w:t>Operational and Information Security Risk Committee</w:t>
      </w:r>
    </w:p>
    <w:p>
      <w:pPr>
        <w:spacing w:after="0" w:line="23" w:lineRule="exact"/>
        <w:rPr>
          <w:rFonts w:ascii="Arial" w:cs="Arial" w:eastAsia="Arial" w:hAnsi="Arial"/>
          <w:sz w:val="18"/>
          <w:szCs w:val="18"/>
          <w:color w:val="auto"/>
        </w:rPr>
      </w:pPr>
    </w:p>
    <w:p>
      <w:pPr>
        <w:ind w:left="820" w:hanging="164"/>
        <w:spacing w:after="0"/>
        <w:tabs>
          <w:tab w:leader="none" w:pos="820" w:val="left"/>
        </w:tabs>
        <w:numPr>
          <w:ilvl w:val="2"/>
          <w:numId w:val="215"/>
        </w:numPr>
        <w:rPr>
          <w:rFonts w:ascii="Arial" w:cs="Arial" w:eastAsia="Arial" w:hAnsi="Arial"/>
          <w:sz w:val="18"/>
          <w:szCs w:val="18"/>
          <w:color w:val="auto"/>
        </w:rPr>
      </w:pPr>
      <w:r>
        <w:rPr>
          <w:rFonts w:ascii="Arial" w:cs="Arial" w:eastAsia="Arial" w:hAnsi="Arial"/>
          <w:sz w:val="18"/>
          <w:szCs w:val="18"/>
          <w:color w:val="auto"/>
        </w:rPr>
        <w:t>Country Risk Committee</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15"/>
        </w:numPr>
        <w:rPr>
          <w:rFonts w:ascii="Arial" w:cs="Arial" w:eastAsia="Arial" w:hAnsi="Arial"/>
          <w:sz w:val="18"/>
          <w:szCs w:val="18"/>
          <w:color w:val="auto"/>
        </w:rPr>
      </w:pPr>
      <w:r>
        <w:rPr>
          <w:rFonts w:ascii="Arial" w:cs="Arial" w:eastAsia="Arial" w:hAnsi="Arial"/>
          <w:sz w:val="18"/>
          <w:szCs w:val="18"/>
          <w:color w:val="auto"/>
        </w:rPr>
        <w:t>Credit Committee (Management Credit Committee / Board of Directors Delegate Credit Committee / CPER)</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15"/>
        </w:numPr>
        <w:rPr>
          <w:rFonts w:ascii="Arial" w:cs="Arial" w:eastAsia="Arial" w:hAnsi="Arial"/>
          <w:sz w:val="18"/>
          <w:szCs w:val="18"/>
          <w:color w:val="auto"/>
        </w:rPr>
      </w:pPr>
      <w:r>
        <w:rPr>
          <w:rFonts w:ascii="Arial" w:cs="Arial" w:eastAsia="Arial" w:hAnsi="Arial"/>
          <w:sz w:val="18"/>
          <w:szCs w:val="18"/>
          <w:color w:val="auto"/>
        </w:rPr>
        <w:t>Management and Monitoring Committee</w:t>
      </w:r>
    </w:p>
    <w:p>
      <w:pPr>
        <w:spacing w:after="0" w:line="9" w:lineRule="exact"/>
        <w:rPr>
          <w:rFonts w:ascii="Arial" w:cs="Arial" w:eastAsia="Arial" w:hAnsi="Arial"/>
          <w:sz w:val="18"/>
          <w:szCs w:val="18"/>
          <w:color w:val="auto"/>
        </w:rPr>
      </w:pPr>
    </w:p>
    <w:p>
      <w:pPr>
        <w:ind w:left="820" w:hanging="164"/>
        <w:spacing w:after="0"/>
        <w:tabs>
          <w:tab w:leader="none" w:pos="820" w:val="left"/>
        </w:tabs>
        <w:numPr>
          <w:ilvl w:val="2"/>
          <w:numId w:val="215"/>
        </w:numPr>
        <w:rPr>
          <w:rFonts w:ascii="Arial" w:cs="Arial" w:eastAsia="Arial" w:hAnsi="Arial"/>
          <w:sz w:val="18"/>
          <w:szCs w:val="18"/>
          <w:color w:val="auto"/>
        </w:rPr>
      </w:pPr>
      <w:r>
        <w:rPr>
          <w:rFonts w:ascii="Arial" w:cs="Arial" w:eastAsia="Arial" w:hAnsi="Arial"/>
          <w:sz w:val="18"/>
          <w:szCs w:val="18"/>
          <w:color w:val="auto"/>
        </w:rPr>
        <w:t>Asset and Liability Committee (ALCO)</w:t>
      </w:r>
    </w:p>
    <w:p>
      <w:pPr>
        <w:spacing w:after="0" w:line="206" w:lineRule="exact"/>
        <w:rPr>
          <w:rFonts w:ascii="Arial" w:cs="Arial" w:eastAsia="Arial" w:hAnsi="Arial"/>
          <w:sz w:val="18"/>
          <w:szCs w:val="18"/>
          <w:color w:val="auto"/>
        </w:rPr>
      </w:pPr>
    </w:p>
    <w:p>
      <w:pPr>
        <w:ind w:left="340"/>
        <w:spacing w:after="0"/>
        <w:rPr>
          <w:rFonts w:ascii="Arial" w:cs="Arial" w:eastAsia="Arial" w:hAnsi="Arial"/>
          <w:sz w:val="18"/>
          <w:szCs w:val="18"/>
          <w:color w:val="auto"/>
        </w:rPr>
      </w:pPr>
      <w:r>
        <w:rPr>
          <w:rFonts w:ascii="Arial" w:cs="Arial" w:eastAsia="Arial" w:hAnsi="Arial"/>
          <w:sz w:val="18"/>
          <w:szCs w:val="18"/>
          <w:b w:val="1"/>
          <w:bCs w:val="1"/>
          <w:color w:val="auto"/>
        </w:rPr>
        <w:t>A.  Credit risk</w:t>
      </w:r>
    </w:p>
    <w:p>
      <w:pPr>
        <w:spacing w:after="0" w:line="229"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part of the embedded risk, the Bank will incur in losses in and/or its assets will be impaired as a result of the failure of its borrowers to comply in a timely manner or to meet the terms of credit agreements.</w:t>
      </w:r>
    </w:p>
    <w:p>
      <w:pPr>
        <w:spacing w:after="0" w:line="170"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Bank’s customer base consists primarily of corporations, large companies, local and regional financial institutions, as well as state-owned enterprises. The Bank focuses its risk assessment on an in-depth analysis of the entity or economic group that involves: the nature of the business, the countries where it operates, types of products offered, duration of the relationship, track record and reputation, among others.</w:t>
      </w:r>
    </w:p>
    <w:p>
      <w:pPr>
        <w:spacing w:after="0" w:line="1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0" w:name="page201"/>
    <w:bookmarkEnd w:id="20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1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Credit risk management comprises two main stages: origination and monitoring. The credit origination process involves the activities of identifying and analyzing the customer’s creditworthiness and approving the terms and conditions for credit extensions. The monitoring process consists of annual credit reviews of existing exposures, “ad hoc” reviews on a case-by-case basis when conditions so require, and portfolio reviews by the Bank’s credit committees. The objective is to maximize the risk-adjusted rate of return by keeping credit risk exposures within acceptable parameters. This process involves the Risk and Business Units under the supervision of the Board of Directors, through the Risk Policy and Assessment Committee (CPER).</w:t>
      </w:r>
    </w:p>
    <w:p>
      <w:pPr>
        <w:spacing w:after="0" w:line="16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developed internally a loss model to determine the required level of expected credit losses associated with potential losses in financial instruments, based on IFRS 9 - Financial Instruments.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Individually assessed reserves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individually assesses the appropriate reserves for certain significant financial assets, by considering interest payment delays, credit rating downgrading or any breach of the original contractual terms. Factors considered when determining a reserve include the sustainability of the counterparty’s business plan, its ability to improve performance when facing a difficult financial situation, projected payments and expected results in the event of bankruptcy, the availability of other financial support, the realizable value of collateral, and the timing of expected cash flows. Impairment loss is assessed at each reporting date, unless unforeseen circumstances require special attention.</w:t>
      </w:r>
    </w:p>
    <w:p>
      <w:pPr>
        <w:spacing w:after="0" w:line="17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Collectively assessed reserves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Reserves are separately assessed at each reporting date for each portfolio. The collective assessment is made for groups of assets with similar risk characteristics, to determine whether it is appropriate to provide for, due to incurred loss events for which there is objective evidence, but the effects of which are not yet evident in individual loan assessments. The collective assessment considers either portfolio information (e.g. historical losses in the portfolio, delinquency levels, credit utilization, loan-to-collateral ratios and expected collections and recoveries after impairment) and economic data (such as current economic conditions, unemployment, local or industry-specific situations).</w:t>
      </w:r>
    </w:p>
    <w:p>
      <w:pPr>
        <w:spacing w:after="0" w:line="176"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generally supports its assessment on historical experience and forward-looking information. However, when significant market, regional and/or global events occur, the Bank includes these macroeconomic factors in its assessments. Depending on the characteristics of the individual or collective assessment, these factors include: unemployment rates, current levels of impaired debt, changes in law, changes in regulation, bankruptcy trends and other consumer data. The Bank may use the above factors, as appropriate, to adjust for impairment.</w:t>
      </w:r>
    </w:p>
    <w:p>
      <w:pPr>
        <w:spacing w:after="0" w:line="17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time elapsed since a loss is incurred and a specific individual reserve requirement is identified should be taken into consideration for the assessment. The impairment reserve is reviewed by credit management to ensure alignment with the Bank’s general policy.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Financial guarantees and letters of credit are assessed in a similar manner to amortized cost loans.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 supplemental qualitative review may result in adjustments to the level of provisions, based on prospective reviews of potential risk scenarios for businesses or loans not yet captured in the Bank’s historical information.</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developed an internal customer, counterparty and country rating model, which allows for proactive risk management in terms of exposure limits, transaction typology and time limits, among others.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1" w:name="page202"/>
    <w:bookmarkEnd w:id="20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1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Credit risk arising from derivative financial instruments is, at any time, limited to those with positive fair values, as recognized in the consolidated statement of financial position at fair value. With derivatives that are settled gross, the Bank is also exposed to settlement risk, which is the risk that the Bank will honor its obligation, but the counterparty will be unable to deliver the value of the consideration.</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makes available to its customers guarantees that may require the Bank to make payments on behalf of these customers and to take on commitments to issue lines of credit to ensure their liquidity needs. Letters of credit and guarantees (including standby letters of credit) commit the Bank to make payments on behalf of customers for a specific event, usually related to the import or export of goods. Such commitments expose the Bank to risks similar to those for loans which are mitigated by the same controls established in processes and policies.</w:t>
      </w:r>
    </w:p>
    <w:p>
      <w:pPr>
        <w:spacing w:after="0" w:line="167"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7"/>
          <w:szCs w:val="17"/>
          <w:b w:val="1"/>
          <w:bCs w:val="1"/>
          <w:color w:val="auto"/>
        </w:rPr>
        <w:t>Liquidity risk</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Liquidity risk is the possibility of an economic loss to the Bank due to the difficulty in liquidating assets or obtaining financial resources on normal terms.</w:t>
      </w:r>
    </w:p>
    <w:p>
      <w:pPr>
        <w:spacing w:after="0" w:line="170" w:lineRule="exact"/>
        <w:rPr>
          <w:sz w:val="20"/>
          <w:szCs w:val="20"/>
          <w:color w:val="auto"/>
        </w:rPr>
      </w:pPr>
    </w:p>
    <w:p>
      <w:pPr>
        <w:jc w:val="both"/>
        <w:ind w:left="340"/>
        <w:spacing w:after="0" w:line="342" w:lineRule="auto"/>
        <w:rPr>
          <w:sz w:val="20"/>
          <w:szCs w:val="20"/>
          <w:color w:val="auto"/>
        </w:rPr>
      </w:pPr>
      <w:r>
        <w:rPr>
          <w:rFonts w:ascii="Arial" w:cs="Arial" w:eastAsia="Arial" w:hAnsi="Arial"/>
          <w:sz w:val="16"/>
          <w:szCs w:val="16"/>
          <w:color w:val="auto"/>
        </w:rPr>
        <w:t>The Bank conducts daily reviews of the Liquidity Coverage Ratio (LCR). The LCR methodology follows local standards and guidelines recommended by the Basel Committee. The Bank also monitors the Net Stable Funding Rate (NSFR), to maintain an adequate funding structure over the long term.</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Liquidity is controlled through the periodic review of:</w:t>
      </w:r>
    </w:p>
    <w:p>
      <w:pPr>
        <w:spacing w:after="0" w:line="225" w:lineRule="exact"/>
        <w:rPr>
          <w:sz w:val="20"/>
          <w:szCs w:val="20"/>
          <w:color w:val="auto"/>
        </w:rPr>
      </w:pPr>
    </w:p>
    <w:p>
      <w:pPr>
        <w:ind w:left="980" w:hanging="324"/>
        <w:spacing w:after="0"/>
        <w:tabs>
          <w:tab w:leader="none" w:pos="980" w:val="left"/>
        </w:tabs>
        <w:numPr>
          <w:ilvl w:val="0"/>
          <w:numId w:val="218"/>
        </w:numPr>
        <w:rPr>
          <w:rFonts w:ascii="Arial" w:cs="Arial" w:eastAsia="Arial" w:hAnsi="Arial"/>
          <w:sz w:val="18"/>
          <w:szCs w:val="18"/>
          <w:color w:val="auto"/>
        </w:rPr>
      </w:pPr>
      <w:r>
        <w:rPr>
          <w:rFonts w:ascii="Arial" w:cs="Arial" w:eastAsia="Arial" w:hAnsi="Arial"/>
          <w:sz w:val="18"/>
          <w:szCs w:val="18"/>
          <w:color w:val="auto"/>
        </w:rPr>
        <w:t>The maturity schedule to identify maturity “gaps” in the various time frames.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218"/>
        </w:numPr>
        <w:rPr>
          <w:rFonts w:ascii="Arial" w:cs="Arial" w:eastAsia="Arial" w:hAnsi="Arial"/>
          <w:sz w:val="18"/>
          <w:szCs w:val="18"/>
          <w:color w:val="auto"/>
        </w:rPr>
      </w:pPr>
      <w:r>
        <w:rPr>
          <w:rFonts w:ascii="Arial" w:cs="Arial" w:eastAsia="Arial" w:hAnsi="Arial"/>
          <w:sz w:val="18"/>
          <w:szCs w:val="18"/>
          <w:color w:val="auto"/>
        </w:rPr>
        <w:t>Deposit concentration report to identify possible increases in amounts and maturities that may affect the Bank’s liquidity.</w:t>
      </w:r>
    </w:p>
    <w:p>
      <w:pPr>
        <w:spacing w:after="0" w:line="21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a Liquidity Contingency Plan in place, which was designed to monitor a series of indicators that could trigger a liquidity event, with potential impact on the Bank’s operations and establishes an action plan so that the Bank’s liquidity is always assured.</w:t>
      </w:r>
    </w:p>
    <w:p>
      <w:pPr>
        <w:spacing w:after="0" w:line="166"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Market risk is the risk that the value of the Bank’s assets and liabilities will decline due to changes in market conditions that may adversely affect its income. The risk is inherent in the financial instruments associated with the Bank’s operations and activities, including: loans, investments and securities, liabilities and debt, derivatives, etc. The main risks include: interest rate risk and foreign exchange risk, which can affect asset prices and result in losses for the Bank.</w:t>
      </w:r>
    </w:p>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With respect to interest rate risk management, the Bank’s policy requires Management to assess the asset and liability positions in order to reduce potential adverse impacts on net interest income due to market interest rates fluctuations.</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manages interest rate risk by closely monitoring the appreciation and decline in value of the assets and liabilities through hedging to reduce potential negative impacts on earnings and capital.</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conducts periodic sensitivity analyses simulating market changes in interest rates to determine potential impacts on net interest income (both upward and downward). In addition, the Bank monitors the DV01 limit, for which a parallel 1-base point shock is applied to the interest rate curve and assesses if there is any impact on capital.</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2" w:name="page203"/>
    <w:bookmarkEnd w:id="20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right="7880" w:hanging="332"/>
        <w:spacing w:after="0" w:line="566" w:lineRule="auto"/>
        <w:tabs>
          <w:tab w:leader="none" w:pos="340" w:val="left"/>
        </w:tabs>
        <w:numPr>
          <w:ilvl w:val="0"/>
          <w:numId w:val="21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management (continued) C. Market risk (continued)</w:t>
      </w:r>
    </w:p>
    <w:p>
      <w:pPr>
        <w:jc w:val="both"/>
        <w:ind w:left="340"/>
        <w:spacing w:after="0" w:line="301" w:lineRule="auto"/>
        <w:rPr>
          <w:sz w:val="20"/>
          <w:szCs w:val="20"/>
          <w:color w:val="auto"/>
        </w:rPr>
      </w:pPr>
      <w:r>
        <w:rPr>
          <w:rFonts w:ascii="Arial" w:cs="Arial" w:eastAsia="Arial" w:hAnsi="Arial"/>
          <w:sz w:val="16"/>
          <w:szCs w:val="16"/>
          <w:color w:val="auto"/>
        </w:rPr>
        <w:t>Foreign exchange risk is the risk of change in the market value of a financial instrument due to fluctuations in the exchange rate of a given currency. The Bank operates primarily in U.S. dollars, so exposure to this type of risk is minimized. For transactions in currencies other than the US dollar, the Bank manages the exchange rate risk by arranging derivative instruments for hedging purposes, or by establishing natural hedges matching assets and liabilities expressed in the same currency. For liquidity positions, the Bank has established thresholds in order to limit the maximum level of exposure.</w:t>
      </w:r>
    </w:p>
    <w:p>
      <w:pPr>
        <w:spacing w:after="0" w:line="153"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D.</w:t>
      </w:r>
      <w:r>
        <w:rPr>
          <w:sz w:val="20"/>
          <w:szCs w:val="20"/>
          <w:color w:val="auto"/>
        </w:rPr>
        <w:tab/>
      </w:r>
      <w:r>
        <w:rPr>
          <w:rFonts w:ascii="Arial" w:cs="Arial" w:eastAsia="Arial" w:hAnsi="Arial"/>
          <w:sz w:val="16"/>
          <w:szCs w:val="16"/>
          <w:b w:val="1"/>
          <w:bCs w:val="1"/>
          <w:color w:val="auto"/>
        </w:rPr>
        <w:t>Operational risk</w:t>
      </w:r>
    </w:p>
    <w:p>
      <w:pPr>
        <w:spacing w:after="0" w:line="229"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Operational risk is the possibility of incurring losses due to deficiencies, failures or inadequacies in human resources, processes, technology, infrastructure, management information, models used, or the occurrence of external events. If this occurs, it can damage the Bank’s reputation and result in regulatory sanctions, which can lead to financial losses. The Bank, like any other financial institution, is exposed to operational risks.</w:t>
      </w:r>
    </w:p>
    <w:p>
      <w:pPr>
        <w:spacing w:after="0" w:line="16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Bladex’s main objective with Operational Risk Management is to reduce losses generated from operational risk and maintain an adequate administration thereof through the use of established management tools such as: risk profile, risk mapping, global and specific limits, operational risk indicators, and using as well the analysis of what is recorded in the Events and Incidents Database in order to monitor action plans of the actual or potential risks.</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emphasizes the awareness of its employees, promoting a Risk Management culture that has continuity over time and that allows them to understand and assimilate the importance of this concept from each of the processes that are executed within their areas. This is done throughout the training of all employees on an annual basis to raise their awareness in general terms of operational risks and to include updates on the standard or regulatory laws as required.</w:t>
      </w:r>
    </w:p>
    <w:p>
      <w:pPr>
        <w:spacing w:after="0" w:line="183"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E.</w:t>
      </w:r>
      <w:r>
        <w:rPr>
          <w:sz w:val="20"/>
          <w:szCs w:val="20"/>
          <w:color w:val="auto"/>
        </w:rPr>
        <w:tab/>
      </w:r>
      <w:r>
        <w:rPr>
          <w:rFonts w:ascii="Arial" w:cs="Arial" w:eastAsia="Arial" w:hAnsi="Arial"/>
          <w:sz w:val="16"/>
          <w:szCs w:val="16"/>
          <w:b w:val="1"/>
          <w:bCs w:val="1"/>
          <w:color w:val="auto"/>
        </w:rPr>
        <w:t>Fraud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Fraud is any intentional act or omission designed to deceive others, resulting in a loss for the victim and/or a gain for the perpetrator.</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Identification of fraud risk considers both internal and external factors, and their impact on the achievement of the Bank’s objectives. Internal fraud is related to losses arising from any type of action, involving Bank employees, aimed at defrauding, misappropriating property or violating regulations, laws or internal policies. External fraud is related to losses arising from any type of action by a third party aimed at defrauding, misappropriating property or infringing the law.</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To manage this risk, the Bank has a general fraud risk management program in place, which includes: establishing fraud risk governance policies, evaluating fraud risk, designing and developing control activities to prevent and detect fraud, and investigating fraud, including monitoring and evaluating the fraud risk management program.</w:t>
      </w:r>
    </w:p>
    <w:p>
      <w:pPr>
        <w:spacing w:after="0" w:line="180" w:lineRule="exact"/>
        <w:rPr>
          <w:sz w:val="20"/>
          <w:szCs w:val="20"/>
          <w:color w:val="auto"/>
        </w:rPr>
      </w:pPr>
    </w:p>
    <w:p>
      <w:pPr>
        <w:ind w:left="660" w:hanging="328"/>
        <w:spacing w:after="0"/>
        <w:tabs>
          <w:tab w:leader="none" w:pos="660" w:val="left"/>
        </w:tabs>
        <w:numPr>
          <w:ilvl w:val="0"/>
          <w:numId w:val="220"/>
        </w:numPr>
        <w:rPr>
          <w:rFonts w:ascii="Arial" w:cs="Arial" w:eastAsia="Arial" w:hAnsi="Arial"/>
          <w:sz w:val="18"/>
          <w:szCs w:val="18"/>
          <w:b w:val="1"/>
          <w:bCs w:val="1"/>
          <w:color w:val="auto"/>
        </w:rPr>
      </w:pPr>
      <w:r>
        <w:rPr>
          <w:rFonts w:ascii="Arial" w:cs="Arial" w:eastAsia="Arial" w:hAnsi="Arial"/>
          <w:sz w:val="18"/>
          <w:szCs w:val="18"/>
          <w:b w:val="1"/>
          <w:bCs w:val="1"/>
          <w:color w:val="auto"/>
        </w:rPr>
        <w:t>Cybersecurity</w:t>
      </w:r>
    </w:p>
    <w:p>
      <w:pPr>
        <w:spacing w:after="0" w:line="22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Cybersecurity or information technology security refers to the procedures designed, and measures implemented to protect technological appliances, networks, programs and data against cyber-attacks, in other words, unauthorized access or attacks aimed at operating, or misusing, the Bank’s technology platform to access the financial system. The Bank has approved policies and implemented procedures defining roles and responsibilities for managing information security as part of the IT security and technology risk management framework. These policies and procedures apply throughout the Bank and cover all relationships between the workforce, vendors and suppliers, as well as any other individual who, on a permanent or temporary basis with the Bank, has some form of access to data, resource management and IT systems.</w:t>
      </w:r>
    </w:p>
    <w:p>
      <w:pPr>
        <w:spacing w:after="0" w:line="17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3" w:name="page204"/>
    <w:bookmarkEnd w:id="20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right="7880" w:hanging="332"/>
        <w:spacing w:after="0" w:line="566" w:lineRule="auto"/>
        <w:tabs>
          <w:tab w:leader="none" w:pos="340" w:val="left"/>
        </w:tabs>
        <w:numPr>
          <w:ilvl w:val="0"/>
          <w:numId w:val="221"/>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management (continued) F. Cybersecurity (continued)</w:t>
      </w:r>
    </w:p>
    <w:p>
      <w:pPr>
        <w:jc w:val="both"/>
        <w:ind w:left="340"/>
        <w:spacing w:after="0" w:line="277" w:lineRule="auto"/>
        <w:rPr>
          <w:sz w:val="20"/>
          <w:szCs w:val="20"/>
          <w:color w:val="auto"/>
        </w:rPr>
      </w:pPr>
      <w:r>
        <w:rPr>
          <w:rFonts w:ascii="Arial" w:cs="Arial" w:eastAsia="Arial" w:hAnsi="Arial"/>
          <w:sz w:val="18"/>
          <w:szCs w:val="18"/>
          <w:color w:val="auto"/>
        </w:rPr>
        <w:t>The Bank's Information Security Officer is responsible for ensuring compliance with policies and procedures by anyone with access to the Bank’s systems.</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Bank's cybersecurity program has been developed with a holistic approach, allowing us to encompass both technical and strategic measures in a single framework.</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Impacts and actions implemented in the context of COVID-19</w:t>
      </w:r>
    </w:p>
    <w:p>
      <w:pPr>
        <w:spacing w:after="0" w:line="229"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COVID-19 pandemic and the measures implemented globally to prevent its spread could negatively impact the Bank’s business in a number of ways. These impacts may include, among others, reduced business volumes, restricted access to funding sources, insufficient liquidity, delayed or defaulted payments from the Bank’s customers or from the Bank´s financial counterparties, increased levels of indebtedness or the unavailability of sufficient financing for the Bank’s borrowers, and other factors which are beyond the Bank’s control. In this context, and in order to mitigate these risks, the Bank has implemented a series of measures and actions described below.</w:t>
      </w:r>
    </w:p>
    <w:p>
      <w:pPr>
        <w:spacing w:after="0" w:line="172" w:lineRule="exact"/>
        <w:rPr>
          <w:sz w:val="20"/>
          <w:szCs w:val="20"/>
          <w:color w:val="auto"/>
        </w:rPr>
      </w:pPr>
    </w:p>
    <w:p>
      <w:pPr>
        <w:ind w:left="660" w:hanging="328"/>
        <w:spacing w:after="0"/>
        <w:tabs>
          <w:tab w:leader="none" w:pos="660" w:val="left"/>
        </w:tabs>
        <w:numPr>
          <w:ilvl w:val="0"/>
          <w:numId w:val="222"/>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29"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Following the COVID-19 pandemic and its potential impact on the availability of resources, the Bank activated its Liquidity Contingency Plan, based on internally designed market triggers, in order to ensure a robust position given the situation caused by the pandemic. This led the Bank to adjust the scenario of its internal liquidity coverage ratio "LCR" from a regular level of 1 to a level of 3, which implies more restrictive assumptions for inflows and outflows of cash, with a downward adjustment of the percentages of funding sources renewals and of loan portfolio collections. Other additional elements included in the Liquidity Contingency Plan are, among others, the collection of all loan maturities and the case-by-case approval of all new credit disbursements by the Credit Committee, establishing at least biweekly meetings.</w:t>
      </w:r>
    </w:p>
    <w:p>
      <w:pPr>
        <w:spacing w:after="0" w:line="178"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Following the execution of the previously described Liquidity Contingency Plan, the Bank achieved a significant increase in its cash position in a short period of time, managing to continuously maintain a robust level of liquidity, exceeding regulatory requirements.</w:t>
      </w:r>
    </w:p>
    <w:p>
      <w:pPr>
        <w:spacing w:after="0" w:line="170"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The Bank’s capacity to maintain these strong liquidity levels, even in the current context, is attributable to historically diversified and stable funding sources, including deposits from central banks in Latin America and the Caribbean, who are also the Bank’s Class A shareholders. In addition, the Bank has maintained a fluid access to a significant base of correspondent banks and investors from debt capital markets across the globe, which have maintained and even increased their availability of funding to the Bank in the last few months. Furthermore, the Bank has been able to collect on the majority of scheduled maturities of its loan portfolio and has then disbursed new transactions on a selective basis, prioritizing prudent risk management over loan growth, with a focus on adequate levels of risk / return.</w:t>
      </w:r>
    </w:p>
    <w:p>
      <w:pPr>
        <w:spacing w:after="0" w:line="178" w:lineRule="exact"/>
        <w:rPr>
          <w:sz w:val="20"/>
          <w:szCs w:val="20"/>
          <w:color w:val="auto"/>
        </w:rPr>
      </w:pPr>
    </w:p>
    <w:p>
      <w:pPr>
        <w:jc w:val="both"/>
        <w:ind w:left="340" w:right="20"/>
        <w:spacing w:after="0" w:line="308" w:lineRule="auto"/>
        <w:rPr>
          <w:sz w:val="20"/>
          <w:szCs w:val="20"/>
          <w:color w:val="auto"/>
        </w:rPr>
      </w:pPr>
      <w:r>
        <w:rPr>
          <w:rFonts w:ascii="Arial" w:cs="Arial" w:eastAsia="Arial" w:hAnsi="Arial"/>
          <w:sz w:val="17"/>
          <w:szCs w:val="17"/>
          <w:color w:val="auto"/>
        </w:rPr>
        <w:t>The Bank intends to maintain this additional level of liquidity as long as the current environment of volatility and uncertainty remains, therefore it will continue to give preference to maintaining a resilient and robust liquidity position over the growth of its balance sheet and / or its profitability.</w:t>
      </w:r>
    </w:p>
    <w:p>
      <w:pPr>
        <w:spacing w:after="0" w:line="14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ii.</w:t>
      </w:r>
      <w:r>
        <w:rPr>
          <w:sz w:val="20"/>
          <w:szCs w:val="20"/>
          <w:color w:val="auto"/>
        </w:rPr>
        <w:tab/>
      </w:r>
      <w:r>
        <w:rPr>
          <w:rFonts w:ascii="Arial" w:cs="Arial" w:eastAsia="Arial" w:hAnsi="Arial"/>
          <w:sz w:val="16"/>
          <w:szCs w:val="16"/>
          <w:b w:val="1"/>
          <w:bCs w:val="1"/>
          <w:color w:val="auto"/>
        </w:rPr>
        <w:t>Credit risk</w:t>
      </w:r>
    </w:p>
    <w:p>
      <w:pPr>
        <w:spacing w:after="0" w:line="229"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The Bank determines the appropriate level of allowances for expected credit losses based on a forward-looking process that estimates the probable loss inherent in its Credit Portfolio, which is the result of a statistical analysis supported by the Bank’s historical portfolio performance, external sources, and the judgment of the Bank’s management. This level of allowance reflects assumptions and estimates made in the context of changing political and economic conditions in the region, including but not limited to the impact of recent ongoing turmoil related to COVID-19.</w:t>
      </w:r>
    </w:p>
    <w:p>
      <w:pPr>
        <w:spacing w:after="0" w:line="17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4" w:name="page205"/>
    <w:bookmarkEnd w:id="20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right="7880" w:hanging="332"/>
        <w:spacing w:after="0" w:line="532" w:lineRule="auto"/>
        <w:tabs>
          <w:tab w:leader="none" w:pos="340" w:val="left"/>
        </w:tabs>
        <w:numPr>
          <w:ilvl w:val="0"/>
          <w:numId w:val="22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management (continued) ii. Credit risk (continued)</w:t>
      </w:r>
    </w:p>
    <w:p>
      <w:pPr>
        <w:spacing w:after="0" w:line="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a Business Model mainly focused on financial institutions and large corporations, a portion of which represents “quasi-sovereign” risks, with an average short-term duration, allowing an agile adjustment of exposure in adverse scenarios.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Actions implemented due to the COVID-19 pandemic</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In late March 2020, due to the context, Bladex elaborated a heat map including each country and industry in which it maintains exposure. This allowed the Bank to identify customers with higher levels of risk depending on the country, industry and financial position.</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Four main variables were used to assign the level of customer risk:</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360" w:type="dxa"/>
            <w:vAlign w:val="bottom"/>
            <w:gridSpan w:val="3"/>
          </w:tcPr>
          <w:p>
            <w:pPr>
              <w:spacing w:after="0"/>
              <w:rPr>
                <w:sz w:val="20"/>
                <w:szCs w:val="20"/>
                <w:color w:val="auto"/>
              </w:rPr>
            </w:pPr>
            <w:r>
              <w:rPr>
                <w:rFonts w:ascii="Arial" w:cs="Arial" w:eastAsia="Arial" w:hAnsi="Arial"/>
                <w:sz w:val="18"/>
                <w:szCs w:val="18"/>
                <w:color w:val="auto"/>
              </w:rPr>
              <w:t>Financial Institutions</w:t>
            </w:r>
          </w:p>
        </w:tc>
        <w:tc>
          <w:tcPr>
            <w:tcW w:w="4720" w:type="dxa"/>
            <w:vAlign w:val="bottom"/>
            <w:gridSpan w:val="2"/>
          </w:tcPr>
          <w:p>
            <w:pPr>
              <w:spacing w:after="0"/>
              <w:rPr>
                <w:sz w:val="20"/>
                <w:szCs w:val="20"/>
                <w:color w:val="auto"/>
              </w:rPr>
            </w:pPr>
            <w:r>
              <w:rPr>
                <w:rFonts w:ascii="Arial" w:cs="Arial" w:eastAsia="Arial" w:hAnsi="Arial"/>
                <w:sz w:val="18"/>
                <w:szCs w:val="18"/>
                <w:color w:val="auto"/>
              </w:rPr>
              <w:t>Corporations</w:t>
            </w:r>
          </w:p>
        </w:tc>
      </w:tr>
      <w:tr>
        <w:trPr>
          <w:trHeight w:val="195"/>
        </w:trPr>
        <w:tc>
          <w:tcPr>
            <w:tcW w:w="400" w:type="dxa"/>
            <w:vAlign w:val="bottom"/>
            <w:tcBorders>
              <w:top w:val="single" w:sz="8" w:color="auto"/>
            </w:tcBorders>
          </w:tcPr>
          <w:p>
            <w:pPr>
              <w:ind w:left="160"/>
              <w:spacing w:after="0" w:line="195" w:lineRule="exact"/>
              <w:rPr>
                <w:sz w:val="20"/>
                <w:szCs w:val="20"/>
                <w:color w:val="auto"/>
              </w:rPr>
            </w:pPr>
            <w:r>
              <w:rPr>
                <w:rFonts w:ascii="Arial" w:cs="Arial" w:eastAsia="Arial" w:hAnsi="Arial"/>
                <w:sz w:val="18"/>
                <w:szCs w:val="18"/>
                <w:color w:val="auto"/>
              </w:rPr>
              <w:t>a.</w:t>
            </w:r>
          </w:p>
        </w:tc>
        <w:tc>
          <w:tcPr>
            <w:tcW w:w="4300" w:type="dxa"/>
            <w:vAlign w:val="bottom"/>
            <w:tcBorders>
              <w:top w:val="single" w:sz="8" w:color="auto"/>
            </w:tcBorders>
          </w:tcPr>
          <w:p>
            <w:pPr>
              <w:ind w:left="100"/>
              <w:spacing w:after="0" w:line="195" w:lineRule="exact"/>
              <w:rPr>
                <w:sz w:val="20"/>
                <w:szCs w:val="20"/>
                <w:color w:val="auto"/>
              </w:rPr>
            </w:pPr>
            <w:r>
              <w:rPr>
                <w:rFonts w:ascii="Arial" w:cs="Arial" w:eastAsia="Arial" w:hAnsi="Arial"/>
                <w:sz w:val="18"/>
                <w:szCs w:val="18"/>
                <w:color w:val="auto"/>
              </w:rPr>
              <w:t>COVID-19 business impact</w:t>
            </w:r>
          </w:p>
        </w:tc>
        <w:tc>
          <w:tcPr>
            <w:tcW w:w="660" w:type="dxa"/>
            <w:vAlign w:val="bottom"/>
          </w:tcPr>
          <w:p>
            <w:pPr>
              <w:spacing w:after="0"/>
              <w:rPr>
                <w:sz w:val="16"/>
                <w:szCs w:val="16"/>
                <w:color w:val="auto"/>
              </w:rPr>
            </w:pPr>
          </w:p>
        </w:tc>
        <w:tc>
          <w:tcPr>
            <w:tcW w:w="400" w:type="dxa"/>
            <w:vAlign w:val="bottom"/>
            <w:tcBorders>
              <w:top w:val="single" w:sz="8" w:color="auto"/>
            </w:tcBorders>
          </w:tcPr>
          <w:p>
            <w:pPr>
              <w:ind w:left="160"/>
              <w:spacing w:after="0" w:line="195" w:lineRule="exact"/>
              <w:rPr>
                <w:sz w:val="20"/>
                <w:szCs w:val="20"/>
                <w:color w:val="auto"/>
              </w:rPr>
            </w:pPr>
            <w:r>
              <w:rPr>
                <w:rFonts w:ascii="Arial" w:cs="Arial" w:eastAsia="Arial" w:hAnsi="Arial"/>
                <w:sz w:val="18"/>
                <w:szCs w:val="18"/>
                <w:color w:val="auto"/>
              </w:rPr>
              <w:t>a.</w:t>
            </w:r>
          </w:p>
        </w:tc>
        <w:tc>
          <w:tcPr>
            <w:tcW w:w="4320" w:type="dxa"/>
            <w:vAlign w:val="bottom"/>
            <w:tcBorders>
              <w:top w:val="single" w:sz="8" w:color="auto"/>
            </w:tcBorders>
          </w:tcPr>
          <w:p>
            <w:pPr>
              <w:ind w:left="120"/>
              <w:spacing w:after="0" w:line="195" w:lineRule="exact"/>
              <w:rPr>
                <w:sz w:val="20"/>
                <w:szCs w:val="20"/>
                <w:color w:val="auto"/>
              </w:rPr>
            </w:pPr>
            <w:r>
              <w:rPr>
                <w:rFonts w:ascii="Arial" w:cs="Arial" w:eastAsia="Arial" w:hAnsi="Arial"/>
                <w:sz w:val="18"/>
                <w:szCs w:val="18"/>
                <w:color w:val="auto"/>
              </w:rPr>
              <w:t>COVID-19 business impact</w:t>
            </w:r>
          </w:p>
        </w:tc>
      </w:tr>
      <w:tr>
        <w:trPr>
          <w:trHeight w:val="216"/>
        </w:trPr>
        <w:tc>
          <w:tcPr>
            <w:tcW w:w="5360" w:type="dxa"/>
            <w:vAlign w:val="bottom"/>
            <w:gridSpan w:val="3"/>
          </w:tcPr>
          <w:p>
            <w:pPr>
              <w:ind w:left="160"/>
              <w:spacing w:after="0"/>
              <w:rPr>
                <w:sz w:val="20"/>
                <w:szCs w:val="20"/>
                <w:color w:val="auto"/>
              </w:rPr>
            </w:pPr>
            <w:r>
              <w:rPr>
                <w:rFonts w:ascii="Arial" w:cs="Arial" w:eastAsia="Arial" w:hAnsi="Arial"/>
                <w:sz w:val="18"/>
                <w:szCs w:val="18"/>
                <w:color w:val="auto"/>
              </w:rPr>
              <w:t>b.   Portfolio quality and coverage levels</w:t>
            </w:r>
          </w:p>
        </w:tc>
        <w:tc>
          <w:tcPr>
            <w:tcW w:w="4720" w:type="dxa"/>
            <w:vAlign w:val="bottom"/>
            <w:gridSpan w:val="2"/>
          </w:tcPr>
          <w:p>
            <w:pPr>
              <w:ind w:left="160"/>
              <w:spacing w:after="0"/>
              <w:rPr>
                <w:sz w:val="20"/>
                <w:szCs w:val="20"/>
                <w:color w:val="auto"/>
              </w:rPr>
            </w:pPr>
            <w:r>
              <w:rPr>
                <w:rFonts w:ascii="Arial" w:cs="Arial" w:eastAsia="Arial" w:hAnsi="Arial"/>
                <w:sz w:val="18"/>
                <w:szCs w:val="18"/>
                <w:color w:val="auto"/>
              </w:rPr>
              <w:t>a.   Foreign currency exchange risk</w:t>
            </w:r>
          </w:p>
        </w:tc>
      </w:tr>
      <w:tr>
        <w:trPr>
          <w:trHeight w:val="216"/>
        </w:trPr>
        <w:tc>
          <w:tcPr>
            <w:tcW w:w="400" w:type="dxa"/>
            <w:vAlign w:val="bottom"/>
          </w:tcPr>
          <w:p>
            <w:pPr>
              <w:ind w:left="160"/>
              <w:spacing w:after="0"/>
              <w:rPr>
                <w:sz w:val="20"/>
                <w:szCs w:val="20"/>
                <w:color w:val="auto"/>
              </w:rPr>
            </w:pPr>
            <w:r>
              <w:rPr>
                <w:rFonts w:ascii="Arial" w:cs="Arial" w:eastAsia="Arial" w:hAnsi="Arial"/>
                <w:sz w:val="18"/>
                <w:szCs w:val="18"/>
                <w:color w:val="auto"/>
              </w:rPr>
              <w:t>b.</w:t>
            </w:r>
          </w:p>
        </w:tc>
        <w:tc>
          <w:tcPr>
            <w:tcW w:w="4960" w:type="dxa"/>
            <w:vAlign w:val="bottom"/>
            <w:gridSpan w:val="2"/>
          </w:tcPr>
          <w:p>
            <w:pPr>
              <w:ind w:left="120"/>
              <w:spacing w:after="0"/>
              <w:rPr>
                <w:sz w:val="20"/>
                <w:szCs w:val="20"/>
                <w:color w:val="auto"/>
              </w:rPr>
            </w:pPr>
            <w:r>
              <w:rPr>
                <w:rFonts w:ascii="Arial" w:cs="Arial" w:eastAsia="Arial" w:hAnsi="Arial"/>
                <w:sz w:val="18"/>
                <w:szCs w:val="18"/>
                <w:color w:val="auto"/>
              </w:rPr>
              <w:t>Solvency level</w:t>
            </w:r>
          </w:p>
        </w:tc>
        <w:tc>
          <w:tcPr>
            <w:tcW w:w="400" w:type="dxa"/>
            <w:vAlign w:val="bottom"/>
          </w:tcPr>
          <w:p>
            <w:pPr>
              <w:ind w:left="160"/>
              <w:spacing w:after="0"/>
              <w:rPr>
                <w:sz w:val="20"/>
                <w:szCs w:val="20"/>
                <w:color w:val="auto"/>
              </w:rPr>
            </w:pPr>
            <w:r>
              <w:rPr>
                <w:rFonts w:ascii="Arial" w:cs="Arial" w:eastAsia="Arial" w:hAnsi="Arial"/>
                <w:sz w:val="18"/>
                <w:szCs w:val="18"/>
                <w:color w:val="auto"/>
              </w:rPr>
              <w:t>i.</w:t>
            </w:r>
          </w:p>
        </w:tc>
        <w:tc>
          <w:tcPr>
            <w:tcW w:w="4320" w:type="dxa"/>
            <w:vAlign w:val="bottom"/>
          </w:tcPr>
          <w:p>
            <w:pPr>
              <w:ind w:left="140"/>
              <w:spacing w:after="0"/>
              <w:rPr>
                <w:sz w:val="20"/>
                <w:szCs w:val="20"/>
                <w:color w:val="auto"/>
              </w:rPr>
            </w:pPr>
            <w:r>
              <w:rPr>
                <w:rFonts w:ascii="Arial" w:cs="Arial" w:eastAsia="Arial" w:hAnsi="Arial"/>
                <w:sz w:val="18"/>
                <w:szCs w:val="18"/>
                <w:color w:val="auto"/>
              </w:rPr>
              <w:t>Commodity risk</w:t>
            </w:r>
          </w:p>
        </w:tc>
      </w:tr>
      <w:tr>
        <w:trPr>
          <w:trHeight w:val="230"/>
        </w:trPr>
        <w:tc>
          <w:tcPr>
            <w:tcW w:w="400" w:type="dxa"/>
            <w:vAlign w:val="bottom"/>
          </w:tcPr>
          <w:p>
            <w:pPr>
              <w:ind w:left="160"/>
              <w:spacing w:after="0"/>
              <w:rPr>
                <w:sz w:val="20"/>
                <w:szCs w:val="20"/>
                <w:color w:val="auto"/>
              </w:rPr>
            </w:pPr>
            <w:r>
              <w:rPr>
                <w:rFonts w:ascii="Arial" w:cs="Arial" w:eastAsia="Arial" w:hAnsi="Arial"/>
                <w:sz w:val="18"/>
                <w:szCs w:val="18"/>
                <w:color w:val="auto"/>
              </w:rPr>
              <w:t>ii.</w:t>
            </w:r>
          </w:p>
        </w:tc>
        <w:tc>
          <w:tcPr>
            <w:tcW w:w="4960" w:type="dxa"/>
            <w:vAlign w:val="bottom"/>
            <w:gridSpan w:val="2"/>
          </w:tcPr>
          <w:p>
            <w:pPr>
              <w:ind w:left="120"/>
              <w:spacing w:after="0"/>
              <w:rPr>
                <w:sz w:val="20"/>
                <w:szCs w:val="20"/>
                <w:color w:val="auto"/>
              </w:rPr>
            </w:pPr>
            <w:r>
              <w:rPr>
                <w:rFonts w:ascii="Arial" w:cs="Arial" w:eastAsia="Arial" w:hAnsi="Arial"/>
                <w:sz w:val="18"/>
                <w:szCs w:val="18"/>
                <w:color w:val="auto"/>
              </w:rPr>
              <w:t>Liquidity position</w:t>
            </w:r>
          </w:p>
        </w:tc>
        <w:tc>
          <w:tcPr>
            <w:tcW w:w="400" w:type="dxa"/>
            <w:vAlign w:val="bottom"/>
          </w:tcPr>
          <w:p>
            <w:pPr>
              <w:ind w:left="160"/>
              <w:spacing w:after="0"/>
              <w:rPr>
                <w:sz w:val="20"/>
                <w:szCs w:val="20"/>
                <w:color w:val="auto"/>
              </w:rPr>
            </w:pPr>
            <w:r>
              <w:rPr>
                <w:rFonts w:ascii="Arial" w:cs="Arial" w:eastAsia="Arial" w:hAnsi="Arial"/>
                <w:sz w:val="18"/>
                <w:szCs w:val="18"/>
                <w:color w:val="auto"/>
              </w:rPr>
              <w:t>d.</w:t>
            </w:r>
          </w:p>
        </w:tc>
        <w:tc>
          <w:tcPr>
            <w:tcW w:w="4320" w:type="dxa"/>
            <w:vAlign w:val="bottom"/>
          </w:tcPr>
          <w:p>
            <w:pPr>
              <w:ind w:left="120"/>
              <w:spacing w:after="0"/>
              <w:rPr>
                <w:sz w:val="20"/>
                <w:szCs w:val="20"/>
                <w:color w:val="auto"/>
              </w:rPr>
            </w:pPr>
            <w:r>
              <w:rPr>
                <w:rFonts w:ascii="Arial" w:cs="Arial" w:eastAsia="Arial" w:hAnsi="Arial"/>
                <w:sz w:val="18"/>
                <w:szCs w:val="18"/>
                <w:color w:val="auto"/>
              </w:rPr>
              <w:t>Liquidity position</w:t>
            </w:r>
          </w:p>
        </w:tc>
      </w:tr>
    </w:tbl>
    <w:p>
      <w:pPr>
        <w:spacing w:after="0" w:line="202"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Bank’s Management holds conference and video calls frequently with its customers, focusing on those operating in higher risk industries. Any relevant information is presented to the Credit Committee.</w:t>
      </w:r>
    </w:p>
    <w:p>
      <w:pPr>
        <w:spacing w:after="0" w:line="170"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As a result of the pandemic crisis, the loans portfolio was significantly reduced due to the implementation of the Liquidity Contingency Plan as the Bank's strategy to adjust the credit risk of the portfolio and prioritize liquidity. Initially, all operations were submitted for approval on a case-by-case basis by the Credit Committee with a meeting frequency of at least twice per week. Subsequently, the Bank progressively resumed originations with clients with good quality profiles with whom it maintained close commercial relationships and, based on the new information available, limits were raised for approval by the CPER for specific cases of short-term transactional clients with good financial situation..</w:t>
      </w:r>
    </w:p>
    <w:p>
      <w:pPr>
        <w:spacing w:after="0" w:line="176"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permanent review of transactions maturing in a 90-day horizon, has allowed the Bank to take quick actions to collect and to identify cases with a higher level of risk. Moreover, the Bank is assessing on a periodic basis the adequacy of the allowances for expected credit losses.</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holds a low-risk portfolio, particularly due to the nature of its business, which focuses on a portfolio on financial institutions and corporations in the region and “quasi-sovereign” entities in strategic sectors, with whom it mainly conducts foreign trade operations. At December 31, 2020, 58% of placements were in investment grade countries, along with a short-term portfolio profile with 61% of the portfolio maturing within 1 year.</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periodically assesses the adequacy and the validity of the allowance for expected credit losses calculation model. When assessing if the calculation model remains valid, characteristics and behavior of the loan portfolio are considered as a fundamental factor, as well as the active management by Risk and Business areas. Additionally, periodic and specific economic analyses that contribute to the active management of the portfolio are considered.</w:t>
      </w:r>
    </w:p>
    <w:p>
      <w:pPr>
        <w:spacing w:after="0" w:line="187" w:lineRule="exact"/>
        <w:rPr>
          <w:sz w:val="20"/>
          <w:szCs w:val="20"/>
          <w:color w:val="auto"/>
        </w:rPr>
      </w:pPr>
    </w:p>
    <w:p>
      <w:pPr>
        <w:jc w:val="both"/>
        <w:ind w:left="340"/>
        <w:spacing w:after="0" w:line="273" w:lineRule="auto"/>
        <w:rPr>
          <w:sz w:val="20"/>
          <w:szCs w:val="20"/>
          <w:color w:val="auto"/>
        </w:rPr>
      </w:pPr>
      <w:r>
        <w:rPr>
          <w:rFonts w:ascii="Arial" w:cs="Arial" w:eastAsia="Arial" w:hAnsi="Arial"/>
          <w:sz w:val="17"/>
          <w:szCs w:val="17"/>
          <w:color w:val="auto"/>
        </w:rPr>
        <w:t>Given the current situation, the Bank has prepared 40 individual country risk analyses, as well as a comprehensive analysis at the beginning of the pandemic for 20 countries of Latin America and the Caribbean. Likewise, the results of the alert model have served as a guide to focus the consideration of the forward looking, which are duly incorporated in the rating models. In addition, statistical studies were conducted on the relationship between the quality of the loan portfolio and the behavior of the Latin American macroeconomic environment, concluding that these maintain a low correlation or a correlation that is not congruent with the behavior of the portfolio given the macroeconomic conditions. As a result of the above, the Bank has concluded that the methodology used remains valid in the context of the COVID-19 pandemic.</w:t>
      </w:r>
    </w:p>
    <w:p>
      <w:pPr>
        <w:spacing w:after="0" w:line="17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5" w:name="page206"/>
    <w:bookmarkEnd w:id="20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right="7880" w:hanging="332"/>
        <w:spacing w:after="0" w:line="503" w:lineRule="auto"/>
        <w:tabs>
          <w:tab w:leader="none" w:pos="340" w:val="left"/>
        </w:tabs>
        <w:numPr>
          <w:ilvl w:val="0"/>
          <w:numId w:val="22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management (continued) iii. Market risk</w:t>
      </w:r>
    </w:p>
    <w:p>
      <w:pPr>
        <w:ind w:left="340"/>
        <w:spacing w:after="0"/>
        <w:rPr>
          <w:sz w:val="20"/>
          <w:szCs w:val="20"/>
          <w:color w:val="auto"/>
        </w:rPr>
      </w:pPr>
      <w:r>
        <w:rPr>
          <w:rFonts w:ascii="Arial" w:cs="Arial" w:eastAsia="Arial" w:hAnsi="Arial"/>
          <w:sz w:val="18"/>
          <w:szCs w:val="18"/>
          <w:color w:val="auto"/>
        </w:rPr>
        <w:t>The Bank's Management has not made any material adjustments to the Market Risk valuation metrics and models.</w:t>
      </w:r>
    </w:p>
    <w:p>
      <w:pPr>
        <w:spacing w:after="0" w:line="221"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iv.</w:t>
      </w:r>
      <w:r>
        <w:rPr>
          <w:sz w:val="20"/>
          <w:szCs w:val="20"/>
          <w:color w:val="auto"/>
        </w:rPr>
        <w:tab/>
      </w:r>
      <w:r>
        <w:rPr>
          <w:rFonts w:ascii="Arial" w:cs="Arial" w:eastAsia="Arial" w:hAnsi="Arial"/>
          <w:sz w:val="16"/>
          <w:szCs w:val="16"/>
          <w:b w:val="1"/>
          <w:bCs w:val="1"/>
          <w:color w:val="auto"/>
        </w:rPr>
        <w:t>Cybersecurity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Actions implemented due to the COVID-19 pandemic</w:t>
      </w:r>
    </w:p>
    <w:p>
      <w:pPr>
        <w:spacing w:after="0" w:line="22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Bank successfully implemented its Business Continuity Plan, implicating among other things, that 100% of its staff is working remotely (Telecommuting).</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has increased the frequency of risks associated with cybersecurity, among them:</w:t>
      </w:r>
    </w:p>
    <w:p>
      <w:pPr>
        <w:spacing w:after="0" w:line="225" w:lineRule="exact"/>
        <w:rPr>
          <w:sz w:val="20"/>
          <w:szCs w:val="20"/>
          <w:color w:val="auto"/>
        </w:rPr>
      </w:pPr>
    </w:p>
    <w:p>
      <w:pPr>
        <w:ind w:left="980" w:hanging="324"/>
        <w:spacing w:after="0"/>
        <w:tabs>
          <w:tab w:leader="none" w:pos="980" w:val="left"/>
        </w:tabs>
        <w:numPr>
          <w:ilvl w:val="0"/>
          <w:numId w:val="225"/>
        </w:numPr>
        <w:rPr>
          <w:rFonts w:ascii="Arial" w:cs="Arial" w:eastAsia="Arial" w:hAnsi="Arial"/>
          <w:sz w:val="18"/>
          <w:szCs w:val="18"/>
          <w:color w:val="auto"/>
        </w:rPr>
      </w:pPr>
      <w:r>
        <w:rPr>
          <w:rFonts w:ascii="Arial" w:cs="Arial" w:eastAsia="Arial" w:hAnsi="Arial"/>
          <w:sz w:val="18"/>
          <w:szCs w:val="18"/>
          <w:color w:val="auto"/>
        </w:rPr>
        <w:t>Increased e-mail attack attempts.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0"/>
          <w:numId w:val="225"/>
        </w:numPr>
        <w:rPr>
          <w:rFonts w:ascii="Arial" w:cs="Arial" w:eastAsia="Arial" w:hAnsi="Arial"/>
          <w:sz w:val="18"/>
          <w:szCs w:val="18"/>
          <w:color w:val="auto"/>
        </w:rPr>
      </w:pPr>
      <w:r>
        <w:rPr>
          <w:rFonts w:ascii="Arial" w:cs="Arial" w:eastAsia="Arial" w:hAnsi="Arial"/>
          <w:sz w:val="18"/>
          <w:szCs w:val="18"/>
          <w:color w:val="auto"/>
        </w:rPr>
        <w:t>Increased attack attempts due to the widespread use of remote connection protocols.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 counteract these risks, the Bank's Management has reinforced the controls as follows:</w:t>
      </w:r>
    </w:p>
    <w:p>
      <w:pPr>
        <w:spacing w:after="0" w:line="225" w:lineRule="exact"/>
        <w:rPr>
          <w:sz w:val="20"/>
          <w:szCs w:val="20"/>
          <w:color w:val="auto"/>
        </w:rPr>
      </w:pPr>
    </w:p>
    <w:p>
      <w:pPr>
        <w:ind w:left="980" w:hanging="324"/>
        <w:spacing w:after="0"/>
        <w:tabs>
          <w:tab w:leader="none" w:pos="980" w:val="left"/>
        </w:tabs>
        <w:numPr>
          <w:ilvl w:val="1"/>
          <w:numId w:val="226"/>
        </w:numPr>
        <w:rPr>
          <w:rFonts w:ascii="Arial" w:cs="Arial" w:eastAsia="Arial" w:hAnsi="Arial"/>
          <w:sz w:val="18"/>
          <w:szCs w:val="18"/>
          <w:color w:val="auto"/>
        </w:rPr>
      </w:pPr>
      <w:r>
        <w:rPr>
          <w:rFonts w:ascii="Arial" w:cs="Arial" w:eastAsia="Arial" w:hAnsi="Arial"/>
          <w:sz w:val="18"/>
          <w:szCs w:val="18"/>
          <w:color w:val="auto"/>
        </w:rPr>
        <w:t>Monitoring of main attack vectors was expanded: e-mail and end-user devices.</w:t>
      </w:r>
    </w:p>
    <w:p>
      <w:pPr>
        <w:spacing w:after="0" w:line="23" w:lineRule="exact"/>
        <w:rPr>
          <w:rFonts w:ascii="Arial" w:cs="Arial" w:eastAsia="Arial" w:hAnsi="Arial"/>
          <w:sz w:val="18"/>
          <w:szCs w:val="18"/>
          <w:color w:val="auto"/>
        </w:rPr>
      </w:pPr>
    </w:p>
    <w:p>
      <w:pPr>
        <w:ind w:left="980" w:hanging="324"/>
        <w:spacing w:after="0"/>
        <w:tabs>
          <w:tab w:leader="none" w:pos="980" w:val="left"/>
        </w:tabs>
        <w:numPr>
          <w:ilvl w:val="1"/>
          <w:numId w:val="226"/>
        </w:numPr>
        <w:rPr>
          <w:rFonts w:ascii="Arial" w:cs="Arial" w:eastAsia="Arial" w:hAnsi="Arial"/>
          <w:sz w:val="18"/>
          <w:szCs w:val="18"/>
          <w:color w:val="auto"/>
        </w:rPr>
      </w:pPr>
      <w:r>
        <w:rPr>
          <w:rFonts w:ascii="Arial" w:cs="Arial" w:eastAsia="Arial" w:hAnsi="Arial"/>
          <w:sz w:val="18"/>
          <w:szCs w:val="18"/>
          <w:color w:val="auto"/>
        </w:rPr>
        <w:t>Awareness and training activities within the organization were reinforced.</w:t>
      </w:r>
    </w:p>
    <w:p>
      <w:pPr>
        <w:spacing w:after="0" w:line="9" w:lineRule="exact"/>
        <w:rPr>
          <w:rFonts w:ascii="Arial" w:cs="Arial" w:eastAsia="Arial" w:hAnsi="Arial"/>
          <w:sz w:val="18"/>
          <w:szCs w:val="18"/>
          <w:color w:val="auto"/>
        </w:rPr>
      </w:pPr>
    </w:p>
    <w:p>
      <w:pPr>
        <w:ind w:left="980" w:hanging="324"/>
        <w:spacing w:after="0"/>
        <w:tabs>
          <w:tab w:leader="none" w:pos="980" w:val="left"/>
        </w:tabs>
        <w:numPr>
          <w:ilvl w:val="1"/>
          <w:numId w:val="226"/>
        </w:numPr>
        <w:rPr>
          <w:rFonts w:ascii="Arial" w:cs="Arial" w:eastAsia="Arial" w:hAnsi="Arial"/>
          <w:sz w:val="18"/>
          <w:szCs w:val="18"/>
          <w:color w:val="auto"/>
        </w:rPr>
      </w:pPr>
      <w:r>
        <w:rPr>
          <w:rFonts w:ascii="Arial" w:cs="Arial" w:eastAsia="Arial" w:hAnsi="Arial"/>
          <w:sz w:val="18"/>
          <w:szCs w:val="18"/>
          <w:color w:val="auto"/>
        </w:rPr>
        <w:t>Frequency of vulnerability scans has been intensified.</w:t>
      </w:r>
    </w:p>
    <w:p>
      <w:pPr>
        <w:spacing w:after="0" w:line="206" w:lineRule="exact"/>
        <w:rPr>
          <w:rFonts w:ascii="Arial" w:cs="Arial" w:eastAsia="Arial" w:hAnsi="Arial"/>
          <w:sz w:val="18"/>
          <w:szCs w:val="18"/>
          <w:color w:val="auto"/>
        </w:rPr>
      </w:pPr>
    </w:p>
    <w:p>
      <w:pPr>
        <w:ind w:left="340" w:hanging="332"/>
        <w:spacing w:after="0"/>
        <w:tabs>
          <w:tab w:leader="none" w:pos="340" w:val="left"/>
        </w:tabs>
        <w:numPr>
          <w:ilvl w:val="0"/>
          <w:numId w:val="22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53" w:lineRule="auto"/>
        <w:rPr>
          <w:rFonts w:ascii="Arial" w:cs="Arial" w:eastAsia="Arial" w:hAnsi="Arial"/>
          <w:sz w:val="18"/>
          <w:szCs w:val="18"/>
          <w:b w:val="1"/>
          <w:bCs w:val="1"/>
          <w:color w:val="auto"/>
        </w:rPr>
      </w:pPr>
      <w:r>
        <w:rPr>
          <w:rFonts w:ascii="Arial" w:cs="Arial" w:eastAsia="Arial" w:hAnsi="Arial"/>
          <w:sz w:val="18"/>
          <w:szCs w:val="18"/>
          <w:color w:val="auto"/>
        </w:rPr>
        <w:t>The Bank determines the fair value of its financial instruments using the fair value hierarchy,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9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applied the following fair value hierarchy:</w:t>
      </w:r>
    </w:p>
    <w:p>
      <w:pPr>
        <w:spacing w:after="0" w:line="225"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6" w:lineRule="exact"/>
        <w:rPr>
          <w:sz w:val="20"/>
          <w:szCs w:val="20"/>
          <w:color w:val="auto"/>
        </w:rPr>
      </w:pPr>
    </w:p>
    <w:p>
      <w:pPr>
        <w:jc w:val="both"/>
        <w:ind w:left="820"/>
        <w:spacing w:after="0" w:line="263"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8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16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6" w:name="page207"/>
    <w:bookmarkEnd w:id="20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2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1"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24"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66" w:lineRule="exact"/>
        <w:rPr>
          <w:sz w:val="20"/>
          <w:szCs w:val="20"/>
          <w:color w:val="auto"/>
        </w:rPr>
      </w:pPr>
    </w:p>
    <w:p>
      <w:pPr>
        <w:ind w:left="660" w:hanging="328"/>
        <w:spacing w:after="0"/>
        <w:tabs>
          <w:tab w:leader="none" w:pos="660" w:val="left"/>
        </w:tabs>
        <w:numPr>
          <w:ilvl w:val="0"/>
          <w:numId w:val="228"/>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 and hedged items that qualify as a fair value hedging relationship</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7"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7" w:name="page208"/>
    <w:bookmarkEnd w:id="20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right="7320" w:hanging="332"/>
        <w:spacing w:after="0" w:line="566" w:lineRule="auto"/>
        <w:tabs>
          <w:tab w:leader="none" w:pos="340" w:val="left"/>
        </w:tabs>
        <w:numPr>
          <w:ilvl w:val="0"/>
          <w:numId w:val="22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A. </w:t>
      </w:r>
      <w:r>
        <w:rPr>
          <w:rFonts w:ascii="Arial" w:cs="Arial" w:eastAsia="Arial" w:hAnsi="Arial"/>
          <w:sz w:val="16"/>
          <w:szCs w:val="16"/>
          <w:b w:val="1"/>
          <w:bCs w:val="1"/>
          <w:u w:val="single" w:color="auto"/>
          <w:color w:val="auto"/>
        </w:rPr>
        <w:t>Recurring valuation (continued)</w:t>
      </w:r>
    </w:p>
    <w:p>
      <w:pPr>
        <w:ind w:left="34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1040" w:type="dxa"/>
            <w:vAlign w:val="bottom"/>
          </w:tcPr>
          <w:p>
            <w:pPr>
              <w:ind w:left="34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6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90"/>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6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226,235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226,235</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5,113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5,113</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Loans at fair value through profit or loss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4,949</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4,949</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231,348</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236,297</w:t>
            </w:r>
          </w:p>
        </w:tc>
        <w:tc>
          <w:tcPr>
            <w:tcW w:w="12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4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1,831</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25,947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25,947</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12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r>
      <w:tr>
        <w:trPr>
          <w:trHeight w:val="250"/>
        </w:trPr>
        <w:tc>
          <w:tcPr>
            <w:tcW w:w="340" w:type="dxa"/>
            <w:vAlign w:val="bottom"/>
          </w:tcPr>
          <w:p>
            <w:pPr>
              <w:spacing w:after="0"/>
              <w:rPr>
                <w:sz w:val="21"/>
                <w:szCs w:val="21"/>
                <w:color w:val="auto"/>
              </w:rPr>
            </w:pPr>
          </w:p>
        </w:tc>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040" w:type="dxa"/>
            <w:vAlign w:val="bottom"/>
            <w:shd w:val="clear" w:color="auto" w:fill="CCEEFF"/>
          </w:tcPr>
          <w:p>
            <w:pPr>
              <w:spacing w:after="0"/>
              <w:rPr>
                <w:sz w:val="21"/>
                <w:szCs w:val="21"/>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1"/>
                <w:szCs w:val="21"/>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259,126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4,949</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264,075</w:t>
            </w:r>
          </w:p>
        </w:tc>
        <w:tc>
          <w:tcPr>
            <w:tcW w:w="20" w:type="dxa"/>
            <w:vAlign w:val="bottom"/>
          </w:tcPr>
          <w:p>
            <w:pPr>
              <w:spacing w:after="0"/>
              <w:rPr>
                <w:sz w:val="21"/>
                <w:szCs w:val="21"/>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44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4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175"/>
        </w:trPr>
        <w:tc>
          <w:tcPr>
            <w:tcW w:w="340" w:type="dxa"/>
            <w:vAlign w:val="bottom"/>
          </w:tcPr>
          <w:p>
            <w:pPr>
              <w:spacing w:after="0"/>
              <w:rPr>
                <w:sz w:val="15"/>
                <w:szCs w:val="15"/>
                <w:color w:val="auto"/>
              </w:rPr>
            </w:pPr>
          </w:p>
        </w:tc>
        <w:tc>
          <w:tcPr>
            <w:tcW w:w="620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4400" w:type="dxa"/>
            <w:vAlign w:val="bottom"/>
            <w:tcBorders>
              <w:top w:val="single" w:sz="8" w:color="CCEEFF"/>
            </w:tcBorders>
            <w:shd w:val="clear" w:color="auto" w:fill="CCEEFF"/>
          </w:tcPr>
          <w:p>
            <w:pPr>
              <w:spacing w:after="0" w:line="20" w:lineRule="exact"/>
              <w:rPr>
                <w:sz w:val="1"/>
                <w:szCs w:val="1"/>
                <w:color w:val="auto"/>
              </w:rPr>
            </w:pPr>
          </w:p>
        </w:tc>
        <w:tc>
          <w:tcPr>
            <w:tcW w:w="10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3,848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3,848</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3,589</w:t>
            </w:r>
          </w:p>
        </w:tc>
        <w:tc>
          <w:tcPr>
            <w:tcW w:w="2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12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r>
      <w:tr>
        <w:trPr>
          <w:trHeight w:val="250"/>
        </w:trPr>
        <w:tc>
          <w:tcPr>
            <w:tcW w:w="340" w:type="dxa"/>
            <w:vAlign w:val="bottom"/>
          </w:tcPr>
          <w:p>
            <w:pPr>
              <w:spacing w:after="0"/>
              <w:rPr>
                <w:sz w:val="21"/>
                <w:szCs w:val="21"/>
                <w:color w:val="auto"/>
              </w:rPr>
            </w:pPr>
          </w:p>
        </w:tc>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40" w:type="dxa"/>
            <w:vAlign w:val="bottom"/>
            <w:shd w:val="clear" w:color="auto" w:fill="CCEEFF"/>
          </w:tcPr>
          <w:p>
            <w:pPr>
              <w:spacing w:after="0"/>
              <w:rPr>
                <w:sz w:val="21"/>
                <w:szCs w:val="21"/>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1"/>
                <w:szCs w:val="21"/>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9,211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9,211</w:t>
            </w:r>
          </w:p>
        </w:tc>
        <w:tc>
          <w:tcPr>
            <w:tcW w:w="20" w:type="dxa"/>
            <w:vAlign w:val="bottom"/>
          </w:tcPr>
          <w:p>
            <w:pPr>
              <w:spacing w:after="0"/>
              <w:rPr>
                <w:sz w:val="21"/>
                <w:szCs w:val="21"/>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44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5440" w:type="dxa"/>
            <w:vAlign w:val="bottom"/>
            <w:tcBorders>
              <w:bottom w:val="single" w:sz="8" w:color="auto"/>
            </w:tcBorders>
            <w:gridSpan w:val="2"/>
          </w:tcPr>
          <w:p>
            <w:pPr>
              <w:ind w:left="4360"/>
              <w:spacing w:after="0"/>
              <w:rPr>
                <w:sz w:val="20"/>
                <w:szCs w:val="20"/>
                <w:color w:val="auto"/>
              </w:rPr>
            </w:pPr>
            <w:r>
              <w:rPr>
                <w:rFonts w:ascii="Arial" w:cs="Arial" w:eastAsia="Arial" w:hAnsi="Arial"/>
                <w:sz w:val="18"/>
                <w:szCs w:val="18"/>
                <w:color w:val="auto"/>
              </w:rPr>
              <w:t>F-72</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08" w:name="page209"/>
    <w:bookmarkEnd w:id="20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7.</w:t>
        <w:tab/>
        <w:t>Fair value of financial instruments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A.</w:t>
      </w:r>
      <w:r>
        <w:rPr>
          <w:sz w:val="20"/>
          <w:szCs w:val="20"/>
          <w:color w:val="auto"/>
        </w:rPr>
        <w:tab/>
      </w:r>
      <w:r>
        <w:rPr>
          <w:rFonts w:ascii="Arial" w:cs="Arial" w:eastAsia="Arial" w:hAnsi="Arial"/>
          <w:sz w:val="16"/>
          <w:szCs w:val="16"/>
          <w:u w:val="single" w:color="auto"/>
          <w:color w:val="auto"/>
        </w:rPr>
        <w:t>Recurring valuation (continued)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2019</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1040" w:type="dxa"/>
            <w:vAlign w:val="bottom"/>
          </w:tcPr>
          <w:p>
            <w:pPr>
              <w:ind w:left="34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6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r>
      <w:tr>
        <w:trPr>
          <w:trHeight w:val="189"/>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6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5,094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5,094</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Equity instrument at FVOCI</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1,889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1,889</w:t>
            </w:r>
          </w:p>
        </w:tc>
      </w:tr>
      <w:tr>
        <w:trPr>
          <w:trHeight w:val="229"/>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Debt instruments at fair value through profit or loss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6,492</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6,492</w:t>
            </w:r>
          </w:p>
        </w:tc>
      </w:tr>
      <w:tr>
        <w:trPr>
          <w:trHeight w:val="223"/>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6,983</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13,475</w:t>
            </w:r>
          </w:p>
        </w:tc>
        <w:tc>
          <w:tcPr>
            <w:tcW w:w="120" w:type="dxa"/>
            <w:vAlign w:val="bottom"/>
            <w:tcBorders>
              <w:bottom w:val="single" w:sz="8" w:color="CCEEFF"/>
            </w:tcBorders>
          </w:tcPr>
          <w:p>
            <w:pPr>
              <w:spacing w:after="0"/>
              <w:rPr>
                <w:sz w:val="19"/>
                <w:szCs w:val="19"/>
                <w:color w:val="auto"/>
              </w:rPr>
            </w:pPr>
          </w:p>
        </w:tc>
      </w:tr>
      <w:tr>
        <w:trPr>
          <w:trHeight w:val="209"/>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4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407</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10,125</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10,125</w:t>
            </w:r>
          </w:p>
        </w:tc>
      </w:tr>
      <w:tr>
        <w:trPr>
          <w:trHeight w:val="229"/>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625</w:t>
            </w:r>
          </w:p>
        </w:tc>
      </w:tr>
      <w:tr>
        <w:trPr>
          <w:trHeight w:val="223"/>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11,157</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11,157</w:t>
            </w:r>
          </w:p>
        </w:tc>
        <w:tc>
          <w:tcPr>
            <w:tcW w:w="120" w:type="dxa"/>
            <w:vAlign w:val="bottom"/>
            <w:tcBorders>
              <w:bottom w:val="single" w:sz="8" w:color="CCEEFF"/>
            </w:tcBorders>
          </w:tcPr>
          <w:p>
            <w:pPr>
              <w:spacing w:after="0"/>
              <w:rPr>
                <w:sz w:val="19"/>
                <w:szCs w:val="19"/>
                <w:color w:val="auto"/>
              </w:rPr>
            </w:pPr>
          </w:p>
        </w:tc>
      </w:tr>
      <w:tr>
        <w:trPr>
          <w:trHeight w:val="250"/>
        </w:trPr>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040" w:type="dxa"/>
            <w:vAlign w:val="bottom"/>
            <w:shd w:val="clear" w:color="auto" w:fill="CCEEFF"/>
          </w:tcPr>
          <w:p>
            <w:pPr>
              <w:spacing w:after="0"/>
              <w:rPr>
                <w:sz w:val="21"/>
                <w:szCs w:val="21"/>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1"/>
                <w:szCs w:val="21"/>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18,140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6,492</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24,632</w:t>
            </w:r>
          </w:p>
        </w:tc>
      </w:tr>
      <w:tr>
        <w:trPr>
          <w:trHeight w:val="20"/>
        </w:trPr>
        <w:tc>
          <w:tcPr>
            <w:tcW w:w="4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44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r>
        <w:trPr>
          <w:trHeight w:val="196"/>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4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176"/>
        </w:trPr>
        <w:tc>
          <w:tcPr>
            <w:tcW w:w="620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r>
      <w:tr>
        <w:trPr>
          <w:trHeight w:val="21"/>
        </w:trPr>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4400" w:type="dxa"/>
            <w:vAlign w:val="bottom"/>
            <w:tcBorders>
              <w:top w:val="single" w:sz="8" w:color="CCEEFF"/>
            </w:tcBorders>
            <w:shd w:val="clear" w:color="auto" w:fill="CCEEFF"/>
          </w:tcPr>
          <w:p>
            <w:pPr>
              <w:spacing w:after="0" w:line="20" w:lineRule="exact"/>
              <w:rPr>
                <w:sz w:val="1"/>
                <w:szCs w:val="1"/>
                <w:color w:val="auto"/>
              </w:rPr>
            </w:pPr>
          </w:p>
        </w:tc>
        <w:tc>
          <w:tcPr>
            <w:tcW w:w="10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1,903</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10,197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10,197</w:t>
            </w:r>
          </w:p>
        </w:tc>
      </w:tr>
      <w:tr>
        <w:trPr>
          <w:trHeight w:val="230"/>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2,575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2,575</w:t>
            </w:r>
          </w:p>
        </w:tc>
      </w:tr>
      <w:tr>
        <w:trPr>
          <w:trHeight w:val="223"/>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14,675</w:t>
            </w:r>
          </w:p>
        </w:tc>
        <w:tc>
          <w:tcPr>
            <w:tcW w:w="22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14,675</w:t>
            </w:r>
          </w:p>
        </w:tc>
        <w:tc>
          <w:tcPr>
            <w:tcW w:w="120" w:type="dxa"/>
            <w:vAlign w:val="bottom"/>
            <w:tcBorders>
              <w:bottom w:val="single" w:sz="8" w:color="CCEEFF"/>
            </w:tcBorders>
          </w:tcPr>
          <w:p>
            <w:pPr>
              <w:spacing w:after="0"/>
              <w:rPr>
                <w:sz w:val="19"/>
                <w:szCs w:val="19"/>
                <w:color w:val="auto"/>
              </w:rPr>
            </w:pPr>
          </w:p>
        </w:tc>
      </w:tr>
      <w:tr>
        <w:trPr>
          <w:trHeight w:val="250"/>
        </w:trPr>
        <w:tc>
          <w:tcPr>
            <w:tcW w:w="516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40" w:type="dxa"/>
            <w:vAlign w:val="bottom"/>
            <w:shd w:val="clear" w:color="auto" w:fill="CCEEFF"/>
          </w:tcPr>
          <w:p>
            <w:pPr>
              <w:spacing w:after="0"/>
              <w:rPr>
                <w:sz w:val="21"/>
                <w:szCs w:val="21"/>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1"/>
                <w:szCs w:val="21"/>
                <w:color w:val="auto"/>
              </w:rPr>
            </w:pP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14,675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14,675</w:t>
            </w:r>
          </w:p>
        </w:tc>
      </w:tr>
      <w:tr>
        <w:trPr>
          <w:trHeight w:val="20"/>
        </w:trPr>
        <w:tc>
          <w:tcPr>
            <w:tcW w:w="48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44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09" w:name="page210"/>
    <w:bookmarkEnd w:id="20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7320" w:hanging="332"/>
        <w:spacing w:after="0" w:line="503" w:lineRule="auto"/>
        <w:tabs>
          <w:tab w:leader="none" w:pos="340" w:val="left"/>
        </w:tabs>
        <w:numPr>
          <w:ilvl w:val="0"/>
          <w:numId w:val="230"/>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B. </w:t>
      </w:r>
      <w:r>
        <w:rPr>
          <w:rFonts w:ascii="Arial" w:cs="Arial" w:eastAsia="Arial" w:hAnsi="Arial"/>
          <w:sz w:val="18"/>
          <w:szCs w:val="18"/>
          <w:b w:val="1"/>
          <w:bCs w:val="1"/>
          <w:u w:val="single" w:color="auto"/>
          <w:color w:val="auto"/>
        </w:rPr>
        <w:t>Non-recurring valuation</w:t>
      </w:r>
    </w:p>
    <w:p>
      <w:pPr>
        <w:jc w:val="both"/>
        <w:ind w:left="340" w:right="20"/>
        <w:spacing w:after="0" w:line="277" w:lineRule="auto"/>
        <w:rPr>
          <w:sz w:val="20"/>
          <w:szCs w:val="20"/>
          <w:color w:val="auto"/>
        </w:rPr>
      </w:pPr>
      <w:r>
        <w:rPr>
          <w:rFonts w:ascii="Arial" w:cs="Arial" w:eastAsia="Arial" w:hAnsi="Arial"/>
          <w:sz w:val="18"/>
          <w:szCs w:val="18"/>
          <w:color w:val="222222"/>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carrying value of certain financial assets, including cash and due from banks, interest-bearing deposits in banks, customers’ liabilities under acceptances and certain financial liabilities including customer’s demand and time deposits, securities sold under repurchase agreements and acceptances outstanding, due to their short-term nature, is considered to approximate their fair value. These instruments are classified in level 2.</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Transfer of financial assets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10" w:name="page211"/>
    <w:bookmarkEnd w:id="2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7320" w:hanging="332"/>
        <w:spacing w:after="0" w:line="566" w:lineRule="auto"/>
        <w:tabs>
          <w:tab w:leader="none" w:pos="340" w:val="left"/>
        </w:tabs>
        <w:numPr>
          <w:ilvl w:val="0"/>
          <w:numId w:val="23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B. </w:t>
      </w:r>
      <w:r>
        <w:rPr>
          <w:rFonts w:ascii="Arial" w:cs="Arial" w:eastAsia="Arial" w:hAnsi="Arial"/>
          <w:sz w:val="16"/>
          <w:szCs w:val="16"/>
          <w:b w:val="1"/>
          <w:bCs w:val="1"/>
          <w:u w:val="single" w:color="auto"/>
          <w:color w:val="auto"/>
        </w:rPr>
        <w:t>Non-recurring valuation (continued)</w:t>
      </w:r>
    </w:p>
    <w:p>
      <w:pPr>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the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w w:val="94"/>
              </w:rPr>
              <w:t>December 31, 2020</w:t>
            </w:r>
          </w:p>
        </w:tc>
        <w:tc>
          <w:tcPr>
            <w:tcW w:w="8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1"/>
        </w:trPr>
        <w:tc>
          <w:tcPr>
            <w:tcW w:w="4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4060" w:type="dxa"/>
            <w:vAlign w:val="bottom"/>
          </w:tcPr>
          <w:p>
            <w:pPr>
              <w:spacing w:after="0"/>
              <w:rPr>
                <w:sz w:val="16"/>
                <w:szCs w:val="16"/>
                <w:color w:val="auto"/>
              </w:rPr>
            </w:pPr>
          </w:p>
        </w:tc>
        <w:tc>
          <w:tcPr>
            <w:tcW w:w="1220" w:type="dxa"/>
            <w:vAlign w:val="bottom"/>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Carrying</w:t>
            </w:r>
          </w:p>
        </w:tc>
        <w:tc>
          <w:tcPr>
            <w:tcW w:w="102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96"/>
              </w:rPr>
              <w:t>Fair</w:t>
            </w: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60" w:type="dxa"/>
            <w:vAlign w:val="bottom"/>
          </w:tcPr>
          <w:p>
            <w:pPr>
              <w:spacing w:after="0"/>
              <w:rPr>
                <w:sz w:val="20"/>
                <w:szCs w:val="20"/>
                <w:color w:val="auto"/>
              </w:rPr>
            </w:pP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value</w:t>
            </w:r>
          </w:p>
        </w:tc>
        <w:tc>
          <w:tcPr>
            <w:tcW w:w="10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value</w:t>
            </w:r>
          </w:p>
        </w:tc>
        <w:tc>
          <w:tcPr>
            <w:tcW w:w="200" w:type="dxa"/>
            <w:vAlign w:val="bottom"/>
          </w:tcPr>
          <w:p>
            <w:pPr>
              <w:spacing w:after="0"/>
              <w:rPr>
                <w:sz w:val="20"/>
                <w:szCs w:val="20"/>
                <w:color w:val="auto"/>
              </w:rPr>
            </w:pPr>
          </w:p>
        </w:tc>
        <w:tc>
          <w:tcPr>
            <w:tcW w:w="1360" w:type="dxa"/>
            <w:vAlign w:val="bottom"/>
            <w:gridSpan w:val="3"/>
          </w:tcPr>
          <w:p>
            <w:pPr>
              <w:ind w:left="220"/>
              <w:spacing w:after="0"/>
              <w:rPr>
                <w:sz w:val="20"/>
                <w:szCs w:val="20"/>
                <w:color w:val="auto"/>
              </w:rPr>
            </w:pPr>
            <w:r>
              <w:rPr>
                <w:rFonts w:ascii="Arial" w:cs="Arial" w:eastAsia="Arial" w:hAnsi="Arial"/>
                <w:sz w:val="18"/>
                <w:szCs w:val="18"/>
                <w:b w:val="1"/>
                <w:bCs w:val="1"/>
                <w:color w:val="auto"/>
              </w:rPr>
              <w:t>Level 1</w:t>
            </w:r>
          </w:p>
        </w:tc>
        <w:tc>
          <w:tcPr>
            <w:tcW w:w="11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Level 2</w:t>
            </w:r>
          </w:p>
        </w:tc>
        <w:tc>
          <w:tcPr>
            <w:tcW w:w="11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Level 3</w:t>
            </w:r>
          </w:p>
        </w:tc>
      </w:tr>
      <w:tr>
        <w:trPr>
          <w:trHeight w:val="189"/>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3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8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863,812</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7"/>
        </w:trPr>
        <w:tc>
          <w:tcPr>
            <w:tcW w:w="482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165,564</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168,110</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157,698</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10,412</w:t>
            </w:r>
          </w:p>
        </w:tc>
      </w:tr>
      <w:tr>
        <w:trPr>
          <w:trHeight w:val="257"/>
        </w:trPr>
        <w:tc>
          <w:tcPr>
            <w:tcW w:w="482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4,891,698</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4,972,599</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2"/>
                <w:szCs w:val="22"/>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4,972,599</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74,366</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Investment properties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3,214</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3,214</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3,214</w:t>
            </w:r>
          </w:p>
        </w:tc>
      </w:tr>
      <w:tr>
        <w:trPr>
          <w:trHeight w:val="216"/>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6"/>
        </w:trPr>
        <w:tc>
          <w:tcPr>
            <w:tcW w:w="482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0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6"/>
        </w:trPr>
        <w:tc>
          <w:tcPr>
            <w:tcW w:w="48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3,140,875</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Securities sold under repurchase agreements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10,663</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7"/>
        </w:trPr>
        <w:tc>
          <w:tcPr>
            <w:tcW w:w="482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9"/>
                <w:szCs w:val="29"/>
                <w:color w:val="auto"/>
                <w:vertAlign w:val="superscript"/>
              </w:rPr>
              <w:t>(3)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1,966,271</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1,989,719</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1,989,719</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4820" w:type="dxa"/>
            <w:vAlign w:val="bottom"/>
            <w:gridSpan w:val="3"/>
          </w:tcPr>
          <w:p>
            <w:pPr>
              <w:spacing w:after="0"/>
              <w:rPr>
                <w:sz w:val="20"/>
                <w:szCs w:val="20"/>
                <w:color w:val="auto"/>
              </w:rPr>
            </w:pPr>
            <w:r>
              <w:rPr>
                <w:rFonts w:ascii="Arial" w:cs="Arial" w:eastAsia="Arial" w:hAnsi="Arial"/>
                <w:sz w:val="18"/>
                <w:szCs w:val="18"/>
                <w:color w:val="auto"/>
              </w:rPr>
              <w:t>Customers' liabilities under acceptances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74,366</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0"/>
                <w:szCs w:val="20"/>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6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560" w:type="dxa"/>
            <w:vAlign w:val="bottom"/>
            <w:tcBorders>
              <w:bottom w:val="single" w:sz="8" w:color="auto"/>
            </w:tcBorders>
            <w:gridSpan w:val="4"/>
          </w:tcPr>
          <w:p>
            <w:pPr>
              <w:spacing w:after="0"/>
              <w:rPr>
                <w:sz w:val="20"/>
                <w:szCs w:val="20"/>
                <w:color w:val="auto"/>
              </w:rPr>
            </w:pPr>
            <w:r>
              <w:rPr>
                <w:rFonts w:ascii="Arial" w:cs="Arial" w:eastAsia="Arial" w:hAnsi="Arial"/>
                <w:sz w:val="18"/>
                <w:szCs w:val="18"/>
                <w:b w:val="1"/>
                <w:bCs w:val="1"/>
                <w:color w:val="auto"/>
                <w:w w:val="94"/>
              </w:rPr>
              <w:t>December 31, 2019</w:t>
            </w:r>
          </w:p>
        </w:tc>
        <w:tc>
          <w:tcPr>
            <w:tcW w:w="8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1"/>
        </w:trPr>
        <w:tc>
          <w:tcPr>
            <w:tcW w:w="48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4060" w:type="dxa"/>
            <w:vAlign w:val="bottom"/>
          </w:tcPr>
          <w:p>
            <w:pPr>
              <w:spacing w:after="0"/>
              <w:rPr>
                <w:sz w:val="16"/>
                <w:szCs w:val="16"/>
                <w:color w:val="auto"/>
              </w:rPr>
            </w:pPr>
          </w:p>
        </w:tc>
        <w:tc>
          <w:tcPr>
            <w:tcW w:w="1220" w:type="dxa"/>
            <w:vAlign w:val="bottom"/>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Carrying</w:t>
            </w:r>
          </w:p>
        </w:tc>
        <w:tc>
          <w:tcPr>
            <w:tcW w:w="1020" w:type="dxa"/>
            <w:vAlign w:val="bottom"/>
            <w:gridSpan w:val="2"/>
          </w:tcPr>
          <w:p>
            <w:pPr>
              <w:jc w:val="center"/>
              <w:ind w:right="20"/>
              <w:spacing w:after="0" w:line="191" w:lineRule="exact"/>
              <w:rPr>
                <w:sz w:val="20"/>
                <w:szCs w:val="20"/>
                <w:color w:val="auto"/>
              </w:rPr>
            </w:pPr>
            <w:r>
              <w:rPr>
                <w:rFonts w:ascii="Arial" w:cs="Arial" w:eastAsia="Arial" w:hAnsi="Arial"/>
                <w:sz w:val="18"/>
                <w:szCs w:val="18"/>
                <w:b w:val="1"/>
                <w:bCs w:val="1"/>
                <w:color w:val="auto"/>
                <w:w w:val="96"/>
              </w:rPr>
              <w:t>Fair</w:t>
            </w: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060" w:type="dxa"/>
            <w:vAlign w:val="bottom"/>
          </w:tcPr>
          <w:p>
            <w:pPr>
              <w:spacing w:after="0"/>
              <w:rPr>
                <w:sz w:val="20"/>
                <w:szCs w:val="20"/>
                <w:color w:val="auto"/>
              </w:rPr>
            </w:pP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value</w:t>
            </w:r>
          </w:p>
        </w:tc>
        <w:tc>
          <w:tcPr>
            <w:tcW w:w="102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6"/>
              </w:rPr>
              <w:t>value</w:t>
            </w:r>
          </w:p>
        </w:tc>
        <w:tc>
          <w:tcPr>
            <w:tcW w:w="200" w:type="dxa"/>
            <w:vAlign w:val="bottom"/>
          </w:tcPr>
          <w:p>
            <w:pPr>
              <w:spacing w:after="0"/>
              <w:rPr>
                <w:sz w:val="20"/>
                <w:szCs w:val="20"/>
                <w:color w:val="auto"/>
              </w:rPr>
            </w:pPr>
          </w:p>
        </w:tc>
        <w:tc>
          <w:tcPr>
            <w:tcW w:w="1360" w:type="dxa"/>
            <w:vAlign w:val="bottom"/>
            <w:gridSpan w:val="3"/>
          </w:tcPr>
          <w:p>
            <w:pPr>
              <w:ind w:left="220"/>
              <w:spacing w:after="0"/>
              <w:rPr>
                <w:sz w:val="20"/>
                <w:szCs w:val="20"/>
                <w:color w:val="auto"/>
              </w:rPr>
            </w:pPr>
            <w:r>
              <w:rPr>
                <w:rFonts w:ascii="Arial" w:cs="Arial" w:eastAsia="Arial" w:hAnsi="Arial"/>
                <w:sz w:val="18"/>
                <w:szCs w:val="18"/>
                <w:b w:val="1"/>
                <w:bCs w:val="1"/>
                <w:color w:val="auto"/>
              </w:rPr>
              <w:t>Level 1</w:t>
            </w:r>
          </w:p>
        </w:tc>
        <w:tc>
          <w:tcPr>
            <w:tcW w:w="11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Level 2</w:t>
            </w:r>
          </w:p>
        </w:tc>
        <w:tc>
          <w:tcPr>
            <w:tcW w:w="11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3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8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1,178,170</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1,178,170</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1,178,170</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6"/>
        </w:trPr>
        <w:tc>
          <w:tcPr>
            <w:tcW w:w="482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75,271</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75,724</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56,914</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18,810</w:t>
            </w:r>
          </w:p>
        </w:tc>
      </w:tr>
      <w:tr>
        <w:trPr>
          <w:trHeight w:val="257"/>
        </w:trPr>
        <w:tc>
          <w:tcPr>
            <w:tcW w:w="482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5,823,333</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6,162,885</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2"/>
                <w:szCs w:val="22"/>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6,101,040</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61,845</w:t>
            </w:r>
          </w:p>
        </w:tc>
      </w:tr>
      <w:tr>
        <w:trPr>
          <w:trHeight w:val="216"/>
        </w:trPr>
        <w:tc>
          <w:tcPr>
            <w:tcW w:w="48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115,682</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115,682</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115,682</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Investment properties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3,494</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3,494</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3,494</w:t>
            </w:r>
          </w:p>
        </w:tc>
      </w:tr>
      <w:tr>
        <w:trPr>
          <w:trHeight w:val="216"/>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0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5"/>
        </w:trPr>
        <w:tc>
          <w:tcPr>
            <w:tcW w:w="482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06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6"/>
        </w:trPr>
        <w:tc>
          <w:tcPr>
            <w:tcW w:w="48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Deposits</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2,893,555</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2,893,555</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2,893,555</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tcPr>
          <w:p>
            <w:pPr>
              <w:spacing w:after="0"/>
              <w:rPr>
                <w:sz w:val="20"/>
                <w:szCs w:val="20"/>
                <w:color w:val="auto"/>
              </w:rPr>
            </w:pPr>
            <w:r>
              <w:rPr>
                <w:rFonts w:ascii="Arial" w:cs="Arial" w:eastAsia="Arial" w:hAnsi="Arial"/>
                <w:sz w:val="18"/>
                <w:szCs w:val="18"/>
                <w:color w:val="auto"/>
              </w:rPr>
              <w:t>Securities sold under repurchase agreements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40,530</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40,530</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40,530</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82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Borrowings and debt, net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3,118,396</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3,126,333</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3,126,333</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4820" w:type="dxa"/>
            <w:vAlign w:val="bottom"/>
            <w:gridSpan w:val="3"/>
          </w:tcPr>
          <w:p>
            <w:pPr>
              <w:spacing w:after="0"/>
              <w:rPr>
                <w:sz w:val="20"/>
                <w:szCs w:val="20"/>
                <w:color w:val="auto"/>
              </w:rPr>
            </w:pPr>
            <w:r>
              <w:rPr>
                <w:rFonts w:ascii="Arial" w:cs="Arial" w:eastAsia="Arial" w:hAnsi="Arial"/>
                <w:sz w:val="18"/>
                <w:szCs w:val="18"/>
                <w:color w:val="auto"/>
              </w:rPr>
              <w:t>Customers' liabilities under acceptances</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115,682</w:t>
            </w:r>
          </w:p>
        </w:tc>
        <w:tc>
          <w:tcPr>
            <w:tcW w:w="1020" w:type="dxa"/>
            <w:vAlign w:val="bottom"/>
            <w:gridSpan w:val="2"/>
          </w:tcPr>
          <w:p>
            <w:pPr>
              <w:jc w:val="right"/>
              <w:ind w:right="20"/>
              <w:spacing w:after="0"/>
              <w:rPr>
                <w:sz w:val="20"/>
                <w:szCs w:val="20"/>
                <w:color w:val="auto"/>
              </w:rPr>
            </w:pPr>
            <w:r>
              <w:rPr>
                <w:rFonts w:ascii="Arial" w:cs="Arial" w:eastAsia="Arial" w:hAnsi="Arial"/>
                <w:sz w:val="18"/>
                <w:szCs w:val="18"/>
                <w:color w:val="auto"/>
              </w:rPr>
              <w:t>115,682</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20"/>
                <w:szCs w:val="20"/>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115,682</w:t>
            </w:r>
          </w:p>
        </w:tc>
        <w:tc>
          <w:tcPr>
            <w:tcW w:w="11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187" w:lineRule="exact"/>
        <w:rPr>
          <w:sz w:val="20"/>
          <w:szCs w:val="20"/>
          <w:color w:val="auto"/>
        </w:rPr>
      </w:pPr>
    </w:p>
    <w:p>
      <w:pPr>
        <w:jc w:val="both"/>
        <w:ind w:left="980" w:hanging="324"/>
        <w:spacing w:after="0" w:line="209" w:lineRule="auto"/>
        <w:tabs>
          <w:tab w:leader="none" w:pos="980" w:val="left"/>
        </w:tabs>
        <w:numPr>
          <w:ilvl w:val="0"/>
          <w:numId w:val="232"/>
        </w:numPr>
        <w:rPr>
          <w:rFonts w:ascii="Arial" w:cs="Arial" w:eastAsia="Arial" w:hAnsi="Arial"/>
          <w:sz w:val="30"/>
          <w:szCs w:val="30"/>
          <w:color w:val="auto"/>
          <w:vertAlign w:val="superscript"/>
        </w:rPr>
      </w:pPr>
      <w:r>
        <w:rPr>
          <w:rFonts w:ascii="Arial" w:cs="Arial" w:eastAsia="Arial" w:hAnsi="Arial"/>
          <w:sz w:val="18"/>
          <w:szCs w:val="18"/>
          <w:color w:val="auto"/>
        </w:rPr>
        <w:t>The carrying value of securities at amortized cost is net of accrued interest receivable of $1.9 million and the allowance for expected credit losses of $0.4 million as of December 31, 2020 (accrued interest receivable of $0.8 million and the allowance for expected credit losses of $0.1 million as of December 31, 2019).</w:t>
      </w:r>
    </w:p>
    <w:p>
      <w:pPr>
        <w:spacing w:after="0" w:line="203" w:lineRule="exact"/>
        <w:rPr>
          <w:rFonts w:ascii="Arial" w:cs="Arial" w:eastAsia="Arial" w:hAnsi="Arial"/>
          <w:sz w:val="30"/>
          <w:szCs w:val="30"/>
          <w:color w:val="auto"/>
          <w:vertAlign w:val="superscript"/>
        </w:rPr>
      </w:pPr>
    </w:p>
    <w:p>
      <w:pPr>
        <w:jc w:val="both"/>
        <w:ind w:left="980" w:hanging="324"/>
        <w:spacing w:after="0" w:line="234" w:lineRule="auto"/>
        <w:tabs>
          <w:tab w:leader="none" w:pos="980" w:val="left"/>
        </w:tabs>
        <w:numPr>
          <w:ilvl w:val="0"/>
          <w:numId w:val="232"/>
        </w:numPr>
        <w:rPr>
          <w:rFonts w:ascii="Arial" w:cs="Arial" w:eastAsia="Arial" w:hAnsi="Arial"/>
          <w:sz w:val="27"/>
          <w:szCs w:val="27"/>
          <w:b w:val="1"/>
          <w:bCs w:val="1"/>
          <w:color w:val="auto"/>
          <w:vertAlign w:val="superscript"/>
        </w:rPr>
      </w:pPr>
      <w:r>
        <w:rPr>
          <w:rFonts w:ascii="Arial" w:cs="Arial" w:eastAsia="Arial" w:hAnsi="Arial"/>
          <w:sz w:val="16"/>
          <w:szCs w:val="16"/>
          <w:color w:val="auto"/>
        </w:rPr>
        <w:t>The carrying value of loans at amortized cost is net of accrued interest receivable of $27.3 million, the allowance for expected credit losses of $41.1 million and unearned interest and deferred fees of $5.8 million for December 31, 2020 (accrued interest receivable of $41.7 million, the allowance for expected credit losses of $99.3 million and unearned interest and deferred fees of $12.1 million for December 31, 2019).</w:t>
      </w:r>
    </w:p>
    <w:p>
      <w:pPr>
        <w:spacing w:after="0" w:line="202" w:lineRule="exact"/>
        <w:rPr>
          <w:rFonts w:ascii="Arial" w:cs="Arial" w:eastAsia="Arial" w:hAnsi="Arial"/>
          <w:sz w:val="27"/>
          <w:szCs w:val="27"/>
          <w:b w:val="1"/>
          <w:bCs w:val="1"/>
          <w:color w:val="auto"/>
          <w:vertAlign w:val="superscript"/>
        </w:rPr>
      </w:pPr>
    </w:p>
    <w:p>
      <w:pPr>
        <w:ind w:left="980" w:hanging="324"/>
        <w:spacing w:after="0" w:line="194" w:lineRule="auto"/>
        <w:tabs>
          <w:tab w:leader="none" w:pos="980" w:val="left"/>
        </w:tabs>
        <w:numPr>
          <w:ilvl w:val="0"/>
          <w:numId w:val="232"/>
        </w:numPr>
        <w:rPr>
          <w:rFonts w:ascii="Arial" w:cs="Arial" w:eastAsia="Arial" w:hAnsi="Arial"/>
          <w:sz w:val="30"/>
          <w:szCs w:val="30"/>
          <w:b w:val="1"/>
          <w:bCs w:val="1"/>
          <w:color w:val="auto"/>
          <w:vertAlign w:val="superscript"/>
        </w:rPr>
      </w:pPr>
      <w:r>
        <w:rPr>
          <w:rFonts w:ascii="Arial" w:cs="Arial" w:eastAsia="Arial" w:hAnsi="Arial"/>
          <w:sz w:val="18"/>
          <w:szCs w:val="18"/>
          <w:color w:val="auto"/>
        </w:rPr>
        <w:t>Borrowings and debt exclude lease liabilities for an amount of $18.7 million and $19.9 million as of December 31, 2020 and December 31, 2019, respectively.</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11" w:name="page212"/>
    <w:bookmarkEnd w:id="2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7320" w:hanging="332"/>
        <w:spacing w:after="0" w:line="503" w:lineRule="auto"/>
        <w:tabs>
          <w:tab w:leader="none" w:pos="340" w:val="left"/>
        </w:tabs>
        <w:numPr>
          <w:ilvl w:val="0"/>
          <w:numId w:val="233"/>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C. </w:t>
      </w:r>
      <w:r>
        <w:rPr>
          <w:rFonts w:ascii="Arial" w:cs="Arial" w:eastAsia="Arial" w:hAnsi="Arial"/>
          <w:sz w:val="18"/>
          <w:szCs w:val="18"/>
          <w:b w:val="1"/>
          <w:bCs w:val="1"/>
          <w:u w:val="single" w:color="auto"/>
          <w:color w:val="auto"/>
        </w:rPr>
        <w:t>Valuation framework</w:t>
      </w:r>
    </w:p>
    <w:p>
      <w:pPr>
        <w:jc w:val="both"/>
        <w:ind w:left="340" w:right="20"/>
        <w:spacing w:after="0" w:line="342" w:lineRule="auto"/>
        <w:rPr>
          <w:sz w:val="20"/>
          <w:szCs w:val="20"/>
          <w:color w:val="auto"/>
        </w:rPr>
      </w:pPr>
      <w:r>
        <w:rPr>
          <w:rFonts w:ascii="Arial" w:cs="Arial" w:eastAsia="Arial" w:hAnsi="Arial"/>
          <w:sz w:val="16"/>
          <w:szCs w:val="16"/>
          <w:color w:val="auto"/>
        </w:rPr>
        <w:t>The Bank has an established control framework for the measurement of fair values, which is independent of front office management, to verify the valuation of significant fair value measurements of derivative financial instruments, securities and other financial instrument. Specific controls include:</w:t>
      </w:r>
    </w:p>
    <w:p>
      <w:pPr>
        <w:spacing w:after="0" w:line="124" w:lineRule="exact"/>
        <w:rPr>
          <w:sz w:val="20"/>
          <w:szCs w:val="20"/>
          <w:color w:val="auto"/>
        </w:rPr>
      </w:pPr>
    </w:p>
    <w:p>
      <w:pPr>
        <w:ind w:left="1140" w:hanging="322"/>
        <w:spacing w:after="0"/>
        <w:tabs>
          <w:tab w:leader="none" w:pos="114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Validation of performance of valuation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34"/>
        </w:numPr>
        <w:rPr>
          <w:rFonts w:ascii="Arial" w:cs="Arial" w:eastAsia="Arial" w:hAnsi="Arial"/>
          <w:sz w:val="18"/>
          <w:szCs w:val="18"/>
          <w:color w:val="auto"/>
        </w:rPr>
      </w:pPr>
      <w:r>
        <w:rPr>
          <w:rFonts w:ascii="Arial" w:cs="Arial" w:eastAsia="Arial" w:hAnsi="Arial"/>
          <w:sz w:val="18"/>
          <w:szCs w:val="18"/>
          <w:color w:val="auto"/>
        </w:rPr>
        <w:t>Analysis and assessment of significant valuation fluctuations.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34"/>
        </w:numPr>
        <w:rPr>
          <w:rFonts w:ascii="Arial" w:cs="Arial" w:eastAsia="Arial" w:hAnsi="Arial"/>
          <w:sz w:val="17"/>
          <w:szCs w:val="17"/>
          <w:color w:val="auto"/>
        </w:rPr>
      </w:pPr>
      <w:r>
        <w:rPr>
          <w:rFonts w:ascii="Arial" w:cs="Arial" w:eastAsia="Arial" w:hAnsi="Arial"/>
          <w:sz w:val="17"/>
          <w:szCs w:val="17"/>
          <w:color w:val="auto"/>
        </w:rPr>
        <w:t>Review of significant unobservable inputs, valuation adjustments and changes to fair value measurement of Level 3 instruments.</w:t>
      </w:r>
    </w:p>
    <w:p>
      <w:pPr>
        <w:spacing w:after="0" w:line="218" w:lineRule="exact"/>
        <w:rPr>
          <w:rFonts w:ascii="Arial" w:cs="Arial" w:eastAsia="Arial" w:hAnsi="Arial"/>
          <w:sz w:val="17"/>
          <w:szCs w:val="17"/>
          <w:color w:val="auto"/>
        </w:rPr>
      </w:pPr>
    </w:p>
    <w:p>
      <w:pPr>
        <w:ind w:left="340"/>
        <w:spacing w:after="0"/>
        <w:rPr>
          <w:rFonts w:ascii="Arial" w:cs="Arial" w:eastAsia="Arial" w:hAnsi="Arial"/>
          <w:sz w:val="17"/>
          <w:szCs w:val="17"/>
          <w:color w:val="auto"/>
        </w:rPr>
      </w:pPr>
      <w:r>
        <w:rPr>
          <w:rFonts w:ascii="Arial" w:cs="Arial" w:eastAsia="Arial" w:hAnsi="Arial"/>
          <w:sz w:val="18"/>
          <w:szCs w:val="18"/>
          <w:b w:val="1"/>
          <w:bCs w:val="1"/>
          <w:color w:val="auto"/>
        </w:rPr>
        <w:t xml:space="preserve">D.  </w:t>
      </w:r>
      <w:r>
        <w:rPr>
          <w:rFonts w:ascii="Arial" w:cs="Arial" w:eastAsia="Arial" w:hAnsi="Arial"/>
          <w:sz w:val="18"/>
          <w:szCs w:val="18"/>
          <w:b w:val="1"/>
          <w:bCs w:val="1"/>
          <w:u w:val="single" w:color="auto"/>
          <w:color w:val="auto"/>
        </w:rPr>
        <w:t>Level 3 - Fair value measurement</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movement of a level 3 financial instruments measured at fair value :</w:t>
      </w:r>
    </w:p>
    <w:p>
      <w:pPr>
        <w:spacing w:after="0" w:line="225"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4500" w:type="dxa"/>
            <w:vAlign w:val="bottom"/>
          </w:tcPr>
          <w:p>
            <w:pPr>
              <w:spacing w:after="0"/>
              <w:rPr>
                <w:sz w:val="18"/>
                <w:szCs w:val="18"/>
                <w:color w:val="auto"/>
              </w:rPr>
            </w:pPr>
          </w:p>
        </w:tc>
        <w:tc>
          <w:tcPr>
            <w:tcW w:w="2100" w:type="dxa"/>
            <w:vAlign w:val="bottom"/>
            <w:gridSpan w:val="2"/>
          </w:tcPr>
          <w:p>
            <w:pPr>
              <w:jc w:val="center"/>
              <w:ind w:right="200"/>
              <w:spacing w:after="0"/>
              <w:rPr>
                <w:sz w:val="20"/>
                <w:szCs w:val="20"/>
                <w:color w:val="auto"/>
              </w:rPr>
            </w:pPr>
            <w:r>
              <w:rPr>
                <w:rFonts w:ascii="Arial" w:cs="Arial" w:eastAsia="Arial" w:hAnsi="Arial"/>
                <w:sz w:val="18"/>
                <w:szCs w:val="18"/>
                <w:color w:val="auto"/>
                <w:w w:val="91"/>
              </w:rPr>
              <w:t>Debt instruments at fair</w:t>
            </w:r>
          </w:p>
        </w:tc>
        <w:tc>
          <w:tcPr>
            <w:tcW w:w="1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00" w:type="dxa"/>
            <w:vAlign w:val="bottom"/>
          </w:tcPr>
          <w:p>
            <w:pPr>
              <w:spacing w:after="0"/>
              <w:rPr>
                <w:sz w:val="18"/>
                <w:szCs w:val="18"/>
                <w:color w:val="auto"/>
              </w:rPr>
            </w:pPr>
          </w:p>
        </w:tc>
        <w:tc>
          <w:tcPr>
            <w:tcW w:w="210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value through profit or</w:t>
            </w:r>
          </w:p>
        </w:tc>
        <w:tc>
          <w:tcPr>
            <w:tcW w:w="2140" w:type="dxa"/>
            <w:vAlign w:val="bottom"/>
            <w:gridSpan w:val="2"/>
          </w:tcPr>
          <w:p>
            <w:pPr>
              <w:jc w:val="right"/>
              <w:ind w:right="500"/>
              <w:spacing w:after="0"/>
              <w:rPr>
                <w:sz w:val="20"/>
                <w:szCs w:val="20"/>
                <w:color w:val="auto"/>
              </w:rPr>
            </w:pPr>
            <w:r>
              <w:rPr>
                <w:rFonts w:ascii="Arial" w:cs="Arial" w:eastAsia="Arial" w:hAnsi="Arial"/>
                <w:sz w:val="18"/>
                <w:szCs w:val="18"/>
                <w:color w:val="auto"/>
              </w:rPr>
              <w:t>Loans at fair value</w:t>
            </w:r>
          </w:p>
        </w:tc>
        <w:tc>
          <w:tcPr>
            <w:tcW w:w="1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00" w:type="dxa"/>
            <w:vAlign w:val="bottom"/>
          </w:tcPr>
          <w:p>
            <w:pPr>
              <w:spacing w:after="0"/>
              <w:rPr>
                <w:sz w:val="20"/>
                <w:szCs w:val="20"/>
                <w:color w:val="auto"/>
              </w:rPr>
            </w:pPr>
          </w:p>
        </w:tc>
        <w:tc>
          <w:tcPr>
            <w:tcW w:w="2100" w:type="dxa"/>
            <w:vAlign w:val="bottom"/>
            <w:gridSpan w:val="2"/>
          </w:tcPr>
          <w:p>
            <w:pPr>
              <w:jc w:val="center"/>
              <w:ind w:right="220"/>
              <w:spacing w:after="0"/>
              <w:rPr>
                <w:sz w:val="20"/>
                <w:szCs w:val="20"/>
                <w:color w:val="auto"/>
              </w:rPr>
            </w:pPr>
            <w:r>
              <w:rPr>
                <w:rFonts w:ascii="Arial" w:cs="Arial" w:eastAsia="Arial" w:hAnsi="Arial"/>
                <w:sz w:val="18"/>
                <w:szCs w:val="18"/>
                <w:color w:val="auto"/>
                <w:w w:val="87"/>
              </w:rPr>
              <w:t>loss</w:t>
            </w:r>
          </w:p>
        </w:tc>
        <w:tc>
          <w:tcPr>
            <w:tcW w:w="2140" w:type="dxa"/>
            <w:vAlign w:val="bottom"/>
            <w:gridSpan w:val="2"/>
          </w:tcPr>
          <w:p>
            <w:pPr>
              <w:jc w:val="right"/>
              <w:ind w:right="420"/>
              <w:spacing w:after="0"/>
              <w:rPr>
                <w:sz w:val="20"/>
                <w:szCs w:val="20"/>
                <w:color w:val="auto"/>
              </w:rPr>
            </w:pPr>
            <w:r>
              <w:rPr>
                <w:rFonts w:ascii="Arial" w:cs="Arial" w:eastAsia="Arial" w:hAnsi="Arial"/>
                <w:sz w:val="18"/>
                <w:szCs w:val="18"/>
                <w:color w:val="auto"/>
              </w:rPr>
              <w:t>through profit or loss</w:t>
            </w:r>
          </w:p>
        </w:tc>
        <w:tc>
          <w:tcPr>
            <w:tcW w:w="1360" w:type="dxa"/>
            <w:vAlign w:val="bottom"/>
            <w:gridSpan w:val="2"/>
          </w:tcPr>
          <w:p>
            <w:pPr>
              <w:jc w:val="right"/>
              <w:ind w:right="56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09"/>
        </w:trPr>
        <w:tc>
          <w:tcPr>
            <w:tcW w:w="4500" w:type="dxa"/>
            <w:vAlign w:val="bottom"/>
          </w:tcPr>
          <w:p>
            <w:pPr>
              <w:spacing w:after="0"/>
              <w:rPr>
                <w:sz w:val="18"/>
                <w:szCs w:val="18"/>
                <w:color w:val="auto"/>
              </w:rPr>
            </w:pPr>
          </w:p>
        </w:tc>
        <w:tc>
          <w:tcPr>
            <w:tcW w:w="190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9"/>
              </w:rPr>
              <w:t>(</w:t>
            </w:r>
            <w:r>
              <w:rPr>
                <w:rFonts w:ascii="Arial" w:cs="Arial" w:eastAsia="Arial" w:hAnsi="Arial"/>
                <w:sz w:val="18"/>
                <w:szCs w:val="18"/>
                <w:i w:val="1"/>
                <w:iCs w:val="1"/>
                <w:color w:val="auto"/>
                <w:w w:val="89"/>
              </w:rPr>
              <w:t>debentures</w:t>
            </w:r>
            <w:r>
              <w:rPr>
                <w:rFonts w:ascii="Arial" w:cs="Arial" w:eastAsia="Arial" w:hAnsi="Arial"/>
                <w:sz w:val="18"/>
                <w:szCs w:val="18"/>
                <w:color w:val="auto"/>
                <w:w w:val="89"/>
              </w:rPr>
              <w:t xml:space="preserve"> )</w:t>
            </w:r>
          </w:p>
        </w:tc>
        <w:tc>
          <w:tcPr>
            <w:tcW w:w="200" w:type="dxa"/>
            <w:vAlign w:val="bottom"/>
          </w:tcPr>
          <w:p>
            <w:pPr>
              <w:spacing w:after="0"/>
              <w:rPr>
                <w:sz w:val="18"/>
                <w:szCs w:val="18"/>
                <w:color w:val="auto"/>
              </w:rPr>
            </w:pPr>
          </w:p>
        </w:tc>
        <w:tc>
          <w:tcPr>
            <w:tcW w:w="19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500" w:type="dxa"/>
            <w:vAlign w:val="bottom"/>
            <w:shd w:val="clear" w:color="auto" w:fill="CCEEFF"/>
          </w:tcPr>
          <w:p>
            <w:pPr>
              <w:spacing w:after="0"/>
              <w:rPr>
                <w:sz w:val="20"/>
                <w:szCs w:val="20"/>
                <w:color w:val="auto"/>
              </w:rPr>
            </w:pPr>
            <w:r>
              <w:rPr>
                <w:rFonts w:ascii="Arial" w:cs="Arial" w:eastAsia="Arial" w:hAnsi="Arial"/>
                <w:sz w:val="18"/>
                <w:szCs w:val="18"/>
                <w:color w:val="auto"/>
              </w:rPr>
              <w:t>At December 31, 2018</w:t>
            </w:r>
          </w:p>
        </w:tc>
        <w:tc>
          <w:tcPr>
            <w:tcW w:w="2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9"/>
        </w:trPr>
        <w:tc>
          <w:tcPr>
            <w:tcW w:w="4500" w:type="dxa"/>
            <w:vAlign w:val="bottom"/>
          </w:tcPr>
          <w:p>
            <w:pPr>
              <w:ind w:left="160"/>
              <w:spacing w:after="0"/>
              <w:rPr>
                <w:sz w:val="20"/>
                <w:szCs w:val="20"/>
                <w:color w:val="auto"/>
              </w:rPr>
            </w:pPr>
            <w:r>
              <w:rPr>
                <w:rFonts w:ascii="Arial" w:cs="Arial" w:eastAsia="Arial" w:hAnsi="Arial"/>
                <w:sz w:val="18"/>
                <w:szCs w:val="18"/>
                <w:color w:val="auto"/>
              </w:rPr>
              <w:t>Additions</w:t>
            </w:r>
          </w:p>
        </w:tc>
        <w:tc>
          <w:tcPr>
            <w:tcW w:w="19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8,750</w:t>
            </w:r>
          </w:p>
        </w:tc>
        <w:tc>
          <w:tcPr>
            <w:tcW w:w="200" w:type="dxa"/>
            <w:vAlign w:val="bottom"/>
          </w:tcPr>
          <w:p>
            <w:pPr>
              <w:spacing w:after="0"/>
              <w:rPr>
                <w:sz w:val="18"/>
                <w:szCs w:val="18"/>
                <w:color w:val="auto"/>
              </w:rPr>
            </w:pPr>
          </w:p>
        </w:tc>
        <w:tc>
          <w:tcPr>
            <w:tcW w:w="1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8,750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changes in fair value</w:t>
            </w:r>
          </w:p>
        </w:tc>
        <w:tc>
          <w:tcPr>
            <w:tcW w:w="2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(2,258)</w:t>
            </w:r>
          </w:p>
        </w:tc>
        <w:tc>
          <w:tcPr>
            <w:tcW w:w="2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(2,258)</w:t>
            </w:r>
          </w:p>
        </w:tc>
        <w:tc>
          <w:tcPr>
            <w:tcW w:w="0" w:type="dxa"/>
            <w:vAlign w:val="bottom"/>
          </w:tcPr>
          <w:p>
            <w:pPr>
              <w:spacing w:after="0"/>
              <w:rPr>
                <w:sz w:val="1"/>
                <w:szCs w:val="1"/>
                <w:color w:val="auto"/>
              </w:rPr>
            </w:pPr>
          </w:p>
        </w:tc>
      </w:tr>
      <w:tr>
        <w:trPr>
          <w:trHeight w:val="229"/>
        </w:trPr>
        <w:tc>
          <w:tcPr>
            <w:tcW w:w="4500" w:type="dxa"/>
            <w:vAlign w:val="bottom"/>
          </w:tcPr>
          <w:p>
            <w:pPr>
              <w:ind w:left="160"/>
              <w:spacing w:after="0"/>
              <w:rPr>
                <w:sz w:val="20"/>
                <w:szCs w:val="20"/>
                <w:color w:val="auto"/>
              </w:rPr>
            </w:pPr>
            <w:r>
              <w:rPr>
                <w:rFonts w:ascii="Arial" w:cs="Arial" w:eastAsia="Arial" w:hAnsi="Arial"/>
                <w:sz w:val="18"/>
                <w:szCs w:val="18"/>
                <w:color w:val="auto"/>
              </w:rPr>
              <w:t>Sales</w:t>
            </w:r>
          </w:p>
        </w:tc>
        <w:tc>
          <w:tcPr>
            <w:tcW w:w="21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4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At December 31, 2019</w:t>
            </w:r>
          </w:p>
        </w:tc>
        <w:tc>
          <w:tcPr>
            <w:tcW w:w="1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200" w:type="dxa"/>
            <w:vAlign w:val="bottom"/>
            <w:tcBorders>
              <w:top w:val="single" w:sz="8" w:color="CCEEFF"/>
            </w:tcBorders>
            <w:shd w:val="clear" w:color="auto" w:fill="CCEEFF"/>
          </w:tcPr>
          <w:p>
            <w:pPr>
              <w:spacing w:after="0"/>
              <w:rPr>
                <w:sz w:val="19"/>
                <w:szCs w:val="19"/>
                <w:color w:val="auto"/>
              </w:rPr>
            </w:pPr>
          </w:p>
        </w:tc>
        <w:tc>
          <w:tcPr>
            <w:tcW w:w="1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12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500" w:type="dxa"/>
            <w:vAlign w:val="bottom"/>
          </w:tcPr>
          <w:p>
            <w:pPr>
              <w:ind w:left="160"/>
              <w:spacing w:after="0"/>
              <w:rPr>
                <w:sz w:val="20"/>
                <w:szCs w:val="20"/>
                <w:color w:val="auto"/>
              </w:rPr>
            </w:pPr>
            <w:r>
              <w:rPr>
                <w:rFonts w:ascii="Arial" w:cs="Arial" w:eastAsia="Arial" w:hAnsi="Arial"/>
                <w:sz w:val="18"/>
                <w:szCs w:val="18"/>
                <w:color w:val="auto"/>
              </w:rPr>
              <w:t>Additions</w:t>
            </w:r>
          </w:p>
        </w:tc>
        <w:tc>
          <w:tcPr>
            <w:tcW w:w="1900" w:type="dxa"/>
            <w:vAlign w:val="bottom"/>
          </w:tcPr>
          <w:p>
            <w:pPr>
              <w:jc w:val="right"/>
              <w:spacing w:after="0"/>
              <w:rPr>
                <w:sz w:val="20"/>
                <w:szCs w:val="20"/>
                <w:color w:val="auto"/>
              </w:rPr>
            </w:pPr>
            <w:r>
              <w:rPr>
                <w:rFonts w:ascii="Arial" w:cs="Arial" w:eastAsia="Arial" w:hAnsi="Arial"/>
                <w:sz w:val="18"/>
                <w:szCs w:val="18"/>
                <w:color w:val="auto"/>
              </w:rPr>
              <w:t>1,433</w:t>
            </w:r>
          </w:p>
        </w:tc>
        <w:tc>
          <w:tcPr>
            <w:tcW w:w="200" w:type="dxa"/>
            <w:vAlign w:val="bottom"/>
          </w:tcPr>
          <w:p>
            <w:pPr>
              <w:spacing w:after="0"/>
              <w:rPr>
                <w:sz w:val="18"/>
                <w:szCs w:val="18"/>
                <w:color w:val="auto"/>
              </w:rPr>
            </w:pPr>
          </w:p>
        </w:tc>
        <w:tc>
          <w:tcPr>
            <w:tcW w:w="1920" w:type="dxa"/>
            <w:vAlign w:val="bottom"/>
          </w:tcPr>
          <w:p>
            <w:pPr>
              <w:jc w:val="right"/>
              <w:spacing w:after="0"/>
              <w:rPr>
                <w:sz w:val="20"/>
                <w:szCs w:val="20"/>
                <w:color w:val="auto"/>
              </w:rPr>
            </w:pPr>
            <w:r>
              <w:rPr>
                <w:rFonts w:ascii="Arial" w:cs="Arial" w:eastAsia="Arial" w:hAnsi="Arial"/>
                <w:sz w:val="18"/>
                <w:szCs w:val="18"/>
                <w:color w:val="auto"/>
              </w:rPr>
              <w:t>5,750</w:t>
            </w:r>
          </w:p>
        </w:tc>
        <w:tc>
          <w:tcPr>
            <w:tcW w:w="2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7,183</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changes in fair value</w:t>
            </w:r>
          </w:p>
        </w:tc>
        <w:tc>
          <w:tcPr>
            <w:tcW w:w="21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(2,175)</w:t>
            </w:r>
          </w:p>
        </w:tc>
        <w:tc>
          <w:tcPr>
            <w:tcW w:w="2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(801)</w:t>
            </w:r>
          </w:p>
        </w:tc>
        <w:tc>
          <w:tcPr>
            <w:tcW w:w="13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(2,976)</w:t>
            </w:r>
          </w:p>
        </w:tc>
        <w:tc>
          <w:tcPr>
            <w:tcW w:w="0" w:type="dxa"/>
            <w:vAlign w:val="bottom"/>
          </w:tcPr>
          <w:p>
            <w:pPr>
              <w:spacing w:after="0"/>
              <w:rPr>
                <w:sz w:val="1"/>
                <w:szCs w:val="1"/>
                <w:color w:val="auto"/>
              </w:rPr>
            </w:pPr>
          </w:p>
        </w:tc>
      </w:tr>
      <w:tr>
        <w:trPr>
          <w:trHeight w:val="229"/>
        </w:trPr>
        <w:tc>
          <w:tcPr>
            <w:tcW w:w="4500" w:type="dxa"/>
            <w:vAlign w:val="bottom"/>
          </w:tcPr>
          <w:p>
            <w:pPr>
              <w:ind w:left="160"/>
              <w:spacing w:after="0"/>
              <w:rPr>
                <w:sz w:val="20"/>
                <w:szCs w:val="20"/>
                <w:color w:val="auto"/>
              </w:rPr>
            </w:pPr>
            <w:r>
              <w:rPr>
                <w:rFonts w:ascii="Arial" w:cs="Arial" w:eastAsia="Arial" w:hAnsi="Arial"/>
                <w:sz w:val="18"/>
                <w:szCs w:val="18"/>
                <w:color w:val="auto"/>
              </w:rPr>
              <w:t>Sales</w:t>
            </w:r>
          </w:p>
        </w:tc>
        <w:tc>
          <w:tcPr>
            <w:tcW w:w="2100" w:type="dxa"/>
            <w:vAlign w:val="bottom"/>
            <w:gridSpan w:val="2"/>
          </w:tcPr>
          <w:p>
            <w:pPr>
              <w:jc w:val="right"/>
              <w:ind w:right="140"/>
              <w:spacing w:after="0"/>
              <w:rPr>
                <w:sz w:val="20"/>
                <w:szCs w:val="20"/>
                <w:color w:val="auto"/>
              </w:rPr>
            </w:pPr>
            <w:r>
              <w:rPr>
                <w:rFonts w:ascii="Arial" w:cs="Arial" w:eastAsia="Arial" w:hAnsi="Arial"/>
                <w:sz w:val="18"/>
                <w:szCs w:val="18"/>
                <w:color w:val="auto"/>
              </w:rPr>
              <w:t>(5,750)</w:t>
            </w:r>
          </w:p>
        </w:tc>
        <w:tc>
          <w:tcPr>
            <w:tcW w:w="21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60"/>
              <w:spacing w:after="0"/>
              <w:rPr>
                <w:sz w:val="20"/>
                <w:szCs w:val="20"/>
                <w:color w:val="auto"/>
              </w:rPr>
            </w:pPr>
            <w:r>
              <w:rPr>
                <w:rFonts w:ascii="Arial" w:cs="Arial" w:eastAsia="Arial" w:hAnsi="Arial"/>
                <w:sz w:val="18"/>
                <w:szCs w:val="18"/>
                <w:color w:val="auto"/>
              </w:rPr>
              <w:t>(5,750)</w:t>
            </w:r>
          </w:p>
        </w:tc>
        <w:tc>
          <w:tcPr>
            <w:tcW w:w="0" w:type="dxa"/>
            <w:vAlign w:val="bottom"/>
          </w:tcPr>
          <w:p>
            <w:pPr>
              <w:spacing w:after="0"/>
              <w:rPr>
                <w:sz w:val="1"/>
                <w:szCs w:val="1"/>
                <w:color w:val="auto"/>
              </w:rPr>
            </w:pPr>
          </w:p>
        </w:tc>
      </w:tr>
      <w:tr>
        <w:trPr>
          <w:trHeight w:val="20"/>
        </w:trPr>
        <w:tc>
          <w:tcPr>
            <w:tcW w:w="4500" w:type="dxa"/>
            <w:vAlign w:val="bottom"/>
            <w:vMerge w:val="restart"/>
            <w:shd w:val="clear" w:color="auto" w:fill="CCEEFF"/>
          </w:tcPr>
          <w:p>
            <w:pPr>
              <w:spacing w:after="0"/>
              <w:rPr>
                <w:sz w:val="20"/>
                <w:szCs w:val="20"/>
                <w:color w:val="auto"/>
              </w:rPr>
            </w:pPr>
            <w:r>
              <w:rPr>
                <w:rFonts w:ascii="Arial" w:cs="Arial" w:eastAsia="Arial" w:hAnsi="Arial"/>
                <w:sz w:val="18"/>
                <w:szCs w:val="18"/>
                <w:color w:val="auto"/>
              </w:rPr>
              <w:t>At December 31, 2020</w:t>
            </w:r>
          </w:p>
        </w:tc>
        <w:tc>
          <w:tcPr>
            <w:tcW w:w="19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9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4500" w:type="dxa"/>
            <w:vAlign w:val="bottom"/>
            <w:vMerge w:val="continue"/>
            <w:shd w:val="clear" w:color="auto" w:fill="CCEEFF"/>
          </w:tcPr>
          <w:p>
            <w:pPr>
              <w:spacing w:after="0"/>
              <w:rPr>
                <w:sz w:val="21"/>
                <w:szCs w:val="21"/>
                <w:color w:val="auto"/>
              </w:rPr>
            </w:pPr>
          </w:p>
        </w:tc>
        <w:tc>
          <w:tcPr>
            <w:tcW w:w="1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2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4,949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4,949</w:t>
            </w:r>
          </w:p>
        </w:tc>
        <w:tc>
          <w:tcPr>
            <w:tcW w:w="0" w:type="dxa"/>
            <w:vAlign w:val="bottom"/>
          </w:tcPr>
          <w:p>
            <w:pPr>
              <w:spacing w:after="0"/>
              <w:rPr>
                <w:sz w:val="1"/>
                <w:szCs w:val="1"/>
                <w:color w:val="auto"/>
              </w:rPr>
            </w:pPr>
          </w:p>
        </w:tc>
      </w:tr>
      <w:tr>
        <w:trPr>
          <w:trHeight w:val="20"/>
        </w:trPr>
        <w:tc>
          <w:tcPr>
            <w:tcW w:w="4500" w:type="dxa"/>
            <w:vAlign w:val="bottom"/>
            <w:tcBorders>
              <w:top w:val="single" w:sz="8" w:color="CCEEFF"/>
            </w:tcBorders>
          </w:tcPr>
          <w:p>
            <w:pPr>
              <w:spacing w:after="0" w:line="20" w:lineRule="exact"/>
              <w:rPr>
                <w:sz w:val="1"/>
                <w:szCs w:val="1"/>
                <w:color w:val="auto"/>
              </w:rPr>
            </w:pPr>
          </w:p>
        </w:tc>
        <w:tc>
          <w:tcPr>
            <w:tcW w:w="19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For financial instruments measured at fair value in level 3 category, the Bank uses the following methodologies and inputs using present value techniques.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realized the sale of the debt instrument measured at fair value through profit or loss for $5.8 million. As a result, the Bank recognized a loan and classified it at fair value through profit or loss with a carrying amount of $4.9 million as of December 31, 2020.</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4980" w:type="dxa"/>
            <w:vAlign w:val="bottom"/>
            <w:gridSpan w:val="3"/>
          </w:tcPr>
          <w:p>
            <w:pPr>
              <w:spacing w:after="0"/>
              <w:rPr>
                <w:sz w:val="20"/>
                <w:szCs w:val="20"/>
                <w:color w:val="auto"/>
              </w:rPr>
            </w:pPr>
            <w:r>
              <w:rPr>
                <w:rFonts w:ascii="Arial" w:cs="Arial" w:eastAsia="Arial" w:hAnsi="Arial"/>
                <w:sz w:val="18"/>
                <w:szCs w:val="18"/>
                <w:color w:val="auto"/>
                <w:w w:val="94"/>
              </w:rPr>
              <w:t>Inputs used in the fair value measurement are detailed as follows:</w:t>
            </w:r>
          </w:p>
        </w:tc>
        <w:tc>
          <w:tcPr>
            <w:tcW w:w="5440" w:type="dxa"/>
            <w:vAlign w:val="bottom"/>
          </w:tcPr>
          <w:p>
            <w:pPr>
              <w:spacing w:after="0"/>
              <w:rPr>
                <w:sz w:val="20"/>
                <w:szCs w:val="20"/>
                <w:color w:val="auto"/>
              </w:rPr>
            </w:pPr>
          </w:p>
        </w:tc>
      </w:tr>
      <w:tr>
        <w:trPr>
          <w:trHeight w:val="432"/>
        </w:trPr>
        <w:tc>
          <w:tcPr>
            <w:tcW w:w="320" w:type="dxa"/>
            <w:vAlign w:val="bottom"/>
          </w:tcPr>
          <w:p>
            <w:pPr>
              <w:spacing w:after="0"/>
              <w:rPr>
                <w:sz w:val="24"/>
                <w:szCs w:val="24"/>
                <w:color w:val="auto"/>
              </w:rPr>
            </w:pPr>
          </w:p>
        </w:tc>
        <w:tc>
          <w:tcPr>
            <w:tcW w:w="4660" w:type="dxa"/>
            <w:vAlign w:val="bottom"/>
            <w:gridSpan w:val="2"/>
          </w:tcPr>
          <w:p>
            <w:pPr>
              <w:spacing w:after="0"/>
              <w:rPr>
                <w:sz w:val="20"/>
                <w:szCs w:val="20"/>
                <w:color w:val="auto"/>
              </w:rPr>
            </w:pPr>
            <w:r>
              <w:rPr>
                <w:rFonts w:ascii="Arial" w:cs="Arial" w:eastAsia="Arial" w:hAnsi="Arial"/>
                <w:sz w:val="18"/>
                <w:szCs w:val="18"/>
                <w:b w:val="1"/>
                <w:bCs w:val="1"/>
                <w:i w:val="1"/>
                <w:iCs w:val="1"/>
                <w:color w:val="auto"/>
              </w:rPr>
              <w:t>Observable inputs</w:t>
            </w:r>
          </w:p>
        </w:tc>
        <w:tc>
          <w:tcPr>
            <w:tcW w:w="5440" w:type="dxa"/>
            <w:vAlign w:val="bottom"/>
          </w:tcPr>
          <w:p>
            <w:pPr>
              <w:spacing w:after="0"/>
              <w:rPr>
                <w:sz w:val="20"/>
                <w:szCs w:val="20"/>
                <w:color w:val="auto"/>
              </w:rPr>
            </w:pPr>
            <w:r>
              <w:rPr>
                <w:rFonts w:ascii="Arial" w:cs="Arial" w:eastAsia="Arial" w:hAnsi="Arial"/>
                <w:sz w:val="18"/>
                <w:szCs w:val="18"/>
                <w:b w:val="1"/>
                <w:bCs w:val="1"/>
                <w:i w:val="1"/>
                <w:iCs w:val="1"/>
                <w:color w:val="auto"/>
              </w:rPr>
              <w:t>Unobservable inputs</w:t>
            </w:r>
          </w:p>
        </w:tc>
      </w:tr>
      <w:tr>
        <w:trPr>
          <w:trHeight w:val="195"/>
        </w:trPr>
        <w:tc>
          <w:tcPr>
            <w:tcW w:w="320" w:type="dxa"/>
            <w:vAlign w:val="bottom"/>
          </w:tcPr>
          <w:p>
            <w:pPr>
              <w:spacing w:after="0"/>
              <w:rPr>
                <w:sz w:val="16"/>
                <w:szCs w:val="16"/>
                <w:color w:val="auto"/>
              </w:rPr>
            </w:pPr>
          </w:p>
        </w:tc>
        <w:tc>
          <w:tcPr>
            <w:tcW w:w="424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 Forward interest rate referenced to 12M USD Libor</w:t>
            </w:r>
          </w:p>
        </w:tc>
        <w:tc>
          <w:tcPr>
            <w:tcW w:w="420" w:type="dxa"/>
            <w:vAlign w:val="bottom"/>
          </w:tcPr>
          <w:p>
            <w:pPr>
              <w:spacing w:after="0"/>
              <w:rPr>
                <w:sz w:val="16"/>
                <w:szCs w:val="16"/>
                <w:color w:val="auto"/>
              </w:rPr>
            </w:pPr>
          </w:p>
        </w:tc>
        <w:tc>
          <w:tcPr>
            <w:tcW w:w="5440" w:type="dxa"/>
            <w:vAlign w:val="bottom"/>
            <w:tcBorders>
              <w:top w:val="single" w:sz="8" w:color="auto"/>
            </w:tcBorders>
          </w:tcPr>
          <w:p>
            <w:pPr>
              <w:spacing w:after="0" w:line="195" w:lineRule="exact"/>
              <w:rPr>
                <w:sz w:val="20"/>
                <w:szCs w:val="20"/>
                <w:color w:val="auto"/>
              </w:rPr>
            </w:pPr>
            <w:r>
              <w:rPr>
                <w:rFonts w:ascii="Arial" w:cs="Arial" w:eastAsia="Arial" w:hAnsi="Arial"/>
                <w:sz w:val="18"/>
                <w:szCs w:val="18"/>
                <w:color w:val="auto"/>
              </w:rPr>
              <w:t>- Discount rate or discount margin of floating rate bond "USD US</w:t>
            </w:r>
          </w:p>
        </w:tc>
      </w:tr>
      <w:tr>
        <w:trPr>
          <w:trHeight w:val="216"/>
        </w:trPr>
        <w:tc>
          <w:tcPr>
            <w:tcW w:w="320" w:type="dxa"/>
            <w:vAlign w:val="bottom"/>
          </w:tcPr>
          <w:p>
            <w:pPr>
              <w:spacing w:after="0"/>
              <w:rPr>
                <w:sz w:val="18"/>
                <w:szCs w:val="18"/>
                <w:color w:val="auto"/>
              </w:rPr>
            </w:pPr>
          </w:p>
        </w:tc>
        <w:tc>
          <w:tcPr>
            <w:tcW w:w="42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5440" w:type="dxa"/>
            <w:vAlign w:val="bottom"/>
          </w:tcPr>
          <w:p>
            <w:pPr>
              <w:spacing w:after="0"/>
              <w:rPr>
                <w:sz w:val="20"/>
                <w:szCs w:val="20"/>
                <w:color w:val="auto"/>
              </w:rPr>
            </w:pPr>
            <w:r>
              <w:rPr>
                <w:rFonts w:ascii="Arial" w:cs="Arial" w:eastAsia="Arial" w:hAnsi="Arial"/>
                <w:sz w:val="18"/>
                <w:szCs w:val="18"/>
                <w:color w:val="auto"/>
                <w:w w:val="93"/>
              </w:rPr>
              <w:t>composite B+" with credit risk similar to the instrument analyzed adjusted</w:t>
            </w:r>
          </w:p>
        </w:tc>
      </w:tr>
      <w:tr>
        <w:trPr>
          <w:trHeight w:val="230"/>
        </w:trPr>
        <w:tc>
          <w:tcPr>
            <w:tcW w:w="320" w:type="dxa"/>
            <w:vAlign w:val="bottom"/>
          </w:tcPr>
          <w:p>
            <w:pPr>
              <w:spacing w:after="0"/>
              <w:rPr>
                <w:sz w:val="20"/>
                <w:szCs w:val="20"/>
                <w:color w:val="auto"/>
              </w:rPr>
            </w:pPr>
          </w:p>
        </w:tc>
        <w:tc>
          <w:tcPr>
            <w:tcW w:w="424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5440" w:type="dxa"/>
            <w:vAlign w:val="bottom"/>
          </w:tcPr>
          <w:p>
            <w:pPr>
              <w:spacing w:after="0"/>
              <w:rPr>
                <w:sz w:val="20"/>
                <w:szCs w:val="20"/>
                <w:color w:val="auto"/>
              </w:rPr>
            </w:pPr>
            <w:r>
              <w:rPr>
                <w:rFonts w:ascii="Arial" w:cs="Arial" w:eastAsia="Arial" w:hAnsi="Arial"/>
                <w:sz w:val="18"/>
                <w:szCs w:val="18"/>
                <w:color w:val="auto"/>
              </w:rPr>
              <w:t>by the country risk premium.</w:t>
            </w:r>
          </w:p>
        </w:tc>
      </w:tr>
    </w:tbl>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7940" w:type="dxa"/>
            <w:vAlign w:val="bottom"/>
            <w:gridSpan w:val="2"/>
          </w:tcPr>
          <w:p>
            <w:pPr>
              <w:spacing w:after="0"/>
              <w:rPr>
                <w:sz w:val="20"/>
                <w:szCs w:val="20"/>
                <w:color w:val="auto"/>
              </w:rPr>
            </w:pPr>
            <w:r>
              <w:rPr>
                <w:rFonts w:ascii="Arial" w:cs="Arial" w:eastAsia="Arial" w:hAnsi="Arial"/>
                <w:sz w:val="18"/>
                <w:szCs w:val="18"/>
                <w:color w:val="auto"/>
              </w:rPr>
              <w:t>Fair value measurement sensitivity to unobservable inputs – discount rate</w:t>
            </w:r>
          </w:p>
        </w:tc>
        <w:tc>
          <w:tcPr>
            <w:tcW w:w="2160" w:type="dxa"/>
            <w:vAlign w:val="bottom"/>
          </w:tcPr>
          <w:p>
            <w:pPr>
              <w:jc w:val="right"/>
              <w:ind w:right="810"/>
              <w:spacing w:after="0"/>
              <w:rPr>
                <w:sz w:val="20"/>
                <w:szCs w:val="20"/>
                <w:color w:val="auto"/>
              </w:rPr>
            </w:pPr>
            <w:r>
              <w:rPr>
                <w:rFonts w:ascii="Arial" w:cs="Arial" w:eastAsia="Arial" w:hAnsi="Arial"/>
                <w:sz w:val="18"/>
                <w:szCs w:val="18"/>
                <w:b w:val="1"/>
                <w:bCs w:val="1"/>
                <w:color w:val="auto"/>
              </w:rPr>
              <w:t>2020</w:t>
            </w:r>
          </w:p>
        </w:tc>
        <w:tc>
          <w:tcPr>
            <w:tcW w:w="480" w:type="dxa"/>
            <w:vAlign w:val="bottom"/>
          </w:tcPr>
          <w:p>
            <w:pPr>
              <w:spacing w:after="0"/>
              <w:rPr>
                <w:sz w:val="20"/>
                <w:szCs w:val="20"/>
                <w:color w:val="auto"/>
              </w:rPr>
            </w:pPr>
          </w:p>
        </w:tc>
      </w:tr>
      <w:tr>
        <w:trPr>
          <w:trHeight w:val="224"/>
        </w:trPr>
        <w:tc>
          <w:tcPr>
            <w:tcW w:w="660" w:type="dxa"/>
            <w:vAlign w:val="bottom"/>
          </w:tcPr>
          <w:p>
            <w:pPr>
              <w:spacing w:after="0"/>
              <w:rPr>
                <w:sz w:val="19"/>
                <w:szCs w:val="19"/>
                <w:color w:val="auto"/>
              </w:rPr>
            </w:pPr>
          </w:p>
        </w:tc>
        <w:tc>
          <w:tcPr>
            <w:tcW w:w="7620" w:type="dxa"/>
            <w:vAlign w:val="bottom"/>
            <w:tcBorders>
              <w:top w:val="single" w:sz="8" w:color="auto"/>
            </w:tcBorders>
          </w:tcPr>
          <w:p>
            <w:pPr>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320" w:type="dxa"/>
            <w:vAlign w:val="bottom"/>
          </w:tcPr>
          <w:p>
            <w:pPr>
              <w:spacing w:after="0"/>
              <w:rPr>
                <w:sz w:val="19"/>
                <w:szCs w:val="19"/>
                <w:color w:val="auto"/>
              </w:rPr>
            </w:pPr>
          </w:p>
        </w:tc>
        <w:tc>
          <w:tcPr>
            <w:tcW w:w="216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91"/>
              </w:rPr>
              <w:t>3.128% to 8.89%</w:t>
            </w:r>
          </w:p>
        </w:tc>
        <w:tc>
          <w:tcPr>
            <w:tcW w:w="480" w:type="dxa"/>
            <w:vAlign w:val="bottom"/>
          </w:tcPr>
          <w:p>
            <w:pPr>
              <w:spacing w:after="0"/>
              <w:rPr>
                <w:sz w:val="19"/>
                <w:szCs w:val="19"/>
                <w:color w:val="auto"/>
              </w:rPr>
            </w:pPr>
          </w:p>
        </w:tc>
      </w:tr>
      <w:tr>
        <w:trPr>
          <w:trHeight w:val="425"/>
        </w:trPr>
        <w:tc>
          <w:tcPr>
            <w:tcW w:w="660" w:type="dxa"/>
            <w:vAlign w:val="bottom"/>
            <w:tcBorders>
              <w:bottom w:val="single" w:sz="8" w:color="auto"/>
            </w:tcBorders>
          </w:tcPr>
          <w:p>
            <w:pPr>
              <w:spacing w:after="0"/>
              <w:rPr>
                <w:sz w:val="24"/>
                <w:szCs w:val="24"/>
                <w:color w:val="auto"/>
              </w:rPr>
            </w:pPr>
          </w:p>
        </w:tc>
        <w:tc>
          <w:tcPr>
            <w:tcW w:w="7940" w:type="dxa"/>
            <w:vAlign w:val="bottom"/>
            <w:tcBorders>
              <w:bottom w:val="single" w:sz="8" w:color="auto"/>
            </w:tcBorders>
            <w:gridSpan w:val="2"/>
          </w:tcPr>
          <w:p>
            <w:pPr>
              <w:ind w:left="4800"/>
              <w:spacing w:after="0"/>
              <w:rPr>
                <w:sz w:val="20"/>
                <w:szCs w:val="20"/>
                <w:color w:val="auto"/>
              </w:rPr>
            </w:pPr>
            <w:r>
              <w:rPr>
                <w:rFonts w:ascii="Arial" w:cs="Arial" w:eastAsia="Arial" w:hAnsi="Arial"/>
                <w:sz w:val="18"/>
                <w:szCs w:val="18"/>
                <w:color w:val="auto"/>
              </w:rPr>
              <w:t>F-76</w:t>
            </w:r>
          </w:p>
        </w:tc>
        <w:tc>
          <w:tcPr>
            <w:tcW w:w="21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12" w:name="page213"/>
    <w:bookmarkEnd w:id="2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right="7320" w:hanging="332"/>
        <w:spacing w:after="0" w:line="566" w:lineRule="auto"/>
        <w:tabs>
          <w:tab w:leader="none" w:pos="340" w:val="left"/>
        </w:tabs>
        <w:numPr>
          <w:ilvl w:val="0"/>
          <w:numId w:val="23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D. </w:t>
      </w:r>
      <w:r>
        <w:rPr>
          <w:rFonts w:ascii="Arial" w:cs="Arial" w:eastAsia="Arial" w:hAnsi="Arial"/>
          <w:sz w:val="16"/>
          <w:szCs w:val="16"/>
          <w:b w:val="1"/>
          <w:bCs w:val="1"/>
          <w:u w:val="single" w:color="auto"/>
          <w:color w:val="auto"/>
        </w:rPr>
        <w:t>Level 3 - Fair value measurement</w:t>
      </w:r>
    </w:p>
    <w:p>
      <w:pPr>
        <w:ind w:left="340"/>
        <w:spacing w:after="0" w:line="277" w:lineRule="auto"/>
        <w:rPr>
          <w:sz w:val="20"/>
          <w:szCs w:val="20"/>
          <w:color w:val="auto"/>
        </w:rPr>
      </w:pPr>
      <w:r>
        <w:rPr>
          <w:rFonts w:ascii="Arial" w:cs="Arial" w:eastAsia="Arial" w:hAnsi="Arial"/>
          <w:sz w:val="18"/>
          <w:szCs w:val="18"/>
          <w:color w:val="auto"/>
        </w:rPr>
        <w:t>As of December 31, 2020, Management used market data published in Bloomberg for the construction of the discount curve, which allows for a more accurate measurement of the instrument.</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The effect of unobservable inputs on fair value measurement</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124" w:lineRule="exact"/>
        <w:rPr>
          <w:sz w:val="20"/>
          <w:szCs w:val="20"/>
          <w:color w:val="auto"/>
        </w:rPr>
      </w:pPr>
    </w:p>
    <w:tbl>
      <w:tblPr>
        <w:tblLayout w:type="fixed"/>
        <w:tblInd w:w="2200" w:type="dxa"/>
        <w:tblCellMar>
          <w:top w:w="0" w:type="dxa"/>
          <w:left w:w="0" w:type="dxa"/>
          <w:bottom w:w="0" w:type="dxa"/>
          <w:right w:w="0" w:type="dxa"/>
        </w:tblCellMar>
      </w:tblPr>
      <w:tr>
        <w:trPr>
          <w:trHeight w:val="237"/>
        </w:trPr>
        <w:tc>
          <w:tcPr>
            <w:tcW w:w="4600" w:type="dxa"/>
            <w:vAlign w:val="bottom"/>
            <w:gridSpan w:val="3"/>
          </w:tcPr>
          <w:p>
            <w:pPr>
              <w:spacing w:after="0"/>
              <w:rPr>
                <w:sz w:val="20"/>
                <w:szCs w:val="20"/>
                <w:color w:val="auto"/>
              </w:rPr>
            </w:pPr>
            <w:r>
              <w:rPr>
                <w:rFonts w:ascii="Arial" w:cs="Arial" w:eastAsia="Arial" w:hAnsi="Arial"/>
                <w:sz w:val="18"/>
                <w:szCs w:val="18"/>
                <w:i w:val="1"/>
                <w:iCs w:val="1"/>
                <w:color w:val="auto"/>
              </w:rPr>
              <w:t>Loans at fair value through profit or loss</w:t>
            </w:r>
          </w:p>
        </w:tc>
        <w:tc>
          <w:tcPr>
            <w:tcW w:w="2260" w:type="dxa"/>
            <w:vAlign w:val="bottom"/>
          </w:tcPr>
          <w:p>
            <w:pPr>
              <w:jc w:val="right"/>
              <w:ind w:right="250"/>
              <w:spacing w:after="0"/>
              <w:rPr>
                <w:sz w:val="20"/>
                <w:szCs w:val="20"/>
                <w:color w:val="auto"/>
              </w:rPr>
            </w:pPr>
            <w:r>
              <w:rPr>
                <w:rFonts w:ascii="Arial" w:cs="Arial" w:eastAsia="Arial" w:hAnsi="Arial"/>
                <w:sz w:val="18"/>
                <w:szCs w:val="18"/>
                <w:i w:val="1"/>
                <w:iCs w:val="1"/>
                <w:color w:val="auto"/>
              </w:rPr>
              <w:t>Effect on profit or loss</w:t>
            </w:r>
          </w:p>
        </w:tc>
      </w:tr>
      <w:tr>
        <w:trPr>
          <w:trHeight w:val="202"/>
        </w:trPr>
        <w:tc>
          <w:tcPr>
            <w:tcW w:w="20" w:type="dxa"/>
            <w:vAlign w:val="bottom"/>
          </w:tcPr>
          <w:p>
            <w:pPr>
              <w:spacing w:after="0"/>
              <w:rPr>
                <w:sz w:val="17"/>
                <w:szCs w:val="17"/>
                <w:color w:val="auto"/>
              </w:rPr>
            </w:pPr>
          </w:p>
        </w:tc>
        <w:tc>
          <w:tcPr>
            <w:tcW w:w="448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+ 100 bps to the observable and unobservable inputs</w:t>
            </w:r>
          </w:p>
        </w:tc>
        <w:tc>
          <w:tcPr>
            <w:tcW w:w="100" w:type="dxa"/>
            <w:vAlign w:val="bottom"/>
          </w:tcPr>
          <w:p>
            <w:pPr>
              <w:spacing w:after="0"/>
              <w:rPr>
                <w:sz w:val="17"/>
                <w:szCs w:val="17"/>
                <w:color w:val="auto"/>
              </w:rPr>
            </w:pPr>
          </w:p>
        </w:tc>
        <w:tc>
          <w:tcPr>
            <w:tcW w:w="2260" w:type="dxa"/>
            <w:vAlign w:val="bottom"/>
            <w:tcBorders>
              <w:top w:val="single" w:sz="8" w:color="auto"/>
            </w:tcBorders>
          </w:tcPr>
          <w:p>
            <w:pPr>
              <w:jc w:val="right"/>
              <w:ind w:right="850"/>
              <w:spacing w:after="0" w:line="201" w:lineRule="exact"/>
              <w:rPr>
                <w:sz w:val="20"/>
                <w:szCs w:val="20"/>
                <w:color w:val="auto"/>
              </w:rPr>
            </w:pPr>
            <w:r>
              <w:rPr>
                <w:rFonts w:ascii="Arial" w:cs="Arial" w:eastAsia="Arial" w:hAnsi="Arial"/>
                <w:sz w:val="18"/>
                <w:szCs w:val="18"/>
                <w:color w:val="auto"/>
              </w:rPr>
              <w:t>(149)</w:t>
            </w:r>
          </w:p>
        </w:tc>
      </w:tr>
      <w:tr>
        <w:trPr>
          <w:trHeight w:val="230"/>
        </w:trPr>
        <w:tc>
          <w:tcPr>
            <w:tcW w:w="4600" w:type="dxa"/>
            <w:vAlign w:val="bottom"/>
            <w:gridSpan w:val="3"/>
          </w:tcPr>
          <w:p>
            <w:pPr>
              <w:spacing w:after="0"/>
              <w:rPr>
                <w:sz w:val="20"/>
                <w:szCs w:val="20"/>
                <w:color w:val="auto"/>
              </w:rPr>
            </w:pPr>
            <w:r>
              <w:rPr>
                <w:rFonts w:ascii="Arial" w:cs="Arial" w:eastAsia="Arial" w:hAnsi="Arial"/>
                <w:sz w:val="18"/>
                <w:szCs w:val="18"/>
                <w:color w:val="auto"/>
              </w:rPr>
              <w:t>- 100 bps to the observable and unobservable inputs</w:t>
            </w:r>
          </w:p>
        </w:tc>
        <w:tc>
          <w:tcPr>
            <w:tcW w:w="2260" w:type="dxa"/>
            <w:vAlign w:val="bottom"/>
          </w:tcPr>
          <w:p>
            <w:pPr>
              <w:jc w:val="right"/>
              <w:ind w:right="910"/>
              <w:spacing w:after="0"/>
              <w:rPr>
                <w:sz w:val="20"/>
                <w:szCs w:val="20"/>
                <w:color w:val="auto"/>
              </w:rPr>
            </w:pPr>
            <w:r>
              <w:rPr>
                <w:rFonts w:ascii="Arial" w:cs="Arial" w:eastAsia="Arial" w:hAnsi="Arial"/>
                <w:sz w:val="18"/>
                <w:szCs w:val="18"/>
                <w:color w:val="auto"/>
              </w:rPr>
              <w:t>154</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Debt instruments "debentures" at fair value through profit or loss - Level 3</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significant inputs used in determining the fair value of instruments categorized as level 3, using present value techniques, are as follows:</w:t>
      </w:r>
    </w:p>
    <w:p>
      <w:pPr>
        <w:spacing w:after="0" w:line="233" w:lineRule="exact"/>
        <w:rPr>
          <w:sz w:val="20"/>
          <w:szCs w:val="20"/>
          <w:color w:val="auto"/>
        </w:rPr>
      </w:pPr>
    </w:p>
    <w:tbl>
      <w:tblPr>
        <w:tblLayout w:type="fixed"/>
        <w:tblInd w:w="380" w:type="dxa"/>
        <w:tblCellMar>
          <w:top w:w="0" w:type="dxa"/>
          <w:left w:w="0" w:type="dxa"/>
          <w:bottom w:w="0" w:type="dxa"/>
          <w:right w:w="0" w:type="dxa"/>
        </w:tblCellMar>
      </w:tblPr>
      <w:tr>
        <w:trPr>
          <w:trHeight w:val="241"/>
        </w:trPr>
        <w:tc>
          <w:tcPr>
            <w:tcW w:w="4720" w:type="dxa"/>
            <w:vAlign w:val="bottom"/>
          </w:tcPr>
          <w:p>
            <w:pPr>
              <w:jc w:val="right"/>
              <w:ind w:right="2090"/>
              <w:spacing w:after="0"/>
              <w:rPr>
                <w:sz w:val="20"/>
                <w:szCs w:val="20"/>
                <w:color w:val="auto"/>
              </w:rPr>
            </w:pPr>
            <w:r>
              <w:rPr>
                <w:rFonts w:ascii="Arial" w:cs="Arial" w:eastAsia="Arial" w:hAnsi="Arial"/>
                <w:sz w:val="18"/>
                <w:szCs w:val="18"/>
                <w:b w:val="1"/>
                <w:bCs w:val="1"/>
                <w:color w:val="auto"/>
              </w:rPr>
              <w:t>2020</w:t>
            </w:r>
          </w:p>
        </w:tc>
        <w:tc>
          <w:tcPr>
            <w:tcW w:w="5840" w:type="dxa"/>
            <w:vAlign w:val="bottom"/>
            <w:gridSpan w:val="2"/>
          </w:tcPr>
          <w:p>
            <w:pPr>
              <w:jc w:val="right"/>
              <w:ind w:right="2550"/>
              <w:spacing w:after="0"/>
              <w:rPr>
                <w:sz w:val="20"/>
                <w:szCs w:val="20"/>
                <w:color w:val="auto"/>
              </w:rPr>
            </w:pPr>
            <w:r>
              <w:rPr>
                <w:rFonts w:ascii="Arial" w:cs="Arial" w:eastAsia="Arial" w:hAnsi="Arial"/>
                <w:sz w:val="18"/>
                <w:szCs w:val="18"/>
                <w:b w:val="1"/>
                <w:bCs w:val="1"/>
                <w:color w:val="auto"/>
              </w:rPr>
              <w:t>2019</w:t>
            </w:r>
          </w:p>
        </w:tc>
      </w:tr>
      <w:tr>
        <w:trPr>
          <w:trHeight w:val="202"/>
        </w:trPr>
        <w:tc>
          <w:tcPr>
            <w:tcW w:w="4720" w:type="dxa"/>
            <w:vAlign w:val="bottom"/>
            <w:tcBorders>
              <w:top w:val="single" w:sz="8" w:color="auto"/>
            </w:tcBorders>
          </w:tcPr>
          <w:p>
            <w:pPr>
              <w:jc w:val="right"/>
              <w:ind w:right="3030"/>
              <w:spacing w:after="0" w:line="201" w:lineRule="exact"/>
              <w:rPr>
                <w:sz w:val="20"/>
                <w:szCs w:val="20"/>
                <w:color w:val="auto"/>
              </w:rPr>
            </w:pPr>
            <w:r>
              <w:rPr>
                <w:rFonts w:ascii="Arial" w:cs="Arial" w:eastAsia="Arial" w:hAnsi="Arial"/>
                <w:sz w:val="18"/>
                <w:szCs w:val="18"/>
                <w:b w:val="1"/>
                <w:bCs w:val="1"/>
                <w:i w:val="1"/>
                <w:iCs w:val="1"/>
                <w:color w:val="auto"/>
                <w:w w:val="88"/>
              </w:rPr>
              <w:t>Unobservable inputs</w:t>
            </w:r>
          </w:p>
        </w:tc>
        <w:tc>
          <w:tcPr>
            <w:tcW w:w="220" w:type="dxa"/>
            <w:vAlign w:val="bottom"/>
          </w:tcPr>
          <w:p>
            <w:pPr>
              <w:spacing w:after="0"/>
              <w:rPr>
                <w:sz w:val="17"/>
                <w:szCs w:val="17"/>
                <w:color w:val="auto"/>
              </w:rPr>
            </w:pPr>
          </w:p>
        </w:tc>
        <w:tc>
          <w:tcPr>
            <w:tcW w:w="5620" w:type="dxa"/>
            <w:vAlign w:val="bottom"/>
            <w:tcBorders>
              <w:top w:val="single" w:sz="8" w:color="auto"/>
            </w:tcBorders>
          </w:tcPr>
          <w:p>
            <w:pPr>
              <w:jc w:val="right"/>
              <w:ind w:right="3950"/>
              <w:spacing w:after="0" w:line="201" w:lineRule="exact"/>
              <w:rPr>
                <w:sz w:val="20"/>
                <w:szCs w:val="20"/>
                <w:color w:val="auto"/>
              </w:rPr>
            </w:pPr>
            <w:r>
              <w:rPr>
                <w:rFonts w:ascii="Arial" w:cs="Arial" w:eastAsia="Arial" w:hAnsi="Arial"/>
                <w:sz w:val="18"/>
                <w:szCs w:val="18"/>
                <w:b w:val="1"/>
                <w:bCs w:val="1"/>
                <w:i w:val="1"/>
                <w:iCs w:val="1"/>
                <w:color w:val="auto"/>
                <w:w w:val="87"/>
              </w:rPr>
              <w:t>Unobservable inputs</w:t>
            </w:r>
          </w:p>
        </w:tc>
      </w:tr>
      <w:tr>
        <w:trPr>
          <w:trHeight w:val="216"/>
        </w:trPr>
        <w:tc>
          <w:tcPr>
            <w:tcW w:w="4720" w:type="dxa"/>
            <w:vAlign w:val="bottom"/>
          </w:tcPr>
          <w:p>
            <w:pPr>
              <w:jc w:val="right"/>
              <w:spacing w:after="0"/>
              <w:rPr>
                <w:sz w:val="20"/>
                <w:szCs w:val="20"/>
                <w:color w:val="auto"/>
              </w:rPr>
            </w:pPr>
            <w:r>
              <w:rPr>
                <w:rFonts w:ascii="Arial" w:cs="Arial" w:eastAsia="Arial" w:hAnsi="Arial"/>
                <w:sz w:val="18"/>
                <w:szCs w:val="18"/>
                <w:color w:val="auto"/>
                <w:w w:val="94"/>
              </w:rPr>
              <w:t>- Discount rate based on the return from CCC Corporate S&amp;P</w:t>
            </w:r>
          </w:p>
        </w:tc>
        <w:tc>
          <w:tcPr>
            <w:tcW w:w="5840" w:type="dxa"/>
            <w:vAlign w:val="bottom"/>
            <w:gridSpan w:val="2"/>
          </w:tcPr>
          <w:p>
            <w:pPr>
              <w:jc w:val="right"/>
              <w:spacing w:after="0"/>
              <w:rPr>
                <w:sz w:val="20"/>
                <w:szCs w:val="20"/>
                <w:color w:val="auto"/>
              </w:rPr>
            </w:pPr>
            <w:r>
              <w:rPr>
                <w:rFonts w:ascii="Arial" w:cs="Arial" w:eastAsia="Arial" w:hAnsi="Arial"/>
                <w:sz w:val="18"/>
                <w:szCs w:val="18"/>
                <w:color w:val="auto"/>
                <w:w w:val="94"/>
              </w:rPr>
              <w:t>- Discount rate for similar companies of the same business line adjusted due</w:t>
            </w:r>
          </w:p>
        </w:tc>
      </w:tr>
      <w:tr>
        <w:trPr>
          <w:trHeight w:val="230"/>
        </w:trPr>
        <w:tc>
          <w:tcPr>
            <w:tcW w:w="4720" w:type="dxa"/>
            <w:vAlign w:val="bottom"/>
          </w:tcPr>
          <w:p>
            <w:pPr>
              <w:jc w:val="right"/>
              <w:ind w:right="3590"/>
              <w:spacing w:after="0"/>
              <w:rPr>
                <w:sz w:val="20"/>
                <w:szCs w:val="20"/>
                <w:color w:val="auto"/>
              </w:rPr>
            </w:pPr>
            <w:r>
              <w:rPr>
                <w:rFonts w:ascii="Arial" w:cs="Arial" w:eastAsia="Arial" w:hAnsi="Arial"/>
                <w:sz w:val="18"/>
                <w:szCs w:val="18"/>
                <w:color w:val="auto"/>
              </w:rPr>
              <w:t>Bond Index</w:t>
            </w:r>
          </w:p>
        </w:tc>
        <w:tc>
          <w:tcPr>
            <w:tcW w:w="220" w:type="dxa"/>
            <w:vAlign w:val="bottom"/>
          </w:tcPr>
          <w:p>
            <w:pPr>
              <w:spacing w:after="0"/>
              <w:rPr>
                <w:sz w:val="20"/>
                <w:szCs w:val="20"/>
                <w:color w:val="auto"/>
              </w:rPr>
            </w:pPr>
          </w:p>
        </w:tc>
        <w:tc>
          <w:tcPr>
            <w:tcW w:w="5620" w:type="dxa"/>
            <w:vAlign w:val="bottom"/>
          </w:tcPr>
          <w:p>
            <w:pPr>
              <w:jc w:val="right"/>
              <w:ind w:right="2590"/>
              <w:spacing w:after="0"/>
              <w:rPr>
                <w:sz w:val="20"/>
                <w:szCs w:val="20"/>
                <w:color w:val="auto"/>
              </w:rPr>
            </w:pPr>
            <w:r>
              <w:rPr>
                <w:rFonts w:ascii="Arial" w:cs="Arial" w:eastAsia="Arial" w:hAnsi="Arial"/>
                <w:sz w:val="18"/>
                <w:szCs w:val="18"/>
                <w:color w:val="auto"/>
                <w:w w:val="92"/>
              </w:rPr>
              <w:t>to the debt-equity structure of the issuer</w:t>
            </w:r>
          </w:p>
        </w:tc>
      </w:tr>
    </w:tbl>
    <w:p>
      <w:pPr>
        <w:ind w:left="580" w:right="6220" w:hanging="194"/>
        <w:spacing w:after="0" w:line="250" w:lineRule="auto"/>
        <w:tabs>
          <w:tab w:leader="none" w:pos="564" w:val="left"/>
        </w:tabs>
        <w:numPr>
          <w:ilvl w:val="0"/>
          <w:numId w:val="236"/>
        </w:numPr>
        <w:rPr>
          <w:rFonts w:ascii="Arial" w:cs="Arial" w:eastAsia="Arial" w:hAnsi="Arial"/>
          <w:sz w:val="18"/>
          <w:szCs w:val="18"/>
          <w:color w:val="auto"/>
        </w:rPr>
      </w:pPr>
      <w:r>
        <w:rPr>
          <w:rFonts w:ascii="Arial" w:cs="Arial" w:eastAsia="Arial" w:hAnsi="Arial"/>
          <w:sz w:val="18"/>
          <w:szCs w:val="18"/>
          <w:color w:val="auto"/>
        </w:rPr>
        <w:t>Probability of occurrence of the flows of each sale or conversion scenario</w:t>
      </w:r>
    </w:p>
    <w:p>
      <w:pPr>
        <w:spacing w:after="0" w:line="1" w:lineRule="exact"/>
        <w:rPr>
          <w:sz w:val="20"/>
          <w:szCs w:val="20"/>
          <w:color w:val="auto"/>
        </w:rPr>
      </w:pPr>
    </w:p>
    <w:p>
      <w:pPr>
        <w:ind w:left="5380"/>
        <w:spacing w:after="0"/>
        <w:rPr>
          <w:sz w:val="20"/>
          <w:szCs w:val="20"/>
          <w:color w:val="auto"/>
        </w:rPr>
      </w:pPr>
      <w:r>
        <w:rPr>
          <w:rFonts w:ascii="Arial" w:cs="Arial" w:eastAsia="Arial" w:hAnsi="Arial"/>
          <w:sz w:val="18"/>
          <w:szCs w:val="18"/>
          <w:b w:val="1"/>
          <w:bCs w:val="1"/>
          <w:i w:val="1"/>
          <w:iCs w:val="1"/>
          <w:color w:val="auto"/>
        </w:rPr>
        <w:t>Observable inputs</w:t>
      </w:r>
    </w:p>
    <w:p>
      <w:pPr>
        <w:spacing w:after="0" w:line="9" w:lineRule="exact"/>
        <w:rPr>
          <w:sz w:val="20"/>
          <w:szCs w:val="20"/>
          <w:color w:val="auto"/>
        </w:rPr>
      </w:pPr>
    </w:p>
    <w:p>
      <w:pPr>
        <w:ind w:left="5320"/>
        <w:spacing w:after="0"/>
        <w:rPr>
          <w:sz w:val="20"/>
          <w:szCs w:val="20"/>
          <w:color w:val="auto"/>
        </w:rPr>
      </w:pPr>
      <w:r>
        <w:rPr>
          <w:rFonts w:ascii="Arial" w:cs="Arial" w:eastAsia="Arial" w:hAnsi="Arial"/>
          <w:sz w:val="18"/>
          <w:szCs w:val="18"/>
          <w:color w:val="auto"/>
        </w:rPr>
        <w:t>- Average recovery factor for companies that reported default – Moody’s</w:t>
      </w:r>
    </w:p>
    <w:p>
      <w:pPr>
        <w:spacing w:after="0" w:line="238" w:lineRule="exact"/>
        <w:rPr>
          <w:sz w:val="20"/>
          <w:szCs w:val="20"/>
          <w:color w:val="auto"/>
        </w:rPr>
      </w:pPr>
    </w:p>
    <w:tbl>
      <w:tblPr>
        <w:tblLayout w:type="fixed"/>
        <w:tblInd w:w="980" w:type="dxa"/>
        <w:tblCellMar>
          <w:top w:w="0" w:type="dxa"/>
          <w:left w:w="0" w:type="dxa"/>
          <w:bottom w:w="0" w:type="dxa"/>
          <w:right w:w="0" w:type="dxa"/>
        </w:tblCellMar>
      </w:tblPr>
      <w:tr>
        <w:trPr>
          <w:trHeight w:val="230"/>
        </w:trPr>
        <w:tc>
          <w:tcPr>
            <w:tcW w:w="5300" w:type="dxa"/>
            <w:vAlign w:val="bottom"/>
            <w:vMerge w:val="restart"/>
          </w:tcPr>
          <w:p>
            <w:pPr>
              <w:spacing w:after="0"/>
              <w:rPr>
                <w:sz w:val="20"/>
                <w:szCs w:val="20"/>
                <w:color w:val="auto"/>
              </w:rPr>
            </w:pPr>
            <w:r>
              <w:rPr>
                <w:rFonts w:ascii="Arial" w:cs="Arial" w:eastAsia="Arial" w:hAnsi="Arial"/>
                <w:sz w:val="18"/>
                <w:szCs w:val="18"/>
                <w:color w:val="auto"/>
                <w:w w:val="90"/>
              </w:rPr>
              <w:t>Fair value measurement sensitivity to unobservable inputs – discount rate</w:t>
            </w:r>
          </w:p>
        </w:tc>
        <w:tc>
          <w:tcPr>
            <w:tcW w:w="1460" w:type="dxa"/>
            <w:vAlign w:val="bottom"/>
            <w:vMerge w:val="restart"/>
          </w:tcPr>
          <w:p>
            <w:pPr>
              <w:spacing w:after="0"/>
              <w:rPr>
                <w:sz w:val="20"/>
                <w:szCs w:val="20"/>
                <w:color w:val="auto"/>
              </w:rPr>
            </w:pPr>
          </w:p>
        </w:tc>
        <w:tc>
          <w:tcPr>
            <w:tcW w:w="3340" w:type="dxa"/>
            <w:vAlign w:val="bottom"/>
            <w:tcBorders>
              <w:bottom w:val="single" w:sz="8" w:color="auto"/>
            </w:tcBorders>
            <w:gridSpan w:val="3"/>
          </w:tcPr>
          <w:p>
            <w:pPr>
              <w:ind w:left="980"/>
              <w:spacing w:after="0"/>
              <w:rPr>
                <w:sz w:val="20"/>
                <w:szCs w:val="20"/>
                <w:color w:val="auto"/>
              </w:rPr>
            </w:pPr>
            <w:r>
              <w:rPr>
                <w:rFonts w:ascii="Arial" w:cs="Arial" w:eastAsia="Arial" w:hAnsi="Arial"/>
                <w:sz w:val="18"/>
                <w:szCs w:val="18"/>
                <w:color w:val="auto"/>
              </w:rPr>
              <w:t>Range of estimates</w:t>
            </w:r>
          </w:p>
        </w:tc>
        <w:tc>
          <w:tcPr>
            <w:tcW w:w="0" w:type="dxa"/>
            <w:vAlign w:val="bottom"/>
          </w:tcPr>
          <w:p>
            <w:pPr>
              <w:spacing w:after="0"/>
              <w:rPr>
                <w:sz w:val="1"/>
                <w:szCs w:val="1"/>
                <w:color w:val="auto"/>
              </w:rPr>
            </w:pPr>
          </w:p>
        </w:tc>
      </w:tr>
      <w:tr>
        <w:trPr>
          <w:trHeight w:val="160"/>
        </w:trPr>
        <w:tc>
          <w:tcPr>
            <w:tcW w:w="5300" w:type="dxa"/>
            <w:vAlign w:val="bottom"/>
            <w:tcBorders>
              <w:bottom w:val="single" w:sz="8" w:color="auto"/>
            </w:tcBorders>
            <w:vMerge w:val="continue"/>
          </w:tcPr>
          <w:p>
            <w:pPr>
              <w:spacing w:after="0"/>
              <w:rPr>
                <w:sz w:val="13"/>
                <w:szCs w:val="13"/>
                <w:color w:val="auto"/>
              </w:rPr>
            </w:pPr>
          </w:p>
        </w:tc>
        <w:tc>
          <w:tcPr>
            <w:tcW w:w="1460" w:type="dxa"/>
            <w:vAlign w:val="bottom"/>
            <w:vMerge w:val="continue"/>
          </w:tcPr>
          <w:p>
            <w:pPr>
              <w:spacing w:after="0"/>
              <w:rPr>
                <w:sz w:val="13"/>
                <w:szCs w:val="13"/>
                <w:color w:val="auto"/>
              </w:rPr>
            </w:pPr>
          </w:p>
        </w:tc>
        <w:tc>
          <w:tcPr>
            <w:tcW w:w="1600" w:type="dxa"/>
            <w:vAlign w:val="bottom"/>
          </w:tcPr>
          <w:p>
            <w:pPr>
              <w:jc w:val="right"/>
              <w:ind w:right="514"/>
              <w:spacing w:after="0" w:line="142" w:lineRule="exact"/>
              <w:rPr>
                <w:sz w:val="20"/>
                <w:szCs w:val="20"/>
                <w:color w:val="auto"/>
              </w:rPr>
            </w:pPr>
            <w:r>
              <w:rPr>
                <w:rFonts w:ascii="Arial" w:cs="Arial" w:eastAsia="Arial" w:hAnsi="Arial"/>
                <w:sz w:val="16"/>
                <w:szCs w:val="16"/>
                <w:b w:val="1"/>
                <w:bCs w:val="1"/>
                <w:color w:val="auto"/>
              </w:rPr>
              <w:t>2020</w:t>
            </w:r>
          </w:p>
        </w:tc>
        <w:tc>
          <w:tcPr>
            <w:tcW w:w="100" w:type="dxa"/>
            <w:vAlign w:val="bottom"/>
          </w:tcPr>
          <w:p>
            <w:pPr>
              <w:spacing w:after="0"/>
              <w:rPr>
                <w:sz w:val="13"/>
                <w:szCs w:val="13"/>
                <w:color w:val="auto"/>
              </w:rPr>
            </w:pPr>
          </w:p>
        </w:tc>
        <w:tc>
          <w:tcPr>
            <w:tcW w:w="1640" w:type="dxa"/>
            <w:vAlign w:val="bottom"/>
          </w:tcPr>
          <w:p>
            <w:pPr>
              <w:jc w:val="right"/>
              <w:ind w:right="536"/>
              <w:spacing w:after="0" w:line="142" w:lineRule="exact"/>
              <w:rPr>
                <w:sz w:val="20"/>
                <w:szCs w:val="20"/>
                <w:color w:val="auto"/>
              </w:rPr>
            </w:pPr>
            <w:r>
              <w:rPr>
                <w:rFonts w:ascii="Arial" w:cs="Arial" w:eastAsia="Arial" w:hAnsi="Arial"/>
                <w:sz w:val="16"/>
                <w:szCs w:val="16"/>
                <w:b w:val="1"/>
                <w:bCs w:val="1"/>
                <w:color w:val="auto"/>
              </w:rPr>
              <w:t>2019</w:t>
            </w:r>
          </w:p>
        </w:tc>
        <w:tc>
          <w:tcPr>
            <w:tcW w:w="0" w:type="dxa"/>
            <w:vAlign w:val="bottom"/>
          </w:tcPr>
          <w:p>
            <w:pPr>
              <w:spacing w:after="0"/>
              <w:rPr>
                <w:sz w:val="1"/>
                <w:szCs w:val="1"/>
                <w:color w:val="auto"/>
              </w:rPr>
            </w:pPr>
          </w:p>
        </w:tc>
      </w:tr>
      <w:tr>
        <w:trPr>
          <w:trHeight w:val="34"/>
        </w:trPr>
        <w:tc>
          <w:tcPr>
            <w:tcW w:w="6760" w:type="dxa"/>
            <w:vAlign w:val="bottom"/>
            <w:gridSpan w:val="2"/>
            <w:vMerge w:val="restart"/>
          </w:tcPr>
          <w:p>
            <w:pPr>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1600" w:type="dxa"/>
            <w:vAlign w:val="bottom"/>
            <w:tcBorders>
              <w:bottom w:val="single" w:sz="8" w:color="auto"/>
            </w:tcBorders>
          </w:tcPr>
          <w:p>
            <w:pPr>
              <w:spacing w:after="0"/>
              <w:rPr>
                <w:sz w:val="2"/>
                <w:szCs w:val="2"/>
                <w:color w:val="auto"/>
              </w:rPr>
            </w:pPr>
          </w:p>
        </w:tc>
        <w:tc>
          <w:tcPr>
            <w:tcW w:w="100" w:type="dxa"/>
            <w:vAlign w:val="bottom"/>
            <w:vMerge w:val="restart"/>
          </w:tcPr>
          <w:p>
            <w:pPr>
              <w:spacing w:after="0"/>
              <w:rPr>
                <w:sz w:val="2"/>
                <w:szCs w:val="2"/>
                <w:color w:val="auto"/>
              </w:rPr>
            </w:pPr>
          </w:p>
        </w:tc>
        <w:tc>
          <w:tcPr>
            <w:tcW w:w="16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4"/>
        </w:trPr>
        <w:tc>
          <w:tcPr>
            <w:tcW w:w="6760" w:type="dxa"/>
            <w:vAlign w:val="bottom"/>
            <w:gridSpan w:val="2"/>
            <w:vMerge w:val="continue"/>
          </w:tcPr>
          <w:p>
            <w:pPr>
              <w:spacing w:after="0"/>
              <w:rPr>
                <w:sz w:val="19"/>
                <w:szCs w:val="19"/>
                <w:color w:val="auto"/>
              </w:rPr>
            </w:pPr>
          </w:p>
        </w:tc>
        <w:tc>
          <w:tcPr>
            <w:tcW w:w="1600" w:type="dxa"/>
            <w:vAlign w:val="bottom"/>
          </w:tcPr>
          <w:p>
            <w:pPr>
              <w:jc w:val="center"/>
              <w:spacing w:after="0"/>
              <w:rPr>
                <w:sz w:val="20"/>
                <w:szCs w:val="20"/>
                <w:color w:val="auto"/>
              </w:rPr>
            </w:pPr>
            <w:r>
              <w:rPr>
                <w:rFonts w:ascii="Arial" w:cs="Arial" w:eastAsia="Arial" w:hAnsi="Arial"/>
                <w:sz w:val="18"/>
                <w:szCs w:val="18"/>
                <w:color w:val="auto"/>
                <w:w w:val="91"/>
              </w:rPr>
              <w:t>10.00% to 20.00%</w:t>
            </w:r>
          </w:p>
        </w:tc>
        <w:tc>
          <w:tcPr>
            <w:tcW w:w="100" w:type="dxa"/>
            <w:vAlign w:val="bottom"/>
            <w:vMerge w:val="continue"/>
          </w:tcPr>
          <w:p>
            <w:pPr>
              <w:spacing w:after="0"/>
              <w:rPr>
                <w:sz w:val="19"/>
                <w:szCs w:val="19"/>
                <w:color w:val="auto"/>
              </w:rPr>
            </w:pPr>
          </w:p>
        </w:tc>
        <w:tc>
          <w:tcPr>
            <w:tcW w:w="1640" w:type="dxa"/>
            <w:vAlign w:val="bottom"/>
          </w:tcPr>
          <w:p>
            <w:pPr>
              <w:jc w:val="center"/>
              <w:spacing w:after="0"/>
              <w:rPr>
                <w:sz w:val="20"/>
                <w:szCs w:val="20"/>
                <w:color w:val="auto"/>
              </w:rPr>
            </w:pPr>
            <w:r>
              <w:rPr>
                <w:rFonts w:ascii="Arial" w:cs="Arial" w:eastAsia="Arial" w:hAnsi="Arial"/>
                <w:sz w:val="18"/>
                <w:szCs w:val="18"/>
                <w:color w:val="auto"/>
                <w:w w:val="91"/>
              </w:rPr>
              <w:t>12.97% to 27.50%</w:t>
            </w: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During 2020, Management used the discount rate based on the return from CCC Corporate S&amp;P Bond Index, mostly composed of data from US/LATAM markets displayed in Bloomberg, which allows a more reliable measurement for the instrument.</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13" w:name="page214"/>
    <w:bookmarkEnd w:id="2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37"/>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details of interest-bearing deposits in banks and pledged deposits:</w:t>
      </w:r>
    </w:p>
    <w:p>
      <w:pPr>
        <w:spacing w:after="0" w:line="221" w:lineRule="exact"/>
        <w:rPr>
          <w:sz w:val="20"/>
          <w:szCs w:val="20"/>
          <w:color w:val="auto"/>
        </w:rPr>
      </w:pPr>
    </w:p>
    <w:tbl>
      <w:tblPr>
        <w:tblLayout w:type="fixed"/>
        <w:tblInd w:w="380" w:type="dxa"/>
        <w:tblCellMar>
          <w:top w:w="0" w:type="dxa"/>
          <w:left w:w="0" w:type="dxa"/>
          <w:bottom w:w="0" w:type="dxa"/>
          <w:right w:w="0" w:type="dxa"/>
        </w:tblCellMar>
      </w:tblPr>
      <w:tr>
        <w:trPr>
          <w:trHeight w:val="230"/>
        </w:trPr>
        <w:tc>
          <w:tcPr>
            <w:tcW w:w="7340" w:type="dxa"/>
            <w:vAlign w:val="bottom"/>
          </w:tcPr>
          <w:p>
            <w:pPr>
              <w:spacing w:after="0"/>
              <w:rPr>
                <w:sz w:val="19"/>
                <w:szCs w:val="19"/>
                <w:color w:val="auto"/>
              </w:rPr>
            </w:pPr>
          </w:p>
        </w:tc>
        <w:tc>
          <w:tcPr>
            <w:tcW w:w="16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3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8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4,331</w:t>
            </w: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8,078</w:t>
            </w:r>
          </w:p>
        </w:tc>
        <w:tc>
          <w:tcPr>
            <w:tcW w:w="100" w:type="dxa"/>
            <w:vAlign w:val="bottom"/>
            <w:shd w:val="clear" w:color="auto" w:fill="CCEEFF"/>
          </w:tcPr>
          <w:p>
            <w:pPr>
              <w:spacing w:after="0"/>
              <w:rPr>
                <w:sz w:val="18"/>
                <w:szCs w:val="18"/>
                <w:color w:val="auto"/>
              </w:rPr>
            </w:pPr>
          </w:p>
        </w:tc>
      </w:tr>
      <w:tr>
        <w:trPr>
          <w:trHeight w:val="230"/>
        </w:trPr>
        <w:tc>
          <w:tcPr>
            <w:tcW w:w="734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859,481</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1,170,092</w:t>
            </w:r>
          </w:p>
        </w:tc>
      </w:tr>
      <w:tr>
        <w:trPr>
          <w:trHeight w:val="209"/>
        </w:trPr>
        <w:tc>
          <w:tcPr>
            <w:tcW w:w="7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863,812</w:t>
            </w: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1,178,170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34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4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7340" w:type="dxa"/>
            <w:vAlign w:val="bottom"/>
          </w:tcPr>
          <w:p>
            <w:pPr>
              <w:spacing w:after="0"/>
              <w:rPr>
                <w:sz w:val="20"/>
                <w:szCs w:val="20"/>
                <w:color w:val="auto"/>
              </w:rPr>
            </w:pPr>
            <w:r>
              <w:rPr>
                <w:rFonts w:ascii="Arial" w:cs="Arial" w:eastAsia="Arial" w:hAnsi="Arial"/>
                <w:sz w:val="18"/>
                <w:szCs w:val="18"/>
                <w:color w:val="auto"/>
              </w:rPr>
              <w:t>Pledged deposits</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17,804</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18,452</w:t>
            </w:r>
          </w:p>
        </w:tc>
      </w:tr>
      <w:tr>
        <w:trPr>
          <w:trHeight w:val="223"/>
        </w:trPr>
        <w:tc>
          <w:tcPr>
            <w:tcW w:w="7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1,159,718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3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54" w:lineRule="exact"/>
        <w:rPr>
          <w:sz w:val="20"/>
          <w:szCs w:val="20"/>
          <w:color w:val="auto"/>
        </w:rPr>
      </w:pPr>
    </w:p>
    <w:tbl>
      <w:tblPr>
        <w:tblLayout w:type="fixed"/>
        <w:tblInd w:w="380" w:type="dxa"/>
        <w:tblCellMar>
          <w:top w:w="0" w:type="dxa"/>
          <w:left w:w="0" w:type="dxa"/>
          <w:bottom w:w="0" w:type="dxa"/>
          <w:right w:w="0" w:type="dxa"/>
        </w:tblCellMar>
      </w:tblPr>
      <w:tr>
        <w:trPr>
          <w:trHeight w:val="234"/>
        </w:trPr>
        <w:tc>
          <w:tcPr>
            <w:tcW w:w="3920" w:type="dxa"/>
            <w:vAlign w:val="bottom"/>
          </w:tcPr>
          <w:p>
            <w:pPr>
              <w:spacing w:after="0"/>
              <w:rPr>
                <w:sz w:val="20"/>
                <w:szCs w:val="20"/>
                <w:color w:val="auto"/>
              </w:rPr>
            </w:pPr>
          </w:p>
        </w:tc>
        <w:tc>
          <w:tcPr>
            <w:tcW w:w="3320" w:type="dxa"/>
            <w:vAlign w:val="bottom"/>
            <w:gridSpan w:val="4"/>
          </w:tcPr>
          <w:p>
            <w:pPr>
              <w:jc w:val="right"/>
              <w:ind w:right="1060"/>
              <w:spacing w:after="0"/>
              <w:rPr>
                <w:sz w:val="20"/>
                <w:szCs w:val="20"/>
                <w:color w:val="auto"/>
              </w:rPr>
            </w:pPr>
            <w:r>
              <w:rPr>
                <w:rFonts w:ascii="Arial" w:cs="Arial" w:eastAsia="Arial" w:hAnsi="Arial"/>
                <w:sz w:val="18"/>
                <w:szCs w:val="18"/>
                <w:b w:val="1"/>
                <w:bCs w:val="1"/>
                <w:color w:val="auto"/>
              </w:rPr>
              <w:t>December 31, 2020</w:t>
            </w:r>
          </w:p>
        </w:tc>
        <w:tc>
          <w:tcPr>
            <w:tcW w:w="3320" w:type="dxa"/>
            <w:vAlign w:val="bottom"/>
            <w:gridSpan w:val="5"/>
          </w:tcPr>
          <w:p>
            <w:pPr>
              <w:jc w:val="right"/>
              <w:ind w:right="1020"/>
              <w:spacing w:after="0"/>
              <w:rPr>
                <w:sz w:val="20"/>
                <w:szCs w:val="20"/>
                <w:color w:val="auto"/>
              </w:rPr>
            </w:pPr>
            <w:r>
              <w:rPr>
                <w:rFonts w:ascii="Arial" w:cs="Arial" w:eastAsia="Arial" w:hAnsi="Arial"/>
                <w:sz w:val="18"/>
                <w:szCs w:val="18"/>
                <w:b w:val="1"/>
                <w:bCs w:val="1"/>
                <w:color w:val="auto"/>
              </w:rPr>
              <w:t>December 31, 2019</w:t>
            </w:r>
          </w:p>
        </w:tc>
      </w:tr>
      <w:tr>
        <w:trPr>
          <w:trHeight w:val="205"/>
        </w:trPr>
        <w:tc>
          <w:tcPr>
            <w:tcW w:w="3920" w:type="dxa"/>
            <w:vAlign w:val="bottom"/>
          </w:tcPr>
          <w:p>
            <w:pPr>
              <w:spacing w:after="0"/>
              <w:rPr>
                <w:sz w:val="17"/>
                <w:szCs w:val="17"/>
                <w:color w:val="auto"/>
              </w:rPr>
            </w:pPr>
          </w:p>
        </w:tc>
        <w:tc>
          <w:tcPr>
            <w:tcW w:w="144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440" w:type="dxa"/>
            <w:vAlign w:val="bottom"/>
            <w:tcBorders>
              <w:top w:val="single" w:sz="8" w:color="auto"/>
            </w:tcBorders>
          </w:tcPr>
          <w:p>
            <w:pPr>
              <w:jc w:val="right"/>
              <w:ind w:right="110"/>
              <w:spacing w:after="0" w:line="205" w:lineRule="exact"/>
              <w:rPr>
                <w:sz w:val="20"/>
                <w:szCs w:val="20"/>
                <w:color w:val="auto"/>
              </w:rPr>
            </w:pPr>
            <w:r>
              <w:rPr>
                <w:rFonts w:ascii="Arial" w:cs="Arial" w:eastAsia="Arial" w:hAnsi="Arial"/>
                <w:sz w:val="18"/>
                <w:szCs w:val="18"/>
                <w:b w:val="1"/>
                <w:bCs w:val="1"/>
                <w:color w:val="auto"/>
              </w:rPr>
              <w:t>Interest rate</w:t>
            </w:r>
          </w:p>
        </w:tc>
        <w:tc>
          <w:tcPr>
            <w:tcW w:w="260" w:type="dxa"/>
            <w:vAlign w:val="bottom"/>
          </w:tcPr>
          <w:p>
            <w:pPr>
              <w:spacing w:after="0"/>
              <w:rPr>
                <w:sz w:val="17"/>
                <w:szCs w:val="17"/>
                <w:color w:val="auto"/>
              </w:rPr>
            </w:pPr>
          </w:p>
        </w:tc>
        <w:tc>
          <w:tcPr>
            <w:tcW w:w="146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60" w:type="dxa"/>
            <w:vAlign w:val="bottom"/>
            <w:tcBorders>
              <w:top w:val="single" w:sz="8" w:color="auto"/>
            </w:tcBorders>
          </w:tcPr>
          <w:p>
            <w:pPr>
              <w:spacing w:after="0"/>
              <w:rPr>
                <w:sz w:val="17"/>
                <w:szCs w:val="17"/>
                <w:color w:val="auto"/>
              </w:rPr>
            </w:pPr>
          </w:p>
        </w:tc>
        <w:tc>
          <w:tcPr>
            <w:tcW w:w="1500" w:type="dxa"/>
            <w:vAlign w:val="bottom"/>
            <w:tcBorders>
              <w:top w:val="single" w:sz="8" w:color="auto"/>
            </w:tcBorders>
          </w:tcPr>
          <w:p>
            <w:pPr>
              <w:jc w:val="right"/>
              <w:ind w:right="130"/>
              <w:spacing w:after="0" w:line="205" w:lineRule="exact"/>
              <w:rPr>
                <w:sz w:val="20"/>
                <w:szCs w:val="20"/>
                <w:color w:val="auto"/>
              </w:rPr>
            </w:pPr>
            <w:r>
              <w:rPr>
                <w:rFonts w:ascii="Arial" w:cs="Arial" w:eastAsia="Arial" w:hAnsi="Arial"/>
                <w:sz w:val="18"/>
                <w:szCs w:val="18"/>
                <w:b w:val="1"/>
                <w:bCs w:val="1"/>
                <w:color w:val="auto"/>
              </w:rPr>
              <w:t>Interest rate</w:t>
            </w:r>
          </w:p>
        </w:tc>
        <w:tc>
          <w:tcPr>
            <w:tcW w:w="180" w:type="dxa"/>
            <w:vAlign w:val="bottom"/>
          </w:tcPr>
          <w:p>
            <w:pPr>
              <w:spacing w:after="0"/>
              <w:rPr>
                <w:sz w:val="17"/>
                <w:szCs w:val="17"/>
                <w:color w:val="auto"/>
              </w:rPr>
            </w:pPr>
          </w:p>
        </w:tc>
      </w:tr>
      <w:tr>
        <w:trPr>
          <w:trHeight w:val="234"/>
        </w:trPr>
        <w:tc>
          <w:tcPr>
            <w:tcW w:w="3920" w:type="dxa"/>
            <w:vAlign w:val="bottom"/>
          </w:tcPr>
          <w:p>
            <w:pPr>
              <w:spacing w:after="0"/>
              <w:rPr>
                <w:sz w:val="20"/>
                <w:szCs w:val="20"/>
                <w:color w:val="auto"/>
              </w:rPr>
            </w:pPr>
          </w:p>
        </w:tc>
        <w:tc>
          <w:tcPr>
            <w:tcW w:w="1620" w:type="dxa"/>
            <w:vAlign w:val="bottom"/>
            <w:gridSpan w:val="2"/>
          </w:tcPr>
          <w:p>
            <w:pPr>
              <w:ind w:left="440"/>
              <w:spacing w:after="0"/>
              <w:rPr>
                <w:sz w:val="20"/>
                <w:szCs w:val="20"/>
                <w:color w:val="auto"/>
              </w:rPr>
            </w:pPr>
            <w:r>
              <w:rPr>
                <w:rFonts w:ascii="Arial" w:cs="Arial" w:eastAsia="Arial" w:hAnsi="Arial"/>
                <w:sz w:val="18"/>
                <w:szCs w:val="18"/>
                <w:b w:val="1"/>
                <w:bCs w:val="1"/>
                <w:color w:val="auto"/>
              </w:rPr>
              <w:t>Amount</w:t>
            </w:r>
          </w:p>
        </w:tc>
        <w:tc>
          <w:tcPr>
            <w:tcW w:w="170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Range</w:t>
            </w:r>
          </w:p>
        </w:tc>
        <w:tc>
          <w:tcPr>
            <w:tcW w:w="148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Amount</w:t>
            </w:r>
          </w:p>
        </w:tc>
        <w:tc>
          <w:tcPr>
            <w:tcW w:w="160" w:type="dxa"/>
            <w:vAlign w:val="bottom"/>
          </w:tcPr>
          <w:p>
            <w:pPr>
              <w:spacing w:after="0"/>
              <w:rPr>
                <w:sz w:val="20"/>
                <w:szCs w:val="20"/>
                <w:color w:val="auto"/>
              </w:rPr>
            </w:pPr>
          </w:p>
        </w:tc>
        <w:tc>
          <w:tcPr>
            <w:tcW w:w="168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Range</w:t>
            </w:r>
          </w:p>
        </w:tc>
      </w:tr>
      <w:tr>
        <w:trPr>
          <w:trHeight w:val="209"/>
        </w:trPr>
        <w:tc>
          <w:tcPr>
            <w:tcW w:w="3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14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r>
      <w:tr>
        <w:trPr>
          <w:trHeight w:val="257"/>
        </w:trPr>
        <w:tc>
          <w:tcPr>
            <w:tcW w:w="392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749,481</w:t>
            </w:r>
          </w:p>
        </w:tc>
        <w:tc>
          <w:tcPr>
            <w:tcW w:w="1700" w:type="dxa"/>
            <w:vAlign w:val="bottom"/>
            <w:gridSpan w:val="2"/>
          </w:tcPr>
          <w:p>
            <w:pPr>
              <w:jc w:val="right"/>
              <w:ind w:right="260"/>
              <w:spacing w:after="0"/>
              <w:rPr>
                <w:sz w:val="20"/>
                <w:szCs w:val="20"/>
                <w:color w:val="auto"/>
              </w:rPr>
            </w:pPr>
            <w:r>
              <w:rPr>
                <w:rFonts w:ascii="Arial" w:cs="Arial" w:eastAsia="Arial" w:hAnsi="Arial"/>
                <w:sz w:val="18"/>
                <w:szCs w:val="18"/>
                <w:color w:val="auto"/>
              </w:rPr>
              <w:t>0.03% to 3.08%</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1,150,092</w:t>
            </w:r>
          </w:p>
        </w:tc>
        <w:tc>
          <w:tcPr>
            <w:tcW w:w="160" w:type="dxa"/>
            <w:vAlign w:val="bottom"/>
          </w:tcPr>
          <w:p>
            <w:pPr>
              <w:spacing w:after="0"/>
              <w:rPr>
                <w:sz w:val="22"/>
                <w:szCs w:val="22"/>
                <w:color w:val="auto"/>
              </w:rPr>
            </w:pPr>
          </w:p>
        </w:tc>
        <w:tc>
          <w:tcPr>
            <w:tcW w:w="1680" w:type="dxa"/>
            <w:vAlign w:val="bottom"/>
            <w:gridSpan w:val="2"/>
          </w:tcPr>
          <w:p>
            <w:pPr>
              <w:jc w:val="right"/>
              <w:ind w:right="180"/>
              <w:spacing w:after="0"/>
              <w:rPr>
                <w:sz w:val="20"/>
                <w:szCs w:val="20"/>
                <w:color w:val="auto"/>
              </w:rPr>
            </w:pPr>
            <w:r>
              <w:rPr>
                <w:rFonts w:ascii="Arial" w:cs="Arial" w:eastAsia="Arial" w:hAnsi="Arial"/>
                <w:sz w:val="18"/>
                <w:szCs w:val="18"/>
                <w:color w:val="auto"/>
              </w:rPr>
              <w:t>1.55% to 5.10%</w:t>
            </w:r>
          </w:p>
        </w:tc>
      </w:tr>
      <w:tr>
        <w:trPr>
          <w:trHeight w:val="229"/>
        </w:trPr>
        <w:tc>
          <w:tcPr>
            <w:tcW w:w="3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Time deposits</w:t>
            </w:r>
          </w:p>
        </w:tc>
        <w:tc>
          <w:tcPr>
            <w:tcW w:w="16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110,000</w:t>
            </w:r>
          </w:p>
        </w:tc>
        <w:tc>
          <w:tcPr>
            <w:tcW w:w="17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20,000</w:t>
            </w:r>
          </w:p>
        </w:tc>
        <w:tc>
          <w:tcPr>
            <w:tcW w:w="18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r>
      <w:tr>
        <w:trPr>
          <w:trHeight w:val="263"/>
        </w:trPr>
        <w:tc>
          <w:tcPr>
            <w:tcW w:w="39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859,481</w:t>
            </w:r>
          </w:p>
        </w:tc>
        <w:tc>
          <w:tcPr>
            <w:tcW w:w="180" w:type="dxa"/>
            <w:vAlign w:val="bottom"/>
            <w:tcBorders>
              <w:bottom w:val="single" w:sz="8" w:color="CCEEFF"/>
            </w:tcBorders>
          </w:tcPr>
          <w:p>
            <w:pPr>
              <w:spacing w:after="0"/>
              <w:rPr>
                <w:sz w:val="22"/>
                <w:szCs w:val="22"/>
                <w:color w:val="auto"/>
              </w:rPr>
            </w:pPr>
          </w:p>
        </w:tc>
        <w:tc>
          <w:tcPr>
            <w:tcW w:w="1440" w:type="dxa"/>
            <w:vAlign w:val="bottom"/>
            <w:tcBorders>
              <w:bottom w:val="single" w:sz="8" w:color="CCEEFF"/>
            </w:tcBorders>
          </w:tcPr>
          <w:p>
            <w:pPr>
              <w:spacing w:after="0"/>
              <w:rPr>
                <w:sz w:val="22"/>
                <w:szCs w:val="22"/>
                <w:color w:val="auto"/>
              </w:rPr>
            </w:pPr>
          </w:p>
        </w:tc>
        <w:tc>
          <w:tcPr>
            <w:tcW w:w="260" w:type="dxa"/>
            <w:vAlign w:val="bottom"/>
            <w:tcBorders>
              <w:bottom w:val="single" w:sz="8" w:color="CCEEFF"/>
            </w:tcBorders>
          </w:tcPr>
          <w:p>
            <w:pPr>
              <w:spacing w:after="0"/>
              <w:rPr>
                <w:sz w:val="22"/>
                <w:szCs w:val="22"/>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1,170,092</w:t>
            </w:r>
          </w:p>
        </w:tc>
        <w:tc>
          <w:tcPr>
            <w:tcW w:w="20" w:type="dxa"/>
            <w:vAlign w:val="bottom"/>
            <w:tcBorders>
              <w:bottom w:val="single" w:sz="8" w:color="CCEEFF"/>
            </w:tcBorders>
          </w:tcPr>
          <w:p>
            <w:pPr>
              <w:spacing w:after="0"/>
              <w:rPr>
                <w:sz w:val="22"/>
                <w:szCs w:val="22"/>
                <w:color w:val="auto"/>
              </w:rPr>
            </w:pPr>
          </w:p>
        </w:tc>
        <w:tc>
          <w:tcPr>
            <w:tcW w:w="160" w:type="dxa"/>
            <w:vAlign w:val="bottom"/>
            <w:tcBorders>
              <w:bottom w:val="single" w:sz="8" w:color="CCEEFF"/>
            </w:tcBorders>
          </w:tcPr>
          <w:p>
            <w:pPr>
              <w:spacing w:after="0"/>
              <w:rPr>
                <w:sz w:val="22"/>
                <w:szCs w:val="22"/>
                <w:color w:val="auto"/>
              </w:rPr>
            </w:pPr>
          </w:p>
        </w:tc>
        <w:tc>
          <w:tcPr>
            <w:tcW w:w="1500" w:type="dxa"/>
            <w:vAlign w:val="bottom"/>
            <w:tcBorders>
              <w:bottom w:val="single" w:sz="8" w:color="CCEEFF"/>
            </w:tcBorders>
          </w:tcPr>
          <w:p>
            <w:pPr>
              <w:spacing w:after="0"/>
              <w:rPr>
                <w:sz w:val="22"/>
                <w:szCs w:val="22"/>
                <w:color w:val="auto"/>
              </w:rPr>
            </w:pPr>
          </w:p>
        </w:tc>
        <w:tc>
          <w:tcPr>
            <w:tcW w:w="180" w:type="dxa"/>
            <w:vAlign w:val="bottom"/>
            <w:tcBorders>
              <w:bottom w:val="single" w:sz="8" w:color="CCEEFF"/>
            </w:tcBorders>
          </w:tcPr>
          <w:p>
            <w:pPr>
              <w:spacing w:after="0"/>
              <w:rPr>
                <w:sz w:val="22"/>
                <w:szCs w:val="22"/>
                <w:color w:val="auto"/>
              </w:rPr>
            </w:pPr>
          </w:p>
        </w:tc>
      </w:tr>
      <w:tr>
        <w:trPr>
          <w:trHeight w:val="196"/>
        </w:trPr>
        <w:tc>
          <w:tcPr>
            <w:tcW w:w="39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r>
      <w:tr>
        <w:trPr>
          <w:trHeight w:val="243"/>
        </w:trPr>
        <w:tc>
          <w:tcPr>
            <w:tcW w:w="3920" w:type="dxa"/>
            <w:vAlign w:val="bottom"/>
          </w:tcPr>
          <w:p>
            <w:pPr>
              <w:spacing w:after="0"/>
              <w:rPr>
                <w:sz w:val="20"/>
                <w:szCs w:val="20"/>
                <w:color w:val="auto"/>
              </w:rPr>
            </w:pPr>
            <w:r>
              <w:rPr>
                <w:rFonts w:ascii="Arial" w:cs="Arial" w:eastAsia="Arial" w:hAnsi="Arial"/>
                <w:sz w:val="18"/>
                <w:szCs w:val="18"/>
                <w:color w:val="auto"/>
              </w:rPr>
              <w:t>Pledged deposits</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17,804</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0.09%</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18,452</w:t>
            </w:r>
          </w:p>
        </w:tc>
        <w:tc>
          <w:tcPr>
            <w:tcW w:w="1840" w:type="dxa"/>
            <w:vAlign w:val="bottom"/>
            <w:gridSpan w:val="3"/>
          </w:tcPr>
          <w:p>
            <w:pPr>
              <w:jc w:val="right"/>
              <w:ind w:right="20"/>
              <w:spacing w:after="0"/>
              <w:rPr>
                <w:sz w:val="20"/>
                <w:szCs w:val="20"/>
                <w:color w:val="auto"/>
              </w:rPr>
            </w:pPr>
            <w:r>
              <w:rPr>
                <w:rFonts w:ascii="Arial" w:cs="Arial" w:eastAsia="Arial" w:hAnsi="Arial"/>
                <w:sz w:val="18"/>
                <w:szCs w:val="18"/>
                <w:color w:val="auto"/>
              </w:rPr>
              <w:t>1.55%</w:t>
            </w:r>
          </w:p>
        </w:tc>
      </w:tr>
      <w:tr>
        <w:trPr>
          <w:trHeight w:val="20"/>
        </w:trPr>
        <w:tc>
          <w:tcPr>
            <w:tcW w:w="39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bl>
    <w:p>
      <w:pPr>
        <w:spacing w:after="0" w:line="229" w:lineRule="exact"/>
        <w:rPr>
          <w:sz w:val="20"/>
          <w:szCs w:val="20"/>
          <w:color w:val="auto"/>
        </w:rPr>
      </w:pPr>
    </w:p>
    <w:p>
      <w:pPr>
        <w:ind w:left="640" w:hanging="322"/>
        <w:spacing w:after="0" w:line="194" w:lineRule="auto"/>
        <w:tabs>
          <w:tab w:leader="none" w:pos="640" w:val="left"/>
        </w:tabs>
        <w:numPr>
          <w:ilvl w:val="0"/>
          <w:numId w:val="238"/>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daily rates determined by banks. In addition, rates of 3.08% and 5.10% correspond to a deposit placed in México.</w:t>
      </w:r>
    </w:p>
    <w:p>
      <w:pPr>
        <w:spacing w:after="0" w:line="198" w:lineRule="exact"/>
        <w:rPr>
          <w:sz w:val="20"/>
          <w:szCs w:val="20"/>
          <w:color w:val="auto"/>
        </w:rPr>
      </w:pPr>
    </w:p>
    <w:tbl>
      <w:tblPr>
        <w:tblLayout w:type="fixed"/>
        <w:tblInd w:w="1300" w:type="dxa"/>
        <w:tblCellMar>
          <w:top w:w="0" w:type="dxa"/>
          <w:left w:w="0" w:type="dxa"/>
          <w:bottom w:w="0" w:type="dxa"/>
          <w:right w:w="0" w:type="dxa"/>
        </w:tblCellMar>
      </w:tblPr>
      <w:tr>
        <w:trPr>
          <w:trHeight w:val="229"/>
        </w:trPr>
        <w:tc>
          <w:tcPr>
            <w:tcW w:w="5740" w:type="dxa"/>
            <w:vAlign w:val="bottom"/>
          </w:tcPr>
          <w:p>
            <w:pPr>
              <w:spacing w:after="0"/>
              <w:rPr>
                <w:sz w:val="19"/>
                <w:szCs w:val="19"/>
                <w:color w:val="auto"/>
              </w:rPr>
            </w:pPr>
          </w:p>
        </w:tc>
        <w:tc>
          <w:tcPr>
            <w:tcW w:w="164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57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5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6"/>
        </w:trPr>
        <w:tc>
          <w:tcPr>
            <w:tcW w:w="5740" w:type="dxa"/>
            <w:vAlign w:val="bottom"/>
          </w:tcPr>
          <w:p>
            <w:pPr>
              <w:ind w:left="160"/>
              <w:spacing w:after="0" w:line="256" w:lineRule="exact"/>
              <w:rPr>
                <w:sz w:val="20"/>
                <w:szCs w:val="20"/>
                <w:color w:val="auto"/>
              </w:rPr>
            </w:pPr>
            <w:r>
              <w:rPr>
                <w:rFonts w:ascii="Arial" w:cs="Arial" w:eastAsia="Arial" w:hAnsi="Arial"/>
                <w:sz w:val="18"/>
                <w:szCs w:val="18"/>
                <w:color w:val="auto"/>
              </w:rPr>
              <w:t>United States of America</w:t>
            </w:r>
            <w:r>
              <w:rPr>
                <w:rFonts w:ascii="Arial" w:cs="Arial" w:eastAsia="Arial" w:hAnsi="Arial"/>
                <w:sz w:val="29"/>
                <w:szCs w:val="29"/>
                <w:color w:val="auto"/>
                <w:vertAlign w:val="superscript"/>
              </w:rPr>
              <w:t>(1)</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11,515</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5,645</w:t>
            </w: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3,027</w:t>
            </w:r>
          </w:p>
        </w:tc>
        <w:tc>
          <w:tcPr>
            <w:tcW w:w="1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9,567</w:t>
            </w: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Japan</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1,330</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1,470</w:t>
            </w: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790</w:t>
            </w:r>
          </w:p>
        </w:tc>
        <w:tc>
          <w:tcPr>
            <w:tcW w:w="1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Canada</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610</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334</w:t>
            </w:r>
          </w:p>
        </w:tc>
        <w:tc>
          <w:tcPr>
            <w:tcW w:w="1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United Kingdom</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130</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w:t>
            </w:r>
          </w:p>
        </w:tc>
        <w:tc>
          <w:tcPr>
            <w:tcW w:w="16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1,770</w:t>
            </w:r>
          </w:p>
        </w:tc>
      </w:tr>
      <w:tr>
        <w:trPr>
          <w:trHeight w:val="229"/>
        </w:trPr>
        <w:tc>
          <w:tcPr>
            <w:tcW w:w="5740" w:type="dxa"/>
            <w:vAlign w:val="bottom"/>
          </w:tcPr>
          <w:p>
            <w:pPr>
              <w:ind w:left="160"/>
              <w:spacing w:after="0"/>
              <w:rPr>
                <w:sz w:val="20"/>
                <w:szCs w:val="20"/>
                <w:color w:val="auto"/>
              </w:rPr>
            </w:pPr>
            <w:r>
              <w:rPr>
                <w:rFonts w:ascii="Arial" w:cs="Arial" w:eastAsia="Arial" w:hAnsi="Arial"/>
                <w:sz w:val="18"/>
                <w:szCs w:val="18"/>
                <w:color w:val="auto"/>
              </w:rPr>
              <w:t>Spain</w:t>
            </w:r>
          </w:p>
        </w:tc>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5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17,804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18,452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7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ind w:left="580" w:hanging="329"/>
        <w:spacing w:after="0" w:line="194" w:lineRule="auto"/>
        <w:tabs>
          <w:tab w:leader="none" w:pos="580" w:val="left"/>
        </w:tabs>
        <w:numPr>
          <w:ilvl w:val="0"/>
          <w:numId w:val="239"/>
        </w:numPr>
        <w:rPr>
          <w:rFonts w:ascii="Arial" w:cs="Arial" w:eastAsia="Arial" w:hAnsi="Arial"/>
          <w:sz w:val="30"/>
          <w:szCs w:val="30"/>
          <w:color w:val="auto"/>
          <w:vertAlign w:val="superscript"/>
        </w:rPr>
      </w:pPr>
      <w:r>
        <w:rPr>
          <w:rFonts w:ascii="Arial" w:cs="Arial" w:eastAsia="Arial" w:hAnsi="Arial"/>
          <w:sz w:val="18"/>
          <w:szCs w:val="18"/>
          <w:color w:val="auto"/>
        </w:rPr>
        <w:t>Includes pledged deposits of $10.0 million at December 31, 2020 and $3.5 million at December 31, 2019, with the New York State Banking Department under March 1994 legislation and deposits pledged to guarantee derivative financial instrument transactions.</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14" w:name="page215"/>
    <w:bookmarkEnd w:id="2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40"/>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are presented as follows:</w:t>
      </w:r>
    </w:p>
    <w:p>
      <w:pPr>
        <w:spacing w:after="0" w:line="235" w:lineRule="exact"/>
        <w:rPr>
          <w:sz w:val="20"/>
          <w:szCs w:val="20"/>
          <w:color w:val="auto"/>
        </w:rPr>
      </w:pPr>
    </w:p>
    <w:tbl>
      <w:tblPr>
        <w:tblLayout w:type="fixed"/>
        <w:tblInd w:w="380" w:type="dxa"/>
        <w:tblCellMar>
          <w:top w:w="0" w:type="dxa"/>
          <w:left w:w="0" w:type="dxa"/>
          <w:bottom w:w="0" w:type="dxa"/>
          <w:right w:w="0" w:type="dxa"/>
        </w:tblCellMar>
      </w:tblPr>
      <w:tr>
        <w:trPr>
          <w:trHeight w:val="234"/>
        </w:trPr>
        <w:tc>
          <w:tcPr>
            <w:tcW w:w="1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2"/>
          </w:tcPr>
          <w:p>
            <w:pPr>
              <w:ind w:left="180"/>
              <w:spacing w:after="0"/>
              <w:rPr>
                <w:sz w:val="20"/>
                <w:szCs w:val="20"/>
                <w:color w:val="auto"/>
              </w:rPr>
            </w:pPr>
            <w:r>
              <w:rPr>
                <w:rFonts w:ascii="Arial" w:cs="Arial" w:eastAsia="Arial" w:hAnsi="Arial"/>
                <w:sz w:val="18"/>
                <w:szCs w:val="18"/>
                <w:b w:val="1"/>
                <w:bCs w:val="1"/>
                <w:color w:val="auto"/>
              </w:rPr>
              <w:t>At fair value</w:t>
            </w:r>
          </w:p>
        </w:tc>
        <w:tc>
          <w:tcPr>
            <w:tcW w:w="10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180" w:type="dxa"/>
            <w:vAlign w:val="bottom"/>
            <w:gridSpan w:val="5"/>
          </w:tcPr>
          <w:p>
            <w:pPr>
              <w:jc w:val="center"/>
              <w:ind w:right="300"/>
              <w:spacing w:after="0" w:line="205" w:lineRule="exact"/>
              <w:rPr>
                <w:sz w:val="20"/>
                <w:szCs w:val="20"/>
                <w:color w:val="auto"/>
              </w:rPr>
            </w:pPr>
            <w:r>
              <w:rPr>
                <w:rFonts w:ascii="Arial" w:cs="Arial" w:eastAsia="Arial" w:hAnsi="Arial"/>
                <w:sz w:val="18"/>
                <w:szCs w:val="18"/>
                <w:b w:val="1"/>
                <w:bCs w:val="1"/>
                <w:color w:val="auto"/>
                <w:w w:val="88"/>
              </w:rPr>
              <w:t>With changes in other comprehensive</w:t>
            </w: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920" w:type="dxa"/>
            <w:vAlign w:val="bottom"/>
            <w:gridSpan w:val="2"/>
          </w:tcPr>
          <w:p>
            <w:pPr>
              <w:spacing w:after="0"/>
              <w:rPr>
                <w:sz w:val="20"/>
                <w:szCs w:val="20"/>
                <w:color w:val="auto"/>
              </w:rPr>
            </w:pPr>
            <w:r>
              <w:rPr>
                <w:rFonts w:ascii="Arial" w:cs="Arial" w:eastAsia="Arial" w:hAnsi="Arial"/>
                <w:sz w:val="18"/>
                <w:szCs w:val="18"/>
                <w:b w:val="1"/>
                <w:bCs w:val="1"/>
                <w:color w:val="auto"/>
              </w:rPr>
              <w:t>At December 31, 2020</w:t>
            </w:r>
          </w:p>
        </w:tc>
        <w:tc>
          <w:tcPr>
            <w:tcW w:w="1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180" w:type="dxa"/>
            <w:vAlign w:val="bottom"/>
            <w:gridSpan w:val="5"/>
          </w:tcPr>
          <w:p>
            <w:pPr>
              <w:jc w:val="center"/>
              <w:ind w:right="280"/>
              <w:spacing w:after="0"/>
              <w:rPr>
                <w:sz w:val="20"/>
                <w:szCs w:val="20"/>
                <w:color w:val="auto"/>
              </w:rPr>
            </w:pPr>
            <w:r>
              <w:rPr>
                <w:rFonts w:ascii="Arial" w:cs="Arial" w:eastAsia="Arial" w:hAnsi="Arial"/>
                <w:sz w:val="18"/>
                <w:szCs w:val="18"/>
                <w:b w:val="1"/>
                <w:bCs w:val="1"/>
                <w:color w:val="auto"/>
                <w:w w:val="84"/>
              </w:rPr>
              <w:t>income (loss)</w:t>
            </w:r>
          </w:p>
        </w:tc>
        <w:tc>
          <w:tcPr>
            <w:tcW w:w="100" w:type="dxa"/>
            <w:vAlign w:val="bottom"/>
          </w:tcPr>
          <w:p>
            <w:pPr>
              <w:spacing w:after="0"/>
              <w:rPr>
                <w:sz w:val="20"/>
                <w:szCs w:val="20"/>
                <w:color w:val="auto"/>
              </w:rPr>
            </w:pPr>
          </w:p>
        </w:tc>
        <w:tc>
          <w:tcPr>
            <w:tcW w:w="148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89"/>
              </w:rPr>
              <w:t>With changes in</w:t>
            </w:r>
          </w:p>
        </w:tc>
        <w:tc>
          <w:tcPr>
            <w:tcW w:w="80" w:type="dxa"/>
            <w:vAlign w:val="bottom"/>
          </w:tcPr>
          <w:p>
            <w:pPr>
              <w:spacing w:after="0"/>
              <w:rPr>
                <w:sz w:val="20"/>
                <w:szCs w:val="20"/>
                <w:color w:val="auto"/>
              </w:rPr>
            </w:pPr>
          </w:p>
        </w:tc>
        <w:tc>
          <w:tcPr>
            <w:tcW w:w="2140" w:type="dxa"/>
            <w:vAlign w:val="bottom"/>
            <w:gridSpan w:val="3"/>
            <w:vMerge w:val="restart"/>
          </w:tcPr>
          <w:p>
            <w:pPr>
              <w:jc w:val="center"/>
              <w:ind w:right="100"/>
              <w:spacing w:after="0"/>
              <w:rPr>
                <w:sz w:val="20"/>
                <w:szCs w:val="20"/>
                <w:color w:val="auto"/>
              </w:rPr>
            </w:pPr>
            <w:r>
              <w:rPr>
                <w:rFonts w:ascii="Arial" w:cs="Arial" w:eastAsia="Arial" w:hAnsi="Arial"/>
                <w:sz w:val="18"/>
                <w:szCs w:val="18"/>
                <w:b w:val="1"/>
                <w:bCs w:val="1"/>
                <w:color w:val="auto"/>
                <w:w w:val="89"/>
              </w:rPr>
              <w:t>Total securities and other</w:t>
            </w:r>
          </w:p>
        </w:tc>
        <w:tc>
          <w:tcPr>
            <w:tcW w:w="0" w:type="dxa"/>
            <w:vAlign w:val="bottom"/>
          </w:tcPr>
          <w:p>
            <w:pPr>
              <w:spacing w:after="0"/>
              <w:rPr>
                <w:sz w:val="1"/>
                <w:szCs w:val="1"/>
                <w:color w:val="auto"/>
              </w:rPr>
            </w:pPr>
          </w:p>
        </w:tc>
      </w:tr>
      <w:tr>
        <w:trPr>
          <w:trHeight w:val="205"/>
        </w:trPr>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480" w:type="dxa"/>
            <w:vAlign w:val="bottom"/>
            <w:tcBorders>
              <w:top w:val="single" w:sz="8" w:color="auto"/>
            </w:tcBorders>
            <w:gridSpan w:val="2"/>
          </w:tcPr>
          <w:p>
            <w:pPr>
              <w:jc w:val="center"/>
              <w:ind w:right="180"/>
              <w:spacing w:after="0" w:line="205" w:lineRule="exact"/>
              <w:rPr>
                <w:sz w:val="20"/>
                <w:szCs w:val="20"/>
                <w:color w:val="auto"/>
              </w:rPr>
            </w:pPr>
            <w:r>
              <w:rPr>
                <w:rFonts w:ascii="Arial" w:cs="Arial" w:eastAsia="Arial" w:hAnsi="Arial"/>
                <w:sz w:val="18"/>
                <w:szCs w:val="18"/>
                <w:b w:val="1"/>
                <w:bCs w:val="1"/>
                <w:color w:val="auto"/>
                <w:w w:val="87"/>
              </w:rPr>
              <w:t>Recyclable to</w:t>
            </w:r>
          </w:p>
        </w:tc>
        <w:tc>
          <w:tcPr>
            <w:tcW w:w="100" w:type="dxa"/>
            <w:vAlign w:val="bottom"/>
            <w:tcBorders>
              <w:top w:val="single" w:sz="8" w:color="auto"/>
            </w:tcBorders>
          </w:tcPr>
          <w:p>
            <w:pPr>
              <w:spacing w:after="0"/>
              <w:rPr>
                <w:sz w:val="17"/>
                <w:szCs w:val="17"/>
                <w:color w:val="auto"/>
              </w:rPr>
            </w:pPr>
          </w:p>
        </w:tc>
        <w:tc>
          <w:tcPr>
            <w:tcW w:w="1400" w:type="dxa"/>
            <w:vAlign w:val="bottom"/>
            <w:tcBorders>
              <w:top w:val="single" w:sz="8" w:color="auto"/>
            </w:tcBorders>
          </w:tcPr>
          <w:p>
            <w:pPr>
              <w:jc w:val="center"/>
              <w:spacing w:after="0" w:line="205" w:lineRule="exact"/>
              <w:rPr>
                <w:sz w:val="20"/>
                <w:szCs w:val="20"/>
                <w:color w:val="auto"/>
              </w:rPr>
            </w:pPr>
            <w:r>
              <w:rPr>
                <w:rFonts w:ascii="Arial" w:cs="Arial" w:eastAsia="Arial" w:hAnsi="Arial"/>
                <w:sz w:val="18"/>
                <w:szCs w:val="18"/>
                <w:b w:val="1"/>
                <w:bCs w:val="1"/>
                <w:color w:val="auto"/>
                <w:w w:val="90"/>
              </w:rPr>
              <w:t>Non-recyclable to</w:t>
            </w: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gridSpan w:val="2"/>
            <w:vMerge w:val="continue"/>
          </w:tcPr>
          <w:p>
            <w:pPr>
              <w:spacing w:after="0"/>
              <w:rPr>
                <w:sz w:val="17"/>
                <w:szCs w:val="17"/>
                <w:color w:val="auto"/>
              </w:rPr>
            </w:pPr>
          </w:p>
        </w:tc>
        <w:tc>
          <w:tcPr>
            <w:tcW w:w="80" w:type="dxa"/>
            <w:vAlign w:val="bottom"/>
          </w:tcPr>
          <w:p>
            <w:pPr>
              <w:spacing w:after="0"/>
              <w:rPr>
                <w:sz w:val="17"/>
                <w:szCs w:val="17"/>
                <w:color w:val="auto"/>
              </w:rPr>
            </w:pPr>
          </w:p>
        </w:tc>
        <w:tc>
          <w:tcPr>
            <w:tcW w:w="2140" w:type="dxa"/>
            <w:vAlign w:val="bottom"/>
            <w:gridSpan w:val="3"/>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920" w:type="dxa"/>
            <w:vAlign w:val="bottom"/>
            <w:gridSpan w:val="2"/>
          </w:tcPr>
          <w:p>
            <w:pPr>
              <w:spacing w:after="0"/>
              <w:rPr>
                <w:sz w:val="20"/>
                <w:szCs w:val="20"/>
                <w:color w:val="auto"/>
              </w:rPr>
            </w:pPr>
            <w:r>
              <w:rPr>
                <w:rFonts w:ascii="Arial" w:cs="Arial" w:eastAsia="Arial" w:hAnsi="Arial"/>
                <w:sz w:val="18"/>
                <w:szCs w:val="18"/>
                <w:b w:val="1"/>
                <w:bCs w:val="1"/>
                <w:color w:val="auto"/>
              </w:rPr>
              <w:t>Carrying amount</w:t>
            </w:r>
          </w:p>
        </w:tc>
        <w:tc>
          <w:tcPr>
            <w:tcW w:w="100" w:type="dxa"/>
            <w:vAlign w:val="bottom"/>
          </w:tcPr>
          <w:p>
            <w:pPr>
              <w:spacing w:after="0"/>
              <w:rPr>
                <w:sz w:val="20"/>
                <w:szCs w:val="20"/>
                <w:color w:val="auto"/>
              </w:rPr>
            </w:pPr>
          </w:p>
        </w:tc>
        <w:tc>
          <w:tcPr>
            <w:tcW w:w="14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Amortized cost</w:t>
            </w:r>
          </w:p>
        </w:tc>
        <w:tc>
          <w:tcPr>
            <w:tcW w:w="10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profit and loss</w:t>
            </w:r>
          </w:p>
        </w:tc>
        <w:tc>
          <w:tcPr>
            <w:tcW w:w="100" w:type="dxa"/>
            <w:vAlign w:val="bottom"/>
          </w:tcPr>
          <w:p>
            <w:pPr>
              <w:spacing w:after="0"/>
              <w:rPr>
                <w:sz w:val="20"/>
                <w:szCs w:val="20"/>
                <w:color w:val="auto"/>
              </w:rPr>
            </w:pPr>
          </w:p>
        </w:tc>
        <w:tc>
          <w:tcPr>
            <w:tcW w:w="16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profit and loss</w:t>
            </w:r>
          </w:p>
        </w:tc>
        <w:tc>
          <w:tcPr>
            <w:tcW w:w="10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profit or loss</w:t>
            </w:r>
          </w:p>
        </w:tc>
        <w:tc>
          <w:tcPr>
            <w:tcW w:w="80" w:type="dxa"/>
            <w:vAlign w:val="bottom"/>
          </w:tcPr>
          <w:p>
            <w:pPr>
              <w:spacing w:after="0"/>
              <w:rPr>
                <w:sz w:val="20"/>
                <w:szCs w:val="20"/>
                <w:color w:val="auto"/>
              </w:rPr>
            </w:pPr>
          </w:p>
        </w:tc>
        <w:tc>
          <w:tcPr>
            <w:tcW w:w="21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09"/>
        </w:trPr>
        <w:tc>
          <w:tcPr>
            <w:tcW w:w="1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ind w:left="1340"/>
              <w:spacing w:after="0"/>
              <w:rPr>
                <w:sz w:val="20"/>
                <w:szCs w:val="20"/>
                <w:color w:val="auto"/>
              </w:rPr>
            </w:pPr>
            <w:r>
              <w:rPr>
                <w:rFonts w:ascii="Arial" w:cs="Arial" w:eastAsia="Arial" w:hAnsi="Arial"/>
                <w:sz w:val="16"/>
                <w:szCs w:val="16"/>
                <w:color w:val="auto"/>
                <w:w w:val="74"/>
              </w:rPr>
              <w:t>-</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395,422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1,985</w:t>
            </w:r>
          </w:p>
        </w:tc>
        <w:tc>
          <w:tcPr>
            <w:tcW w:w="1580" w:type="dxa"/>
            <w:vAlign w:val="bottom"/>
            <w:gridSpan w:val="3"/>
          </w:tcPr>
          <w:p>
            <w:pPr>
              <w:jc w:val="right"/>
              <w:ind w:right="180"/>
              <w:spacing w:after="0"/>
              <w:rPr>
                <w:sz w:val="20"/>
                <w:szCs w:val="20"/>
                <w:color w:val="auto"/>
              </w:rPr>
            </w:pPr>
            <w:r>
              <w:rPr>
                <w:rFonts w:ascii="Arial" w:cs="Arial" w:eastAsia="Arial" w:hAnsi="Arial"/>
                <w:sz w:val="18"/>
                <w:szCs w:val="18"/>
                <w:color w:val="auto"/>
              </w:rPr>
              <w:t>1,156</w:t>
            </w:r>
          </w:p>
        </w:tc>
        <w:tc>
          <w:tcPr>
            <w:tcW w:w="1700" w:type="dxa"/>
            <w:vAlign w:val="bottom"/>
            <w:gridSpan w:val="3"/>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2140" w:type="dxa"/>
            <w:vAlign w:val="bottom"/>
            <w:gridSpan w:val="3"/>
          </w:tcPr>
          <w:p>
            <w:pPr>
              <w:jc w:val="right"/>
              <w:ind w:right="20"/>
              <w:spacing w:after="0"/>
              <w:rPr>
                <w:sz w:val="20"/>
                <w:szCs w:val="20"/>
                <w:color w:val="auto"/>
              </w:rPr>
            </w:pPr>
            <w:r>
              <w:rPr>
                <w:rFonts w:ascii="Arial" w:cs="Arial" w:eastAsia="Arial" w:hAnsi="Arial"/>
                <w:sz w:val="18"/>
                <w:szCs w:val="18"/>
                <w:color w:val="auto"/>
              </w:rPr>
              <w:t>3,141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1920" w:type="dxa"/>
            <w:vAlign w:val="bottom"/>
            <w:gridSpan w:val="2"/>
            <w:shd w:val="clear" w:color="auto" w:fill="CCEEFF"/>
          </w:tcPr>
          <w:p>
            <w:pPr>
              <w:spacing w:after="0" w:line="270" w:lineRule="exact"/>
              <w:rPr>
                <w:sz w:val="20"/>
                <w:szCs w:val="20"/>
                <w:color w:val="auto"/>
              </w:rPr>
            </w:pPr>
            <w:r>
              <w:rPr>
                <w:rFonts w:ascii="Arial" w:cs="Arial" w:eastAsia="Arial" w:hAnsi="Arial"/>
                <w:sz w:val="18"/>
                <w:szCs w:val="18"/>
                <w:color w:val="auto"/>
              </w:rPr>
              <w:t xml:space="preserve">Reserves </w:t>
            </w:r>
            <w:r>
              <w:rPr>
                <w:rFonts w:ascii="Arial" w:cs="Arial" w:eastAsia="Arial" w:hAnsi="Arial"/>
                <w:sz w:val="29"/>
                <w:szCs w:val="29"/>
                <w:color w:val="auto"/>
                <w:vertAlign w:val="superscript"/>
              </w:rPr>
              <w:t>(1)</w:t>
            </w:r>
          </w:p>
        </w:tc>
        <w:tc>
          <w:tcPr>
            <w:tcW w:w="15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(495)</w:t>
            </w:r>
          </w:p>
        </w:tc>
        <w:tc>
          <w:tcPr>
            <w:tcW w:w="15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(43)</w:t>
            </w:r>
          </w:p>
        </w:tc>
        <w:tc>
          <w:tcPr>
            <w:tcW w:w="1700" w:type="dxa"/>
            <w:vAlign w:val="bottom"/>
            <w:gridSpan w:val="3"/>
            <w:shd w:val="clear" w:color="auto" w:fill="CCEEFF"/>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(538)</w:t>
            </w:r>
          </w:p>
        </w:tc>
        <w:tc>
          <w:tcPr>
            <w:tcW w:w="0" w:type="dxa"/>
            <w:vAlign w:val="bottom"/>
          </w:tcPr>
          <w:p>
            <w:pPr>
              <w:spacing w:after="0"/>
              <w:rPr>
                <w:sz w:val="1"/>
                <w:szCs w:val="1"/>
                <w:color w:val="auto"/>
              </w:rPr>
            </w:pPr>
          </w:p>
        </w:tc>
      </w:tr>
      <w:tr>
        <w:trPr>
          <w:trHeight w:val="223"/>
        </w:trPr>
        <w:tc>
          <w:tcPr>
            <w:tcW w:w="1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165,564</w:t>
            </w:r>
          </w:p>
        </w:tc>
        <w:tc>
          <w:tcPr>
            <w:tcW w:w="18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232,461</w:t>
            </w:r>
          </w:p>
        </w:tc>
        <w:tc>
          <w:tcPr>
            <w:tcW w:w="180" w:type="dxa"/>
            <w:vAlign w:val="bottom"/>
          </w:tcPr>
          <w:p>
            <w:pPr>
              <w:spacing w:after="0"/>
              <w:rPr>
                <w:sz w:val="19"/>
                <w:szCs w:val="19"/>
                <w:color w:val="auto"/>
              </w:rPr>
            </w:pPr>
          </w:p>
        </w:tc>
        <w:tc>
          <w:tcPr>
            <w:tcW w:w="1500" w:type="dxa"/>
            <w:vAlign w:val="bottom"/>
            <w:tcBorders>
              <w:top w:val="single" w:sz="8" w:color="auto"/>
              <w:bottom w:val="single" w:sz="8" w:color="auto"/>
            </w:tcBorders>
            <w:gridSpan w:val="2"/>
          </w:tcPr>
          <w:p>
            <w:pPr>
              <w:ind w:left="1440"/>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1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398,025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1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180" w:type="dxa"/>
            <w:vAlign w:val="bottom"/>
            <w:gridSpan w:val="5"/>
          </w:tcPr>
          <w:p>
            <w:pPr>
              <w:jc w:val="center"/>
              <w:ind w:right="280"/>
              <w:spacing w:after="0"/>
              <w:rPr>
                <w:sz w:val="20"/>
                <w:szCs w:val="20"/>
                <w:color w:val="auto"/>
              </w:rPr>
            </w:pPr>
            <w:r>
              <w:rPr>
                <w:rFonts w:ascii="Arial" w:cs="Arial" w:eastAsia="Arial" w:hAnsi="Arial"/>
                <w:sz w:val="18"/>
                <w:szCs w:val="18"/>
                <w:b w:val="1"/>
                <w:bCs w:val="1"/>
                <w:color w:val="auto"/>
                <w:w w:val="95"/>
              </w:rPr>
              <w:t>At fair value</w:t>
            </w: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5"/>
        </w:trPr>
        <w:tc>
          <w:tcPr>
            <w:tcW w:w="1920" w:type="dxa"/>
            <w:vAlign w:val="bottom"/>
            <w:gridSpan w:val="2"/>
            <w:vMerge w:val="restart"/>
          </w:tcPr>
          <w:p>
            <w:pPr>
              <w:spacing w:after="0"/>
              <w:rPr>
                <w:sz w:val="20"/>
                <w:szCs w:val="20"/>
                <w:color w:val="auto"/>
              </w:rPr>
            </w:pPr>
            <w:r>
              <w:rPr>
                <w:rFonts w:ascii="Arial" w:cs="Arial" w:eastAsia="Arial" w:hAnsi="Arial"/>
                <w:sz w:val="18"/>
                <w:szCs w:val="18"/>
                <w:b w:val="1"/>
                <w:bCs w:val="1"/>
                <w:color w:val="auto"/>
              </w:rPr>
              <w:t>At December 31, 2019</w:t>
            </w: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2980" w:type="dxa"/>
            <w:vAlign w:val="bottom"/>
            <w:tcBorders>
              <w:top w:val="single" w:sz="8" w:color="auto"/>
            </w:tcBorders>
            <w:gridSpan w:val="4"/>
          </w:tcPr>
          <w:p>
            <w:pPr>
              <w:jc w:val="center"/>
              <w:ind w:right="12"/>
              <w:spacing w:after="0" w:line="205" w:lineRule="exact"/>
              <w:rPr>
                <w:sz w:val="20"/>
                <w:szCs w:val="20"/>
                <w:color w:val="auto"/>
              </w:rPr>
            </w:pPr>
            <w:r>
              <w:rPr>
                <w:rFonts w:ascii="Arial" w:cs="Arial" w:eastAsia="Arial" w:hAnsi="Arial"/>
                <w:sz w:val="18"/>
                <w:szCs w:val="18"/>
                <w:b w:val="1"/>
                <w:bCs w:val="1"/>
                <w:color w:val="auto"/>
                <w:w w:val="88"/>
              </w:rPr>
              <w:t>With changes in other comprehensive</w:t>
            </w: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92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180" w:type="dxa"/>
            <w:vAlign w:val="bottom"/>
            <w:gridSpan w:val="5"/>
          </w:tcPr>
          <w:p>
            <w:pPr>
              <w:jc w:val="center"/>
              <w:ind w:right="280"/>
              <w:spacing w:after="0"/>
              <w:rPr>
                <w:sz w:val="20"/>
                <w:szCs w:val="20"/>
                <w:color w:val="auto"/>
              </w:rPr>
            </w:pPr>
            <w:r>
              <w:rPr>
                <w:rFonts w:ascii="Arial" w:cs="Arial" w:eastAsia="Arial" w:hAnsi="Arial"/>
                <w:sz w:val="18"/>
                <w:szCs w:val="18"/>
                <w:b w:val="1"/>
                <w:bCs w:val="1"/>
                <w:color w:val="auto"/>
                <w:w w:val="84"/>
              </w:rPr>
              <w:t>income (loss)</w:t>
            </w:r>
          </w:p>
        </w:tc>
        <w:tc>
          <w:tcPr>
            <w:tcW w:w="100" w:type="dxa"/>
            <w:vAlign w:val="bottom"/>
          </w:tcPr>
          <w:p>
            <w:pPr>
              <w:spacing w:after="0"/>
              <w:rPr>
                <w:sz w:val="20"/>
                <w:szCs w:val="20"/>
                <w:color w:val="auto"/>
              </w:rPr>
            </w:pPr>
          </w:p>
        </w:tc>
        <w:tc>
          <w:tcPr>
            <w:tcW w:w="148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89"/>
              </w:rPr>
              <w:t>With changes in</w:t>
            </w:r>
          </w:p>
        </w:tc>
        <w:tc>
          <w:tcPr>
            <w:tcW w:w="80" w:type="dxa"/>
            <w:vAlign w:val="bottom"/>
          </w:tcPr>
          <w:p>
            <w:pPr>
              <w:spacing w:after="0"/>
              <w:rPr>
                <w:sz w:val="20"/>
                <w:szCs w:val="20"/>
                <w:color w:val="auto"/>
              </w:rPr>
            </w:pPr>
          </w:p>
        </w:tc>
        <w:tc>
          <w:tcPr>
            <w:tcW w:w="2140" w:type="dxa"/>
            <w:vAlign w:val="bottom"/>
            <w:gridSpan w:val="3"/>
            <w:vMerge w:val="restart"/>
          </w:tcPr>
          <w:p>
            <w:pPr>
              <w:jc w:val="center"/>
              <w:ind w:right="100"/>
              <w:spacing w:after="0"/>
              <w:rPr>
                <w:sz w:val="20"/>
                <w:szCs w:val="20"/>
                <w:color w:val="auto"/>
              </w:rPr>
            </w:pPr>
            <w:r>
              <w:rPr>
                <w:rFonts w:ascii="Arial" w:cs="Arial" w:eastAsia="Arial" w:hAnsi="Arial"/>
                <w:sz w:val="18"/>
                <w:szCs w:val="18"/>
                <w:b w:val="1"/>
                <w:bCs w:val="1"/>
                <w:color w:val="auto"/>
                <w:w w:val="89"/>
              </w:rPr>
              <w:t>Total securities and other</w:t>
            </w:r>
          </w:p>
        </w:tc>
        <w:tc>
          <w:tcPr>
            <w:tcW w:w="0" w:type="dxa"/>
            <w:vAlign w:val="bottom"/>
          </w:tcPr>
          <w:p>
            <w:pPr>
              <w:spacing w:after="0"/>
              <w:rPr>
                <w:sz w:val="1"/>
                <w:szCs w:val="1"/>
                <w:color w:val="auto"/>
              </w:rPr>
            </w:pPr>
          </w:p>
        </w:tc>
      </w:tr>
      <w:tr>
        <w:trPr>
          <w:trHeight w:val="205"/>
        </w:trPr>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480" w:type="dxa"/>
            <w:vAlign w:val="bottom"/>
            <w:tcBorders>
              <w:top w:val="single" w:sz="8" w:color="auto"/>
            </w:tcBorders>
            <w:gridSpan w:val="2"/>
          </w:tcPr>
          <w:p>
            <w:pPr>
              <w:jc w:val="center"/>
              <w:ind w:right="180"/>
              <w:spacing w:after="0" w:line="205" w:lineRule="exact"/>
              <w:rPr>
                <w:sz w:val="20"/>
                <w:szCs w:val="20"/>
                <w:color w:val="auto"/>
              </w:rPr>
            </w:pPr>
            <w:r>
              <w:rPr>
                <w:rFonts w:ascii="Arial" w:cs="Arial" w:eastAsia="Arial" w:hAnsi="Arial"/>
                <w:sz w:val="18"/>
                <w:szCs w:val="18"/>
                <w:b w:val="1"/>
                <w:bCs w:val="1"/>
                <w:color w:val="auto"/>
                <w:w w:val="87"/>
              </w:rPr>
              <w:t>Recyclable to</w:t>
            </w:r>
          </w:p>
        </w:tc>
        <w:tc>
          <w:tcPr>
            <w:tcW w:w="100" w:type="dxa"/>
            <w:vAlign w:val="bottom"/>
            <w:tcBorders>
              <w:top w:val="single" w:sz="8" w:color="auto"/>
            </w:tcBorders>
          </w:tcPr>
          <w:p>
            <w:pPr>
              <w:spacing w:after="0"/>
              <w:rPr>
                <w:sz w:val="17"/>
                <w:szCs w:val="17"/>
                <w:color w:val="auto"/>
              </w:rPr>
            </w:pPr>
          </w:p>
        </w:tc>
        <w:tc>
          <w:tcPr>
            <w:tcW w:w="1400" w:type="dxa"/>
            <w:vAlign w:val="bottom"/>
            <w:tcBorders>
              <w:top w:val="single" w:sz="8" w:color="auto"/>
            </w:tcBorders>
          </w:tcPr>
          <w:p>
            <w:pPr>
              <w:jc w:val="center"/>
              <w:spacing w:after="0" w:line="205" w:lineRule="exact"/>
              <w:rPr>
                <w:sz w:val="20"/>
                <w:szCs w:val="20"/>
                <w:color w:val="auto"/>
              </w:rPr>
            </w:pPr>
            <w:r>
              <w:rPr>
                <w:rFonts w:ascii="Arial" w:cs="Arial" w:eastAsia="Arial" w:hAnsi="Arial"/>
                <w:sz w:val="18"/>
                <w:szCs w:val="18"/>
                <w:b w:val="1"/>
                <w:bCs w:val="1"/>
                <w:color w:val="auto"/>
                <w:w w:val="90"/>
              </w:rPr>
              <w:t>Non-recyclable to</w:t>
            </w: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80" w:type="dxa"/>
            <w:vAlign w:val="bottom"/>
            <w:gridSpan w:val="2"/>
            <w:vMerge w:val="continue"/>
          </w:tcPr>
          <w:p>
            <w:pPr>
              <w:spacing w:after="0"/>
              <w:rPr>
                <w:sz w:val="17"/>
                <w:szCs w:val="17"/>
                <w:color w:val="auto"/>
              </w:rPr>
            </w:pPr>
          </w:p>
        </w:tc>
        <w:tc>
          <w:tcPr>
            <w:tcW w:w="80" w:type="dxa"/>
            <w:vAlign w:val="bottom"/>
          </w:tcPr>
          <w:p>
            <w:pPr>
              <w:spacing w:after="0"/>
              <w:rPr>
                <w:sz w:val="17"/>
                <w:szCs w:val="17"/>
                <w:color w:val="auto"/>
              </w:rPr>
            </w:pPr>
          </w:p>
        </w:tc>
        <w:tc>
          <w:tcPr>
            <w:tcW w:w="2140" w:type="dxa"/>
            <w:vAlign w:val="bottom"/>
            <w:gridSpan w:val="3"/>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920" w:type="dxa"/>
            <w:vAlign w:val="bottom"/>
            <w:gridSpan w:val="2"/>
          </w:tcPr>
          <w:p>
            <w:pPr>
              <w:spacing w:after="0"/>
              <w:rPr>
                <w:sz w:val="20"/>
                <w:szCs w:val="20"/>
                <w:color w:val="auto"/>
              </w:rPr>
            </w:pPr>
            <w:r>
              <w:rPr>
                <w:rFonts w:ascii="Arial" w:cs="Arial" w:eastAsia="Arial" w:hAnsi="Arial"/>
                <w:sz w:val="18"/>
                <w:szCs w:val="18"/>
                <w:b w:val="1"/>
                <w:bCs w:val="1"/>
                <w:color w:val="auto"/>
              </w:rPr>
              <w:t>Carrying amount</w:t>
            </w:r>
          </w:p>
        </w:tc>
        <w:tc>
          <w:tcPr>
            <w:tcW w:w="100" w:type="dxa"/>
            <w:vAlign w:val="bottom"/>
          </w:tcPr>
          <w:p>
            <w:pPr>
              <w:spacing w:after="0"/>
              <w:rPr>
                <w:sz w:val="20"/>
                <w:szCs w:val="20"/>
                <w:color w:val="auto"/>
              </w:rPr>
            </w:pPr>
          </w:p>
        </w:tc>
        <w:tc>
          <w:tcPr>
            <w:tcW w:w="14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2"/>
              </w:rPr>
              <w:t>Amortized cost</w:t>
            </w:r>
          </w:p>
        </w:tc>
        <w:tc>
          <w:tcPr>
            <w:tcW w:w="100" w:type="dxa"/>
            <w:vAlign w:val="bottom"/>
          </w:tcPr>
          <w:p>
            <w:pPr>
              <w:spacing w:after="0"/>
              <w:rPr>
                <w:sz w:val="20"/>
                <w:szCs w:val="20"/>
                <w:color w:val="auto"/>
              </w:rPr>
            </w:pP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profit and loss</w:t>
            </w:r>
          </w:p>
        </w:tc>
        <w:tc>
          <w:tcPr>
            <w:tcW w:w="100" w:type="dxa"/>
            <w:vAlign w:val="bottom"/>
          </w:tcPr>
          <w:p>
            <w:pPr>
              <w:spacing w:after="0"/>
              <w:rPr>
                <w:sz w:val="20"/>
                <w:szCs w:val="20"/>
                <w:color w:val="auto"/>
              </w:rPr>
            </w:pPr>
          </w:p>
        </w:tc>
        <w:tc>
          <w:tcPr>
            <w:tcW w:w="16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profit and loss</w:t>
            </w:r>
          </w:p>
        </w:tc>
        <w:tc>
          <w:tcPr>
            <w:tcW w:w="100" w:type="dxa"/>
            <w:vAlign w:val="bottom"/>
          </w:tcPr>
          <w:p>
            <w:pPr>
              <w:spacing w:after="0"/>
              <w:rPr>
                <w:sz w:val="20"/>
                <w:szCs w:val="20"/>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profit or loss</w:t>
            </w:r>
          </w:p>
        </w:tc>
        <w:tc>
          <w:tcPr>
            <w:tcW w:w="80" w:type="dxa"/>
            <w:vAlign w:val="bottom"/>
          </w:tcPr>
          <w:p>
            <w:pPr>
              <w:spacing w:after="0"/>
              <w:rPr>
                <w:sz w:val="20"/>
                <w:szCs w:val="20"/>
                <w:color w:val="auto"/>
              </w:rPr>
            </w:pPr>
          </w:p>
        </w:tc>
        <w:tc>
          <w:tcPr>
            <w:tcW w:w="21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09"/>
        </w:trPr>
        <w:tc>
          <w:tcPr>
            <w:tcW w:w="1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74,547</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5,094</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1,889</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88,022</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837</w:t>
            </w:r>
          </w:p>
        </w:tc>
        <w:tc>
          <w:tcPr>
            <w:tcW w:w="1580" w:type="dxa"/>
            <w:vAlign w:val="bottom"/>
            <w:gridSpan w:val="3"/>
          </w:tcPr>
          <w:p>
            <w:pPr>
              <w:jc w:val="right"/>
              <w:ind w:right="180"/>
              <w:spacing w:after="0"/>
              <w:rPr>
                <w:sz w:val="20"/>
                <w:szCs w:val="20"/>
                <w:color w:val="auto"/>
              </w:rPr>
            </w:pPr>
            <w:r>
              <w:rPr>
                <w:rFonts w:ascii="Arial" w:cs="Arial" w:eastAsia="Arial" w:hAnsi="Arial"/>
                <w:sz w:val="18"/>
                <w:szCs w:val="18"/>
                <w:color w:val="auto"/>
              </w:rPr>
              <w:t>48</w:t>
            </w:r>
          </w:p>
        </w:tc>
        <w:tc>
          <w:tcPr>
            <w:tcW w:w="1700" w:type="dxa"/>
            <w:vAlign w:val="bottom"/>
            <w:gridSpan w:val="3"/>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2140" w:type="dxa"/>
            <w:vAlign w:val="bottom"/>
            <w:gridSpan w:val="3"/>
          </w:tcPr>
          <w:p>
            <w:pPr>
              <w:jc w:val="right"/>
              <w:ind w:right="20"/>
              <w:spacing w:after="0"/>
              <w:rPr>
                <w:sz w:val="20"/>
                <w:szCs w:val="20"/>
                <w:color w:val="auto"/>
              </w:rPr>
            </w:pPr>
            <w:r>
              <w:rPr>
                <w:rFonts w:ascii="Arial" w:cs="Arial" w:eastAsia="Arial" w:hAnsi="Arial"/>
                <w:sz w:val="18"/>
                <w:szCs w:val="18"/>
                <w:color w:val="auto"/>
              </w:rPr>
              <w:t>885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1920" w:type="dxa"/>
            <w:vAlign w:val="bottom"/>
            <w:gridSpan w:val="2"/>
            <w:shd w:val="clear" w:color="auto" w:fill="CCEEFF"/>
          </w:tcPr>
          <w:p>
            <w:pPr>
              <w:spacing w:after="0" w:line="270" w:lineRule="exact"/>
              <w:rPr>
                <w:sz w:val="20"/>
                <w:szCs w:val="20"/>
                <w:color w:val="auto"/>
              </w:rPr>
            </w:pPr>
            <w:r>
              <w:rPr>
                <w:rFonts w:ascii="Arial" w:cs="Arial" w:eastAsia="Arial" w:hAnsi="Arial"/>
                <w:sz w:val="18"/>
                <w:szCs w:val="18"/>
                <w:color w:val="auto"/>
              </w:rPr>
              <w:t xml:space="preserve">Reserves </w:t>
            </w:r>
            <w:r>
              <w:rPr>
                <w:rFonts w:ascii="Arial" w:cs="Arial" w:eastAsia="Arial" w:hAnsi="Arial"/>
                <w:sz w:val="29"/>
                <w:szCs w:val="29"/>
                <w:color w:val="auto"/>
                <w:vertAlign w:val="superscript"/>
              </w:rPr>
              <w:t>(1)</w:t>
            </w:r>
          </w:p>
        </w:tc>
        <w:tc>
          <w:tcPr>
            <w:tcW w:w="15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(113)</w:t>
            </w:r>
          </w:p>
        </w:tc>
        <w:tc>
          <w:tcPr>
            <w:tcW w:w="158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700" w:type="dxa"/>
            <w:vAlign w:val="bottom"/>
            <w:gridSpan w:val="3"/>
            <w:shd w:val="clear" w:color="auto" w:fill="CCEEFF"/>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23"/>
        </w:trPr>
        <w:tc>
          <w:tcPr>
            <w:tcW w:w="1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75,271</w:t>
            </w:r>
          </w:p>
        </w:tc>
        <w:tc>
          <w:tcPr>
            <w:tcW w:w="18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5,142</w:t>
            </w:r>
          </w:p>
        </w:tc>
        <w:tc>
          <w:tcPr>
            <w:tcW w:w="180" w:type="dxa"/>
            <w:vAlign w:val="bottom"/>
          </w:tcPr>
          <w:p>
            <w:pPr>
              <w:spacing w:after="0"/>
              <w:rPr>
                <w:sz w:val="19"/>
                <w:szCs w:val="19"/>
                <w:color w:val="auto"/>
              </w:rPr>
            </w:pPr>
          </w:p>
        </w:tc>
        <w:tc>
          <w:tcPr>
            <w:tcW w:w="15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1,889</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6,492</w:t>
            </w:r>
          </w:p>
        </w:tc>
        <w:tc>
          <w:tcPr>
            <w:tcW w:w="200" w:type="dxa"/>
            <w:vAlign w:val="bottom"/>
          </w:tcPr>
          <w:p>
            <w:pPr>
              <w:spacing w:after="0"/>
              <w:rPr>
                <w:sz w:val="19"/>
                <w:szCs w:val="19"/>
                <w:color w:val="auto"/>
              </w:rPr>
            </w:pPr>
          </w:p>
        </w:tc>
        <w:tc>
          <w:tcPr>
            <w:tcW w:w="21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88,794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jc w:val="both"/>
        <w:ind w:left="660" w:hanging="328"/>
        <w:spacing w:after="0" w:line="263" w:lineRule="auto"/>
        <w:tabs>
          <w:tab w:leader="none" w:pos="660" w:val="left"/>
        </w:tabs>
        <w:numPr>
          <w:ilvl w:val="0"/>
          <w:numId w:val="241"/>
        </w:numPr>
        <w:rPr>
          <w:rFonts w:ascii="Arial" w:cs="Arial" w:eastAsia="Arial" w:hAnsi="Arial"/>
          <w:sz w:val="18"/>
          <w:szCs w:val="18"/>
          <w:color w:val="auto"/>
        </w:rPr>
      </w:pPr>
      <w:r>
        <w:rPr>
          <w:rFonts w:ascii="Arial" w:cs="Arial" w:eastAsia="Arial" w:hAnsi="Arial"/>
          <w:sz w:val="18"/>
          <w:szCs w:val="18"/>
          <w:color w:val="auto"/>
        </w:rPr>
        <w:t>The loss allowance for losses for securities at FVOCI is included in equity in the consolidated statement of financial position in the line Other comprehensive income. As December 31, 2020 and 2019 the principal plus interest receivable of securities at FVOCI is $232,504 and $5,142, respectively.</w:t>
      </w:r>
    </w:p>
    <w:p>
      <w:pPr>
        <w:spacing w:after="0" w:line="184"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2020, and 2019, the Bank sold 261,164 and 767,301 shares, respectively, which were designated at their initial recognition at fair value with changes in other comprehensive income due to market changes affecting the liquidity of the instrument.</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cumulative fair value of the shares sold was $1.7 million and $4.8 million, respectively, and the cumulative loss recognized in OCI was $602 thousand and $151 thousand, respectively, transferred to retained earnings.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and other financial assets by contractual maturity are shown in the following table:</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80"/>
        <w:spacing w:after="0"/>
        <w:rPr>
          <w:sz w:val="20"/>
          <w:szCs w:val="20"/>
          <w:color w:val="auto"/>
        </w:rPr>
      </w:pPr>
      <w:r>
        <w:rPr>
          <w:rFonts w:ascii="Arial" w:cs="Arial" w:eastAsia="Arial" w:hAnsi="Arial"/>
          <w:sz w:val="17"/>
          <w:szCs w:val="17"/>
          <w:b w:val="1"/>
          <w:bCs w:val="1"/>
          <w:color w:val="auto"/>
        </w:rPr>
        <w:t>At December 31, 2020</w:t>
      </w:r>
    </w:p>
    <w:p>
      <w:pPr>
        <w:spacing w:after="0" w:line="200" w:lineRule="exact"/>
        <w:rPr>
          <w:sz w:val="20"/>
          <w:szCs w:val="20"/>
          <w:color w:val="auto"/>
        </w:rPr>
      </w:pPr>
    </w:p>
    <w:p>
      <w:pPr>
        <w:spacing w:after="0" w:line="311" w:lineRule="exact"/>
        <w:rPr>
          <w:sz w:val="20"/>
          <w:szCs w:val="20"/>
          <w:color w:val="auto"/>
        </w:rPr>
      </w:pPr>
    </w:p>
    <w:p>
      <w:pPr>
        <w:ind w:left="38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80"/>
        <w:spacing w:after="0" w:line="250" w:lineRule="auto"/>
        <w:rPr>
          <w:sz w:val="20"/>
          <w:szCs w:val="20"/>
          <w:color w:val="auto"/>
        </w:rPr>
      </w:pPr>
      <w:r>
        <w:rPr>
          <w:rFonts w:ascii="Arial" w:cs="Arial" w:eastAsia="Arial" w:hAnsi="Arial"/>
          <w:sz w:val="18"/>
          <w:szCs w:val="18"/>
          <w:color w:val="auto"/>
        </w:rPr>
        <w:t>After 1 year but within 5 years</w:t>
      </w:r>
    </w:p>
    <w:p>
      <w:pPr>
        <w:spacing w:after="0" w:line="1" w:lineRule="exact"/>
        <w:rPr>
          <w:sz w:val="20"/>
          <w:szCs w:val="20"/>
          <w:color w:val="auto"/>
        </w:rPr>
      </w:pPr>
    </w:p>
    <w:p>
      <w:pPr>
        <w:ind w:left="380"/>
        <w:spacing w:after="0"/>
        <w:rPr>
          <w:sz w:val="20"/>
          <w:szCs w:val="20"/>
          <w:color w:val="auto"/>
        </w:rPr>
      </w:pPr>
      <w:r>
        <w:rPr>
          <w:rFonts w:ascii="Arial" w:cs="Arial" w:eastAsia="Arial" w:hAnsi="Arial"/>
          <w:sz w:val="17"/>
          <w:szCs w:val="17"/>
          <w:color w:val="auto"/>
        </w:rPr>
        <w:t>After 5 years but within</w:t>
      </w:r>
    </w:p>
    <w:p>
      <w:pPr>
        <w:spacing w:after="0" w:line="21" w:lineRule="exact"/>
        <w:rPr>
          <w:sz w:val="20"/>
          <w:szCs w:val="20"/>
          <w:color w:val="auto"/>
        </w:rPr>
      </w:pPr>
    </w:p>
    <w:p>
      <w:pPr>
        <w:ind w:left="380" w:right="800" w:firstLine="6"/>
        <w:spacing w:after="0" w:line="265" w:lineRule="auto"/>
        <w:tabs>
          <w:tab w:leader="none" w:pos="605" w:val="left"/>
        </w:tabs>
        <w:numPr>
          <w:ilvl w:val="0"/>
          <w:numId w:val="242"/>
        </w:numPr>
        <w:rPr>
          <w:rFonts w:ascii="Arial" w:cs="Arial" w:eastAsia="Arial" w:hAnsi="Arial"/>
          <w:sz w:val="17"/>
          <w:szCs w:val="17"/>
          <w:color w:val="auto"/>
        </w:rPr>
      </w:pPr>
      <w:r>
        <w:rPr>
          <w:rFonts w:ascii="Arial" w:cs="Arial" w:eastAsia="Arial" w:hAnsi="Arial"/>
          <w:sz w:val="17"/>
          <w:szCs w:val="17"/>
          <w:color w:val="auto"/>
        </w:rPr>
        <w:t>years Non maturity</w:t>
      </w:r>
    </w:p>
    <w:p>
      <w:pPr>
        <w:ind w:left="380"/>
        <w:spacing w:after="0"/>
        <w:rPr>
          <w:rFonts w:ascii="Arial" w:cs="Arial" w:eastAsia="Arial" w:hAnsi="Arial"/>
          <w:sz w:val="17"/>
          <w:szCs w:val="17"/>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gridSpan w:val="2"/>
          </w:tcPr>
          <w:p>
            <w:pPr>
              <w:ind w:left="280"/>
              <w:spacing w:after="0"/>
              <w:rPr>
                <w:sz w:val="20"/>
                <w:szCs w:val="20"/>
                <w:color w:val="auto"/>
              </w:rPr>
            </w:pPr>
            <w:r>
              <w:rPr>
                <w:rFonts w:ascii="Arial" w:cs="Arial" w:eastAsia="Arial" w:hAnsi="Arial"/>
                <w:sz w:val="18"/>
                <w:szCs w:val="18"/>
                <w:b w:val="1"/>
                <w:bCs w:val="1"/>
                <w:color w:val="auto"/>
              </w:rPr>
              <w:t>At fair value</w:t>
            </w:r>
          </w:p>
        </w:tc>
        <w:tc>
          <w:tcPr>
            <w:tcW w:w="13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13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280" w:type="dxa"/>
            <w:vAlign w:val="bottom"/>
            <w:gridSpan w:val="4"/>
          </w:tcPr>
          <w:p>
            <w:pPr>
              <w:jc w:val="center"/>
              <w:ind w:right="180"/>
              <w:spacing w:after="0" w:line="205" w:lineRule="exact"/>
              <w:rPr>
                <w:sz w:val="20"/>
                <w:szCs w:val="20"/>
                <w:color w:val="auto"/>
              </w:rPr>
            </w:pPr>
            <w:r>
              <w:rPr>
                <w:rFonts w:ascii="Arial" w:cs="Arial" w:eastAsia="Arial" w:hAnsi="Arial"/>
                <w:sz w:val="18"/>
                <w:szCs w:val="18"/>
                <w:b w:val="1"/>
                <w:bCs w:val="1"/>
                <w:color w:val="auto"/>
                <w:w w:val="89"/>
              </w:rPr>
              <w:t>With changes in other comprehemsive</w:t>
            </w:r>
          </w:p>
        </w:tc>
        <w:tc>
          <w:tcPr>
            <w:tcW w:w="13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3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28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85"/>
              </w:rPr>
              <w:t>income</w:t>
            </w:r>
          </w:p>
        </w:tc>
        <w:tc>
          <w:tcPr>
            <w:tcW w:w="158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w w:val="97"/>
              </w:rPr>
              <w:t>With changes in</w:t>
            </w:r>
          </w:p>
        </w:tc>
        <w:tc>
          <w:tcPr>
            <w:tcW w:w="2140" w:type="dxa"/>
            <w:vAlign w:val="bottom"/>
            <w:gridSpan w:val="2"/>
            <w:vMerge w:val="restart"/>
          </w:tcPr>
          <w:p>
            <w:pPr>
              <w:jc w:val="center"/>
              <w:spacing w:after="0"/>
              <w:rPr>
                <w:sz w:val="20"/>
                <w:szCs w:val="20"/>
                <w:color w:val="auto"/>
              </w:rPr>
            </w:pPr>
            <w:r>
              <w:rPr>
                <w:rFonts w:ascii="Arial" w:cs="Arial" w:eastAsia="Arial" w:hAnsi="Arial"/>
                <w:sz w:val="18"/>
                <w:szCs w:val="18"/>
                <w:b w:val="1"/>
                <w:bCs w:val="1"/>
                <w:color w:val="auto"/>
                <w:w w:val="89"/>
              </w:rPr>
              <w:t>Total securities and other</w:t>
            </w:r>
          </w:p>
        </w:tc>
        <w:tc>
          <w:tcPr>
            <w:tcW w:w="0" w:type="dxa"/>
            <w:vAlign w:val="bottom"/>
          </w:tcPr>
          <w:p>
            <w:pPr>
              <w:spacing w:after="0"/>
              <w:rPr>
                <w:sz w:val="1"/>
                <w:szCs w:val="1"/>
                <w:color w:val="auto"/>
              </w:rPr>
            </w:pPr>
          </w:p>
        </w:tc>
      </w:tr>
      <w:tr>
        <w:trPr>
          <w:trHeight w:val="205"/>
        </w:trPr>
        <w:tc>
          <w:tcPr>
            <w:tcW w:w="13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580" w:type="dxa"/>
            <w:vAlign w:val="bottom"/>
            <w:tcBorders>
              <w:top w:val="single" w:sz="8" w:color="auto"/>
            </w:tcBorders>
            <w:gridSpan w:val="2"/>
          </w:tcPr>
          <w:p>
            <w:pPr>
              <w:ind w:left="240"/>
              <w:spacing w:after="0" w:line="205" w:lineRule="exact"/>
              <w:rPr>
                <w:sz w:val="20"/>
                <w:szCs w:val="20"/>
                <w:color w:val="auto"/>
              </w:rPr>
            </w:pPr>
            <w:r>
              <w:rPr>
                <w:rFonts w:ascii="Arial" w:cs="Arial" w:eastAsia="Arial" w:hAnsi="Arial"/>
                <w:sz w:val="18"/>
                <w:szCs w:val="18"/>
                <w:b w:val="1"/>
                <w:bCs w:val="1"/>
                <w:color w:val="auto"/>
              </w:rPr>
              <w:t>Recyclable to</w:t>
            </w:r>
          </w:p>
        </w:tc>
        <w:tc>
          <w:tcPr>
            <w:tcW w:w="1500" w:type="dxa"/>
            <w:vAlign w:val="bottom"/>
            <w:tcBorders>
              <w:top w:val="single" w:sz="8" w:color="auto"/>
            </w:tcBorders>
          </w:tcPr>
          <w:p>
            <w:pPr>
              <w:ind w:left="120"/>
              <w:spacing w:after="0" w:line="205" w:lineRule="exact"/>
              <w:rPr>
                <w:sz w:val="20"/>
                <w:szCs w:val="20"/>
                <w:color w:val="auto"/>
              </w:rPr>
            </w:pPr>
            <w:r>
              <w:rPr>
                <w:rFonts w:ascii="Arial" w:cs="Arial" w:eastAsia="Arial" w:hAnsi="Arial"/>
                <w:sz w:val="18"/>
                <w:szCs w:val="18"/>
                <w:b w:val="1"/>
                <w:bCs w:val="1"/>
                <w:color w:val="auto"/>
                <w:w w:val="90"/>
              </w:rPr>
              <w:t>Non-recyclable to</w:t>
            </w:r>
          </w:p>
        </w:tc>
        <w:tc>
          <w:tcPr>
            <w:tcW w:w="200" w:type="dxa"/>
            <w:vAlign w:val="bottom"/>
          </w:tcPr>
          <w:p>
            <w:pPr>
              <w:spacing w:after="0"/>
              <w:rPr>
                <w:sz w:val="17"/>
                <w:szCs w:val="17"/>
                <w:color w:val="auto"/>
              </w:rPr>
            </w:pPr>
          </w:p>
        </w:tc>
        <w:tc>
          <w:tcPr>
            <w:tcW w:w="1580" w:type="dxa"/>
            <w:vAlign w:val="bottom"/>
            <w:gridSpan w:val="2"/>
            <w:vMerge w:val="continue"/>
          </w:tcPr>
          <w:p>
            <w:pPr>
              <w:spacing w:after="0"/>
              <w:rPr>
                <w:sz w:val="17"/>
                <w:szCs w:val="17"/>
                <w:color w:val="auto"/>
              </w:rPr>
            </w:pPr>
          </w:p>
        </w:tc>
        <w:tc>
          <w:tcPr>
            <w:tcW w:w="2140" w:type="dxa"/>
            <w:vAlign w:val="bottom"/>
            <w:gridSpan w:val="2"/>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5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Amortized cost</w:t>
            </w:r>
          </w:p>
        </w:tc>
        <w:tc>
          <w:tcPr>
            <w:tcW w:w="1580" w:type="dxa"/>
            <w:vAlign w:val="bottom"/>
            <w:gridSpan w:val="2"/>
          </w:tcPr>
          <w:p>
            <w:pPr>
              <w:ind w:left="220"/>
              <w:spacing w:after="0"/>
              <w:rPr>
                <w:sz w:val="20"/>
                <w:szCs w:val="20"/>
                <w:color w:val="auto"/>
              </w:rPr>
            </w:pPr>
            <w:r>
              <w:rPr>
                <w:rFonts w:ascii="Arial" w:cs="Arial" w:eastAsia="Arial" w:hAnsi="Arial"/>
                <w:sz w:val="18"/>
                <w:szCs w:val="18"/>
                <w:b w:val="1"/>
                <w:bCs w:val="1"/>
                <w:color w:val="auto"/>
              </w:rPr>
              <w:t>profit ans loss</w:t>
            </w:r>
          </w:p>
        </w:tc>
        <w:tc>
          <w:tcPr>
            <w:tcW w:w="1700" w:type="dxa"/>
            <w:vAlign w:val="bottom"/>
            <w:gridSpan w:val="2"/>
          </w:tcPr>
          <w:p>
            <w:pPr>
              <w:ind w:left="260"/>
              <w:spacing w:after="0"/>
              <w:rPr>
                <w:sz w:val="20"/>
                <w:szCs w:val="20"/>
                <w:color w:val="auto"/>
              </w:rPr>
            </w:pPr>
            <w:r>
              <w:rPr>
                <w:rFonts w:ascii="Arial" w:cs="Arial" w:eastAsia="Arial" w:hAnsi="Arial"/>
                <w:sz w:val="18"/>
                <w:szCs w:val="18"/>
                <w:b w:val="1"/>
                <w:bCs w:val="1"/>
                <w:color w:val="auto"/>
              </w:rPr>
              <w:t>profit and loss</w:t>
            </w:r>
          </w:p>
        </w:tc>
        <w:tc>
          <w:tcPr>
            <w:tcW w:w="15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profit or loss</w:t>
            </w:r>
          </w:p>
        </w:tc>
        <w:tc>
          <w:tcPr>
            <w:tcW w:w="21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24"/>
        </w:trPr>
        <w:tc>
          <w:tcPr>
            <w:tcW w:w="13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40,625</w:t>
            </w:r>
          </w:p>
        </w:tc>
        <w:tc>
          <w:tcPr>
            <w:tcW w:w="180" w:type="dxa"/>
            <w:vAlign w:val="bottom"/>
          </w:tcPr>
          <w:p>
            <w:pPr>
              <w:spacing w:after="0"/>
              <w:rPr>
                <w:sz w:val="19"/>
                <w:szCs w:val="19"/>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34,027</w:t>
            </w:r>
          </w:p>
        </w:tc>
        <w:tc>
          <w:tcPr>
            <w:tcW w:w="180" w:type="dxa"/>
            <w:vAlign w:val="bottom"/>
          </w:tcPr>
          <w:p>
            <w:pPr>
              <w:spacing w:after="0"/>
              <w:rPr>
                <w:sz w:val="19"/>
                <w:szCs w:val="19"/>
                <w:color w:val="auto"/>
              </w:rPr>
            </w:pPr>
          </w:p>
        </w:tc>
        <w:tc>
          <w:tcPr>
            <w:tcW w:w="1500" w:type="dxa"/>
            <w:vAlign w:val="bottom"/>
            <w:tcBorders>
              <w:top w:val="single" w:sz="8" w:color="auto"/>
            </w:tcBorders>
          </w:tcPr>
          <w:p>
            <w:pPr>
              <w:ind w:left="1440"/>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9"/>
                <w:szCs w:val="19"/>
                <w:color w:val="auto"/>
              </w:rPr>
            </w:pPr>
          </w:p>
        </w:tc>
        <w:tc>
          <w:tcPr>
            <w:tcW w:w="13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74,652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18"/>
        </w:trPr>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123,449</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197,321</w:t>
            </w:r>
          </w:p>
        </w:tc>
        <w:tc>
          <w:tcPr>
            <w:tcW w:w="1700" w:type="dxa"/>
            <w:vAlign w:val="bottom"/>
            <w:gridSpan w:val="2"/>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120" w:type="dxa"/>
            <w:vAlign w:val="bottom"/>
          </w:tcPr>
          <w:p>
            <w:pPr>
              <w:jc w:val="right"/>
              <w:spacing w:after="0"/>
              <w:rPr>
                <w:sz w:val="20"/>
                <w:szCs w:val="20"/>
                <w:color w:val="auto"/>
              </w:rPr>
            </w:pPr>
            <w:r>
              <w:rPr>
                <w:rFonts w:ascii="Arial" w:cs="Arial" w:eastAsia="Arial" w:hAnsi="Arial"/>
                <w:sz w:val="18"/>
                <w:szCs w:val="18"/>
                <w:color w:val="auto"/>
              </w:rPr>
              <w:t>320,770</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1"/>
        </w:trPr>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700" w:type="dxa"/>
            <w:vAlign w:val="bottom"/>
            <w:gridSpan w:val="2"/>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1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5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700" w:type="dxa"/>
            <w:vAlign w:val="bottom"/>
            <w:gridSpan w:val="2"/>
          </w:tcPr>
          <w:p>
            <w:pPr>
              <w:ind w:left="144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1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164,074</w:t>
            </w:r>
          </w:p>
        </w:tc>
        <w:tc>
          <w:tcPr>
            <w:tcW w:w="18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231,348</w:t>
            </w:r>
          </w:p>
        </w:tc>
        <w:tc>
          <w:tcPr>
            <w:tcW w:w="180" w:type="dxa"/>
            <w:vAlign w:val="bottom"/>
          </w:tcPr>
          <w:p>
            <w:pPr>
              <w:spacing w:after="0"/>
              <w:rPr>
                <w:sz w:val="19"/>
                <w:szCs w:val="19"/>
                <w:color w:val="auto"/>
              </w:rPr>
            </w:pPr>
          </w:p>
        </w:tc>
        <w:tc>
          <w:tcPr>
            <w:tcW w:w="1500" w:type="dxa"/>
            <w:vAlign w:val="bottom"/>
            <w:tcBorders>
              <w:top w:val="single" w:sz="8" w:color="auto"/>
              <w:bottom w:val="single" w:sz="8" w:color="auto"/>
            </w:tcBorders>
          </w:tcPr>
          <w:p>
            <w:pPr>
              <w:ind w:left="144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395,422</w:t>
            </w:r>
          </w:p>
        </w:tc>
        <w:tc>
          <w:tcPr>
            <w:tcW w:w="2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3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700" w:type="dxa"/>
            <w:vAlign w:val="bottom"/>
            <w:gridSpan w:val="2"/>
          </w:tcPr>
          <w:p>
            <w:pPr>
              <w:ind w:left="20"/>
              <w:spacing w:after="0"/>
              <w:rPr>
                <w:sz w:val="20"/>
                <w:szCs w:val="20"/>
                <w:color w:val="auto"/>
              </w:rPr>
            </w:pPr>
            <w:r>
              <w:rPr>
                <w:rFonts w:ascii="Arial" w:cs="Arial" w:eastAsia="Arial" w:hAnsi="Arial"/>
                <w:sz w:val="18"/>
                <w:szCs w:val="18"/>
                <w:color w:val="auto"/>
              </w:rPr>
              <w:t>F-79</w:t>
            </w:r>
          </w:p>
        </w:tc>
        <w:tc>
          <w:tcPr>
            <w:tcW w:w="1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-1214755</wp:posOffset>
            </wp:positionH>
            <wp:positionV relativeFrom="paragraph">
              <wp:posOffset>-1294130</wp:posOffset>
            </wp:positionV>
            <wp:extent cx="6703695" cy="14605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5">
                      <a:extLst>
                        <a:ext uri="{28A0092B-C50C-407E-A947-70E740481C1C}"/>
                      </a:extLst>
                    </a:blip>
                    <a:srcRect/>
                    <a:stretch>
                      <a:fillRect/>
                    </a:stretch>
                  </pic:blipFill>
                  <pic:spPr bwMode="auto">
                    <a:xfrm>
                      <a:off x="0" y="0"/>
                      <a:ext cx="6703695" cy="146050"/>
                    </a:xfrm>
                    <a:prstGeom prst="rect">
                      <a:avLst/>
                    </a:prstGeom>
                    <a:noFill/>
                  </pic:spPr>
                </pic:pic>
              </a:graphicData>
            </a:graphic>
          </wp:anchor>
        </w:drawing>
        <w:drawing>
          <wp:anchor simplePos="0" relativeHeight="251657728" behindDoc="1" locked="0" layoutInCell="0" allowOverlap="1">
            <wp:simplePos x="0" y="0"/>
            <wp:positionH relativeFrom="column">
              <wp:posOffset>-1214755</wp:posOffset>
            </wp:positionH>
            <wp:positionV relativeFrom="paragraph">
              <wp:posOffset>-873760</wp:posOffset>
            </wp:positionV>
            <wp:extent cx="6703695" cy="27432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6">
                      <a:extLst>
                        <a:ext uri="{28A0092B-C50C-407E-A947-70E740481C1C}"/>
                      </a:extLst>
                    </a:blip>
                    <a:srcRect/>
                    <a:stretch>
                      <a:fillRect/>
                    </a:stretch>
                  </pic:blipFill>
                  <pic:spPr bwMode="auto">
                    <a:xfrm>
                      <a:off x="0" y="0"/>
                      <a:ext cx="6703695" cy="274320"/>
                    </a:xfrm>
                    <a:prstGeom prst="rect">
                      <a:avLst/>
                    </a:prstGeom>
                    <a:noFill/>
                  </pic:spPr>
                </pic:pic>
              </a:graphicData>
            </a:graphic>
          </wp:anchor>
        </w:drawing>
        <w:drawing>
          <wp:anchor simplePos="0" relativeHeight="251657728" behindDoc="1" locked="0" layoutInCell="0" allowOverlap="1">
            <wp:simplePos x="0" y="0"/>
            <wp:positionH relativeFrom="column">
              <wp:posOffset>-1214755</wp:posOffset>
            </wp:positionH>
            <wp:positionV relativeFrom="paragraph">
              <wp:posOffset>-453390</wp:posOffset>
            </wp:positionV>
            <wp:extent cx="6703695" cy="16256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7">
                      <a:extLst>
                        <a:ext uri="{28A0092B-C50C-407E-A947-70E740481C1C}"/>
                      </a:extLst>
                    </a:blip>
                    <a:srcRect/>
                    <a:stretch>
                      <a:fillRect/>
                    </a:stretch>
                  </pic:blipFill>
                  <pic:spPr bwMode="auto">
                    <a:xfrm>
                      <a:off x="0" y="0"/>
                      <a:ext cx="6703695" cy="162560"/>
                    </a:xfrm>
                    <a:prstGeom prst="rect">
                      <a:avLst/>
                    </a:prstGeom>
                    <a:noFill/>
                  </pic:spPr>
                </pic:pic>
              </a:graphicData>
            </a:graphic>
          </wp:anchor>
        </w:drawing>
        <w:drawing>
          <wp:anchor simplePos="0" relativeHeight="251657728" behindDoc="1" locked="0" layoutInCell="0" allowOverlap="1">
            <wp:simplePos x="0" y="0"/>
            <wp:positionH relativeFrom="column">
              <wp:posOffset>-1454785</wp:posOffset>
            </wp:positionH>
            <wp:positionV relativeFrom="paragraph">
              <wp:posOffset>8890</wp:posOffset>
            </wp:positionV>
            <wp:extent cx="7132320" cy="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2">
            <w:col w:w="2160" w:space="140"/>
            <w:col w:w="8940"/>
          </w:cols>
          <w:pgMar w:left="320" w:top="688" w:right="339" w:bottom="1440" w:gutter="0" w:footer="0" w:header="0"/>
          <w:type w:val="continuous"/>
        </w:sectPr>
      </w:pPr>
    </w:p>
    <w:bookmarkStart w:id="215" w:name="page216"/>
    <w:bookmarkEnd w:id="215"/>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825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37" w:lineRule="exact"/>
        <w:rPr>
          <w:sz w:val="20"/>
          <w:szCs w:val="20"/>
          <w:color w:val="auto"/>
        </w:rPr>
      </w:pPr>
    </w:p>
    <w:p>
      <w:pPr>
        <w:ind w:left="340" w:hanging="332"/>
        <w:spacing w:after="0"/>
        <w:tabs>
          <w:tab w:leader="none" w:pos="340" w:val="left"/>
        </w:tabs>
        <w:numPr>
          <w:ilvl w:val="0"/>
          <w:numId w:val="243"/>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ectPr>
          <w:pgSz w:w="11900" w:h="16838" w:orient="portrait"/>
          <w:cols w:equalWidth="0" w:num="1">
            <w:col w:w="10940"/>
          </w:cols>
          <w:pgMar w:left="320" w:top="688" w:right="6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380"/>
        <w:spacing w:after="0"/>
        <w:rPr>
          <w:sz w:val="20"/>
          <w:szCs w:val="20"/>
          <w:color w:val="auto"/>
        </w:rPr>
      </w:pPr>
      <w:r>
        <w:rPr>
          <w:rFonts w:ascii="Arial" w:cs="Arial" w:eastAsia="Arial" w:hAnsi="Arial"/>
          <w:sz w:val="17"/>
          <w:szCs w:val="17"/>
          <w:b w:val="1"/>
          <w:bCs w:val="1"/>
          <w:color w:val="auto"/>
        </w:rPr>
        <w:t>At December 31, 2019</w:t>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38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80"/>
        <w:spacing w:after="0" w:line="250" w:lineRule="auto"/>
        <w:rPr>
          <w:sz w:val="20"/>
          <w:szCs w:val="20"/>
          <w:color w:val="auto"/>
        </w:rPr>
      </w:pPr>
      <w:r>
        <w:rPr>
          <w:rFonts w:ascii="Arial" w:cs="Arial" w:eastAsia="Arial" w:hAnsi="Arial"/>
          <w:sz w:val="18"/>
          <w:szCs w:val="18"/>
          <w:color w:val="auto"/>
        </w:rPr>
        <w:t>After 1 year but within 5 years</w:t>
      </w:r>
    </w:p>
    <w:p>
      <w:pPr>
        <w:spacing w:after="0" w:line="1" w:lineRule="exact"/>
        <w:rPr>
          <w:sz w:val="20"/>
          <w:szCs w:val="20"/>
          <w:color w:val="auto"/>
        </w:rPr>
      </w:pPr>
    </w:p>
    <w:p>
      <w:pPr>
        <w:ind w:left="380"/>
        <w:spacing w:after="0"/>
        <w:rPr>
          <w:sz w:val="20"/>
          <w:szCs w:val="20"/>
          <w:color w:val="auto"/>
        </w:rPr>
      </w:pPr>
      <w:r>
        <w:rPr>
          <w:rFonts w:ascii="Arial" w:cs="Arial" w:eastAsia="Arial" w:hAnsi="Arial"/>
          <w:sz w:val="17"/>
          <w:szCs w:val="17"/>
          <w:color w:val="auto"/>
        </w:rPr>
        <w:t>After 5 years but within</w:t>
      </w:r>
    </w:p>
    <w:p>
      <w:pPr>
        <w:spacing w:after="0" w:line="21" w:lineRule="exact"/>
        <w:rPr>
          <w:sz w:val="20"/>
          <w:szCs w:val="20"/>
          <w:color w:val="auto"/>
        </w:rPr>
      </w:pPr>
    </w:p>
    <w:p>
      <w:pPr>
        <w:ind w:left="380" w:right="800" w:firstLine="6"/>
        <w:spacing w:after="0" w:line="265" w:lineRule="auto"/>
        <w:tabs>
          <w:tab w:leader="none" w:pos="605" w:val="left"/>
        </w:tabs>
        <w:numPr>
          <w:ilvl w:val="0"/>
          <w:numId w:val="244"/>
        </w:numPr>
        <w:rPr>
          <w:rFonts w:ascii="Arial" w:cs="Arial" w:eastAsia="Arial" w:hAnsi="Arial"/>
          <w:sz w:val="17"/>
          <w:szCs w:val="17"/>
          <w:color w:val="auto"/>
        </w:rPr>
      </w:pPr>
      <w:r>
        <w:rPr>
          <w:rFonts w:ascii="Arial" w:cs="Arial" w:eastAsia="Arial" w:hAnsi="Arial"/>
          <w:sz w:val="17"/>
          <w:szCs w:val="17"/>
          <w:color w:val="auto"/>
        </w:rPr>
        <w:t>years Non maturity</w:t>
      </w:r>
    </w:p>
    <w:p>
      <w:pPr>
        <w:ind w:left="380"/>
        <w:spacing w:after="0"/>
        <w:rPr>
          <w:rFonts w:ascii="Arial" w:cs="Arial" w:eastAsia="Arial" w:hAnsi="Arial"/>
          <w:sz w:val="17"/>
          <w:szCs w:val="17"/>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21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4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2"/>
          </w:tcPr>
          <w:p>
            <w:pPr>
              <w:jc w:val="right"/>
              <w:ind w:right="440"/>
              <w:spacing w:after="0"/>
              <w:rPr>
                <w:sz w:val="20"/>
                <w:szCs w:val="20"/>
                <w:color w:val="auto"/>
              </w:rPr>
            </w:pPr>
            <w:r>
              <w:rPr>
                <w:rFonts w:ascii="Arial" w:cs="Arial" w:eastAsia="Arial" w:hAnsi="Arial"/>
                <w:sz w:val="18"/>
                <w:szCs w:val="18"/>
                <w:b w:val="1"/>
                <w:bCs w:val="1"/>
                <w:color w:val="auto"/>
              </w:rPr>
              <w:t>At fair value</w:t>
            </w:r>
          </w:p>
        </w:tc>
        <w:tc>
          <w:tcPr>
            <w:tcW w:w="14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7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14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320" w:type="dxa"/>
            <w:vAlign w:val="bottom"/>
            <w:gridSpan w:val="4"/>
          </w:tcPr>
          <w:p>
            <w:pPr>
              <w:jc w:val="right"/>
              <w:ind w:right="280"/>
              <w:spacing w:after="0" w:line="205" w:lineRule="exact"/>
              <w:rPr>
                <w:sz w:val="20"/>
                <w:szCs w:val="20"/>
                <w:color w:val="auto"/>
              </w:rPr>
            </w:pPr>
            <w:r>
              <w:rPr>
                <w:rFonts w:ascii="Arial" w:cs="Arial" w:eastAsia="Arial" w:hAnsi="Arial"/>
                <w:sz w:val="18"/>
                <w:szCs w:val="18"/>
                <w:b w:val="1"/>
                <w:bCs w:val="1"/>
                <w:color w:val="auto"/>
                <w:w w:val="91"/>
              </w:rPr>
              <w:t>With changes in other comprehemsive</w:t>
            </w:r>
          </w:p>
        </w:tc>
        <w:tc>
          <w:tcPr>
            <w:tcW w:w="14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7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4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320" w:type="dxa"/>
            <w:vAlign w:val="bottom"/>
            <w:gridSpan w:val="4"/>
          </w:tcPr>
          <w:p>
            <w:pPr>
              <w:jc w:val="right"/>
              <w:ind w:right="1480"/>
              <w:spacing w:after="0"/>
              <w:rPr>
                <w:sz w:val="20"/>
                <w:szCs w:val="20"/>
                <w:color w:val="auto"/>
              </w:rPr>
            </w:pPr>
            <w:r>
              <w:rPr>
                <w:rFonts w:ascii="Arial" w:cs="Arial" w:eastAsia="Arial" w:hAnsi="Arial"/>
                <w:sz w:val="18"/>
                <w:szCs w:val="18"/>
                <w:b w:val="1"/>
                <w:bCs w:val="1"/>
                <w:color w:val="auto"/>
              </w:rPr>
              <w:t>income</w:t>
            </w:r>
          </w:p>
        </w:tc>
        <w:tc>
          <w:tcPr>
            <w:tcW w:w="14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20" w:type="dxa"/>
            <w:vAlign w:val="bottom"/>
            <w:gridSpan w:val="3"/>
            <w:vMerge w:val="restart"/>
          </w:tcPr>
          <w:p>
            <w:pPr>
              <w:jc w:val="center"/>
              <w:spacing w:after="0"/>
              <w:rPr>
                <w:sz w:val="20"/>
                <w:szCs w:val="20"/>
                <w:color w:val="auto"/>
              </w:rPr>
            </w:pPr>
            <w:r>
              <w:rPr>
                <w:rFonts w:ascii="Arial" w:cs="Arial" w:eastAsia="Arial" w:hAnsi="Arial"/>
                <w:sz w:val="18"/>
                <w:szCs w:val="18"/>
                <w:b w:val="1"/>
                <w:bCs w:val="1"/>
                <w:color w:val="auto"/>
                <w:w w:val="88"/>
              </w:rPr>
              <w:t>Total securities and</w:t>
            </w:r>
          </w:p>
        </w:tc>
        <w:tc>
          <w:tcPr>
            <w:tcW w:w="0" w:type="dxa"/>
            <w:vAlign w:val="bottom"/>
          </w:tcPr>
          <w:p>
            <w:pPr>
              <w:spacing w:after="0"/>
              <w:rPr>
                <w:sz w:val="1"/>
                <w:szCs w:val="1"/>
                <w:color w:val="auto"/>
              </w:rPr>
            </w:pPr>
          </w:p>
        </w:tc>
      </w:tr>
      <w:tr>
        <w:trPr>
          <w:trHeight w:val="178"/>
        </w:trPr>
        <w:tc>
          <w:tcPr>
            <w:tcW w:w="14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46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4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820" w:type="dxa"/>
            <w:vAlign w:val="bottom"/>
            <w:gridSpan w:val="3"/>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14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6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Recyclable to</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5"/>
              </w:rPr>
              <w:t>Non-recyclable to</w:t>
            </w:r>
          </w:p>
        </w:tc>
        <w:tc>
          <w:tcPr>
            <w:tcW w:w="168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9"/>
              </w:rPr>
              <w:t>With changes in</w:t>
            </w:r>
          </w:p>
        </w:tc>
        <w:tc>
          <w:tcPr>
            <w:tcW w:w="18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8"/>
              </w:rPr>
              <w:t>other</w:t>
            </w:r>
          </w:p>
        </w:tc>
        <w:tc>
          <w:tcPr>
            <w:tcW w:w="0" w:type="dxa"/>
            <w:vAlign w:val="bottom"/>
          </w:tcPr>
          <w:p>
            <w:pPr>
              <w:spacing w:after="0"/>
              <w:rPr>
                <w:sz w:val="1"/>
                <w:szCs w:val="1"/>
                <w:color w:val="auto"/>
              </w:rPr>
            </w:pPr>
          </w:p>
        </w:tc>
      </w:tr>
      <w:tr>
        <w:trPr>
          <w:trHeight w:val="234"/>
        </w:trPr>
        <w:tc>
          <w:tcPr>
            <w:tcW w:w="164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Amortized cost</w:t>
            </w:r>
          </w:p>
        </w:tc>
        <w:tc>
          <w:tcPr>
            <w:tcW w:w="16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profit ans loss</w:t>
            </w:r>
          </w:p>
        </w:tc>
        <w:tc>
          <w:tcPr>
            <w:tcW w:w="16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profit and loss</w:t>
            </w:r>
          </w:p>
        </w:tc>
        <w:tc>
          <w:tcPr>
            <w:tcW w:w="168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profit or loss</w:t>
            </w:r>
          </w:p>
        </w:tc>
        <w:tc>
          <w:tcPr>
            <w:tcW w:w="1820" w:type="dxa"/>
            <w:vAlign w:val="bottom"/>
            <w:gridSpan w:val="3"/>
          </w:tcPr>
          <w:p>
            <w:pPr>
              <w:jc w:val="center"/>
              <w:spacing w:after="0"/>
              <w:rPr>
                <w:sz w:val="20"/>
                <w:szCs w:val="20"/>
                <w:color w:val="auto"/>
              </w:rPr>
            </w:pPr>
            <w:r>
              <w:rPr>
                <w:rFonts w:ascii="Arial" w:cs="Arial" w:eastAsia="Arial" w:hAnsi="Arial"/>
                <w:sz w:val="18"/>
                <w:szCs w:val="18"/>
                <w:b w:val="1"/>
                <w:bCs w:val="1"/>
                <w:color w:val="auto"/>
                <w:w w:val="86"/>
              </w:rPr>
              <w:t>financial assets, net</w:t>
            </w:r>
          </w:p>
        </w:tc>
        <w:tc>
          <w:tcPr>
            <w:tcW w:w="0" w:type="dxa"/>
            <w:vAlign w:val="bottom"/>
          </w:tcPr>
          <w:p>
            <w:pPr>
              <w:spacing w:after="0"/>
              <w:rPr>
                <w:sz w:val="1"/>
                <w:szCs w:val="1"/>
                <w:color w:val="auto"/>
              </w:rPr>
            </w:pPr>
          </w:p>
        </w:tc>
      </w:tr>
      <w:tr>
        <w:trPr>
          <w:trHeight w:val="224"/>
        </w:trPr>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28,295</w:t>
            </w:r>
          </w:p>
        </w:tc>
        <w:tc>
          <w:tcPr>
            <w:tcW w:w="200" w:type="dxa"/>
            <w:vAlign w:val="bottom"/>
          </w:tcPr>
          <w:p>
            <w:pPr>
              <w:spacing w:after="0"/>
              <w:rPr>
                <w:sz w:val="19"/>
                <w:szCs w:val="19"/>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1,889</w:t>
            </w:r>
          </w:p>
        </w:tc>
        <w:tc>
          <w:tcPr>
            <w:tcW w:w="2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7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30,184</w:t>
            </w:r>
          </w:p>
        </w:tc>
        <w:tc>
          <w:tcPr>
            <w:tcW w:w="40" w:type="dxa"/>
            <w:vAlign w:val="bottom"/>
            <w:gridSpan w:val="2"/>
          </w:tcPr>
          <w:p>
            <w:pPr>
              <w:spacing w:after="0"/>
              <w:rPr>
                <w:sz w:val="19"/>
                <w:szCs w:val="19"/>
                <w:color w:val="auto"/>
              </w:rPr>
            </w:pPr>
          </w:p>
        </w:tc>
        <w:tc>
          <w:tcPr>
            <w:tcW w:w="0" w:type="dxa"/>
            <w:vAlign w:val="bottom"/>
          </w:tcPr>
          <w:p>
            <w:pPr>
              <w:spacing w:after="0"/>
              <w:rPr>
                <w:sz w:val="1"/>
                <w:szCs w:val="1"/>
                <w:color w:val="auto"/>
              </w:rPr>
            </w:pPr>
          </w:p>
        </w:tc>
      </w:tr>
      <w:tr>
        <w:trPr>
          <w:trHeight w:val="418"/>
        </w:trPr>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46,252</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5,094</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820" w:type="dxa"/>
            <w:vAlign w:val="bottom"/>
            <w:gridSpan w:val="3"/>
          </w:tcPr>
          <w:p>
            <w:pPr>
              <w:jc w:val="right"/>
              <w:ind w:right="40"/>
              <w:spacing w:after="0"/>
              <w:rPr>
                <w:sz w:val="20"/>
                <w:szCs w:val="20"/>
                <w:color w:val="auto"/>
              </w:rPr>
            </w:pPr>
            <w:r>
              <w:rPr>
                <w:rFonts w:ascii="Arial" w:cs="Arial" w:eastAsia="Arial" w:hAnsi="Arial"/>
                <w:sz w:val="18"/>
                <w:szCs w:val="18"/>
                <w:color w:val="auto"/>
              </w:rPr>
              <w:t>51,346</w:t>
            </w:r>
          </w:p>
        </w:tc>
        <w:tc>
          <w:tcPr>
            <w:tcW w:w="0" w:type="dxa"/>
            <w:vAlign w:val="bottom"/>
          </w:tcPr>
          <w:p>
            <w:pPr>
              <w:spacing w:after="0"/>
              <w:rPr>
                <w:sz w:val="1"/>
                <w:szCs w:val="1"/>
                <w:color w:val="auto"/>
              </w:rPr>
            </w:pPr>
          </w:p>
        </w:tc>
      </w:tr>
      <w:tr>
        <w:trPr>
          <w:trHeight w:val="431"/>
        </w:trPr>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6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00"/>
              <w:spacing w:after="0"/>
              <w:rPr>
                <w:sz w:val="20"/>
                <w:szCs w:val="20"/>
                <w:color w:val="auto"/>
              </w:rPr>
            </w:pPr>
            <w:r>
              <w:rPr>
                <w:rFonts w:ascii="Arial" w:cs="Arial" w:eastAsia="Arial" w:hAnsi="Arial"/>
                <w:sz w:val="18"/>
                <w:szCs w:val="18"/>
                <w:color w:val="auto"/>
              </w:rPr>
              <w:t>6,492</w:t>
            </w:r>
          </w:p>
        </w:tc>
        <w:tc>
          <w:tcPr>
            <w:tcW w:w="1800" w:type="dxa"/>
            <w:vAlign w:val="bottom"/>
            <w:gridSpan w:val="2"/>
          </w:tcPr>
          <w:p>
            <w:pPr>
              <w:jc w:val="right"/>
              <w:ind w:right="20"/>
              <w:spacing w:after="0"/>
              <w:rPr>
                <w:sz w:val="20"/>
                <w:szCs w:val="20"/>
                <w:color w:val="auto"/>
              </w:rPr>
            </w:pPr>
            <w:r>
              <w:rPr>
                <w:rFonts w:ascii="Arial" w:cs="Arial" w:eastAsia="Arial" w:hAnsi="Arial"/>
                <w:sz w:val="18"/>
                <w:szCs w:val="18"/>
                <w:color w:val="auto"/>
              </w:rPr>
              <w:t>6,492</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74,547</w:t>
            </w:r>
          </w:p>
        </w:tc>
        <w:tc>
          <w:tcPr>
            <w:tcW w:w="20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5,094</w:t>
            </w:r>
          </w:p>
        </w:tc>
        <w:tc>
          <w:tcPr>
            <w:tcW w:w="20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1,889</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6,492</w:t>
            </w:r>
          </w:p>
        </w:tc>
        <w:tc>
          <w:tcPr>
            <w:tcW w:w="200" w:type="dxa"/>
            <w:vAlign w:val="bottom"/>
          </w:tcPr>
          <w:p>
            <w:pPr>
              <w:spacing w:after="0"/>
              <w:rPr>
                <w:sz w:val="19"/>
                <w:szCs w:val="19"/>
                <w:color w:val="auto"/>
              </w:rPr>
            </w:pPr>
          </w:p>
        </w:tc>
        <w:tc>
          <w:tcPr>
            <w:tcW w:w="18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88,022</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-1290955</wp:posOffset>
            </wp:positionH>
            <wp:positionV relativeFrom="paragraph">
              <wp:posOffset>-1019175</wp:posOffset>
            </wp:positionV>
            <wp:extent cx="6703695" cy="145415"/>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0">
                      <a:extLst>
                        <a:ext uri="{28A0092B-C50C-407E-A947-70E740481C1C}"/>
                      </a:extLst>
                    </a:blip>
                    <a:srcRect/>
                    <a:stretch>
                      <a:fillRect/>
                    </a:stretch>
                  </pic:blipFill>
                  <pic:spPr bwMode="auto">
                    <a:xfrm>
                      <a:off x="0" y="0"/>
                      <a:ext cx="6703695" cy="145415"/>
                    </a:xfrm>
                    <a:prstGeom prst="rect">
                      <a:avLst/>
                    </a:prstGeom>
                    <a:noFill/>
                  </pic:spPr>
                </pic:pic>
              </a:graphicData>
            </a:graphic>
          </wp:anchor>
        </w:drawing>
        <w:drawing>
          <wp:anchor simplePos="0" relativeHeight="251657728" behindDoc="1" locked="0" layoutInCell="0" allowOverlap="1">
            <wp:simplePos x="0" y="0"/>
            <wp:positionH relativeFrom="column">
              <wp:posOffset>-1290955</wp:posOffset>
            </wp:positionH>
            <wp:positionV relativeFrom="paragraph">
              <wp:posOffset>-599440</wp:posOffset>
            </wp:positionV>
            <wp:extent cx="6703695" cy="27432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1">
                      <a:extLst>
                        <a:ext uri="{28A0092B-C50C-407E-A947-70E740481C1C}"/>
                      </a:extLst>
                    </a:blip>
                    <a:srcRect/>
                    <a:stretch>
                      <a:fillRect/>
                    </a:stretch>
                  </pic:blipFill>
                  <pic:spPr bwMode="auto">
                    <a:xfrm>
                      <a:off x="0" y="0"/>
                      <a:ext cx="6703695" cy="274320"/>
                    </a:xfrm>
                    <a:prstGeom prst="rect">
                      <a:avLst/>
                    </a:prstGeom>
                    <a:noFill/>
                  </pic:spPr>
                </pic:pic>
              </a:graphicData>
            </a:graphic>
          </wp:anchor>
        </w:drawing>
        <w:drawing>
          <wp:anchor simplePos="0" relativeHeight="251657728" behindDoc="1" locked="0" layoutInCell="0" allowOverlap="1">
            <wp:simplePos x="0" y="0"/>
            <wp:positionH relativeFrom="column">
              <wp:posOffset>-1290955</wp:posOffset>
            </wp:positionH>
            <wp:positionV relativeFrom="paragraph">
              <wp:posOffset>-179070</wp:posOffset>
            </wp:positionV>
            <wp:extent cx="6703695" cy="16319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2">
                      <a:extLst>
                        <a:ext uri="{28A0092B-C50C-407E-A947-70E740481C1C}"/>
                      </a:extLst>
                    </a:blip>
                    <a:srcRect/>
                    <a:stretch>
                      <a:fillRect/>
                    </a:stretch>
                  </pic:blipFill>
                  <pic:spPr bwMode="auto">
                    <a:xfrm>
                      <a:off x="0" y="0"/>
                      <a:ext cx="6703695"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160" w:space="260"/>
            <w:col w:w="8520"/>
          </w:cols>
          <w:pgMar w:left="320" w:top="688" w:right="6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securities pledged to secure repurchase transactions accounted for as secured pledged:</w:t>
      </w:r>
    </w:p>
    <w:p>
      <w:pPr>
        <w:spacing w:after="0" w:line="235" w:lineRule="exact"/>
        <w:rPr>
          <w:sz w:val="20"/>
          <w:szCs w:val="20"/>
          <w:color w:val="auto"/>
        </w:rPr>
      </w:pPr>
    </w:p>
    <w:tbl>
      <w:tblPr>
        <w:tblLayout w:type="fixed"/>
        <w:tblInd w:w="380" w:type="dxa"/>
        <w:tblCellMar>
          <w:top w:w="0" w:type="dxa"/>
          <w:left w:w="0" w:type="dxa"/>
          <w:bottom w:w="0" w:type="dxa"/>
          <w:right w:w="0" w:type="dxa"/>
        </w:tblCellMar>
      </w:tblPr>
      <w:tr>
        <w:trPr>
          <w:trHeight w:val="234"/>
        </w:trPr>
        <w:tc>
          <w:tcPr>
            <w:tcW w:w="26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8"/>
                <w:szCs w:val="18"/>
                <w:b w:val="1"/>
                <w:bCs w:val="1"/>
                <w:color w:val="auto"/>
                <w:w w:val="90"/>
              </w:rPr>
              <w:t>December 31, 2020</w:t>
            </w:r>
          </w:p>
        </w:tc>
        <w:tc>
          <w:tcPr>
            <w:tcW w:w="112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w w:val="90"/>
              </w:rPr>
              <w:t>December 31, 2019</w:t>
            </w: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2620" w:type="dxa"/>
            <w:vAlign w:val="bottom"/>
          </w:tcPr>
          <w:p>
            <w:pPr>
              <w:spacing w:after="0"/>
              <w:rPr>
                <w:sz w:val="17"/>
                <w:szCs w:val="17"/>
                <w:color w:val="auto"/>
              </w:rPr>
            </w:pPr>
          </w:p>
        </w:tc>
        <w:tc>
          <w:tcPr>
            <w:tcW w:w="1300" w:type="dxa"/>
            <w:vAlign w:val="bottom"/>
            <w:gridSpan w:val="2"/>
          </w:tcPr>
          <w:p>
            <w:pPr>
              <w:jc w:val="right"/>
              <w:ind w:right="250"/>
              <w:spacing w:after="0" w:line="205" w:lineRule="exact"/>
              <w:rPr>
                <w:sz w:val="20"/>
                <w:szCs w:val="20"/>
                <w:color w:val="auto"/>
              </w:rPr>
            </w:pPr>
            <w:r>
              <w:rPr>
                <w:rFonts w:ascii="Arial" w:cs="Arial" w:eastAsia="Arial" w:hAnsi="Arial"/>
                <w:sz w:val="18"/>
                <w:szCs w:val="18"/>
                <w:b w:val="1"/>
                <w:bCs w:val="1"/>
                <w:color w:val="auto"/>
              </w:rPr>
              <w:t>Amortized</w:t>
            </w: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gridSpan w:val="2"/>
          </w:tcPr>
          <w:p>
            <w:pPr>
              <w:jc w:val="right"/>
              <w:ind w:right="220"/>
              <w:spacing w:after="0" w:line="205" w:lineRule="exact"/>
              <w:rPr>
                <w:sz w:val="20"/>
                <w:szCs w:val="20"/>
                <w:color w:val="auto"/>
              </w:rPr>
            </w:pPr>
            <w:r>
              <w:rPr>
                <w:rFonts w:ascii="Arial" w:cs="Arial" w:eastAsia="Arial" w:hAnsi="Arial"/>
                <w:sz w:val="18"/>
                <w:szCs w:val="18"/>
                <w:b w:val="1"/>
                <w:bCs w:val="1"/>
                <w:color w:val="auto"/>
              </w:rPr>
              <w:t>Amortized</w:t>
            </w: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620" w:type="dxa"/>
            <w:vAlign w:val="bottom"/>
          </w:tcPr>
          <w:p>
            <w:pPr>
              <w:spacing w:after="0"/>
              <w:rPr>
                <w:sz w:val="20"/>
                <w:szCs w:val="20"/>
                <w:color w:val="auto"/>
              </w:rPr>
            </w:pPr>
          </w:p>
        </w:tc>
        <w:tc>
          <w:tcPr>
            <w:tcW w:w="1300" w:type="dxa"/>
            <w:vAlign w:val="bottom"/>
            <w:gridSpan w:val="2"/>
          </w:tcPr>
          <w:p>
            <w:pPr>
              <w:jc w:val="right"/>
              <w:ind w:right="510"/>
              <w:spacing w:after="0"/>
              <w:rPr>
                <w:sz w:val="20"/>
                <w:szCs w:val="20"/>
                <w:color w:val="auto"/>
              </w:rPr>
            </w:pPr>
            <w:r>
              <w:rPr>
                <w:rFonts w:ascii="Arial" w:cs="Arial" w:eastAsia="Arial" w:hAnsi="Arial"/>
                <w:sz w:val="18"/>
                <w:szCs w:val="18"/>
                <w:b w:val="1"/>
                <w:bCs w:val="1"/>
                <w:color w:val="auto"/>
              </w:rPr>
              <w:t>cost</w:t>
            </w:r>
          </w:p>
        </w:tc>
        <w:tc>
          <w:tcPr>
            <w:tcW w:w="13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Fair value</w:t>
            </w:r>
          </w:p>
        </w:tc>
        <w:tc>
          <w:tcPr>
            <w:tcW w:w="132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12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cost</w:t>
            </w:r>
          </w:p>
        </w:tc>
        <w:tc>
          <w:tcPr>
            <w:tcW w:w="120" w:type="dxa"/>
            <w:vAlign w:val="bottom"/>
          </w:tcPr>
          <w:p>
            <w:pPr>
              <w:spacing w:after="0"/>
              <w:rPr>
                <w:sz w:val="20"/>
                <w:szCs w:val="20"/>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Fair value</w:t>
            </w:r>
          </w:p>
        </w:tc>
        <w:tc>
          <w:tcPr>
            <w:tcW w:w="128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82"/>
        </w:trPr>
        <w:tc>
          <w:tcPr>
            <w:tcW w:w="26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Securities pledged to secure</w:t>
            </w:r>
          </w:p>
        </w:tc>
        <w:tc>
          <w:tcPr>
            <w:tcW w:w="11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2620" w:type="dxa"/>
            <w:vAlign w:val="bottom"/>
            <w:shd w:val="clear" w:color="auto" w:fill="CCEEFF"/>
          </w:tcPr>
          <w:p>
            <w:pPr>
              <w:spacing w:after="0"/>
              <w:rPr>
                <w:sz w:val="20"/>
                <w:szCs w:val="20"/>
                <w:color w:val="auto"/>
              </w:rPr>
            </w:pPr>
            <w:r>
              <w:rPr>
                <w:rFonts w:ascii="Arial" w:cs="Arial" w:eastAsia="Arial" w:hAnsi="Arial"/>
                <w:sz w:val="18"/>
                <w:szCs w:val="18"/>
                <w:color w:val="auto"/>
              </w:rPr>
              <w:t>repurchase transactions</w:t>
            </w:r>
          </w:p>
        </w:tc>
        <w:tc>
          <w:tcPr>
            <w:tcW w:w="13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11,998</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11,998</w:t>
            </w:r>
          </w:p>
        </w:tc>
        <w:tc>
          <w:tcPr>
            <w:tcW w:w="12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36,843</w:t>
            </w:r>
          </w:p>
        </w:tc>
        <w:tc>
          <w:tcPr>
            <w:tcW w:w="15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5,094</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41,937</w:t>
            </w:r>
          </w:p>
        </w:tc>
        <w:tc>
          <w:tcPr>
            <w:tcW w:w="0" w:type="dxa"/>
            <w:vAlign w:val="bottom"/>
          </w:tcPr>
          <w:p>
            <w:pPr>
              <w:spacing w:after="0"/>
              <w:rPr>
                <w:sz w:val="1"/>
                <w:szCs w:val="1"/>
                <w:color w:val="auto"/>
              </w:rPr>
            </w:pPr>
          </w:p>
        </w:tc>
      </w:tr>
      <w:tr>
        <w:trPr>
          <w:trHeight w:val="20"/>
        </w:trPr>
        <w:tc>
          <w:tcPr>
            <w:tcW w:w="26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w w:val="98"/>
              </w:rPr>
              <w:t>Securities sold under repurchase</w:t>
            </w: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620" w:type="dxa"/>
            <w:vAlign w:val="bottom"/>
            <w:vMerge w:val="continue"/>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620" w:type="dxa"/>
            <w:vAlign w:val="bottom"/>
            <w:shd w:val="clear" w:color="auto" w:fill="CCEEFF"/>
          </w:tcPr>
          <w:p>
            <w:pPr>
              <w:spacing w:after="0"/>
              <w:rPr>
                <w:sz w:val="20"/>
                <w:szCs w:val="20"/>
                <w:color w:val="auto"/>
              </w:rPr>
            </w:pPr>
            <w:r>
              <w:rPr>
                <w:rFonts w:ascii="Arial" w:cs="Arial" w:eastAsia="Arial" w:hAnsi="Arial"/>
                <w:sz w:val="18"/>
                <w:szCs w:val="18"/>
                <w:color w:val="auto"/>
              </w:rPr>
              <w:t>agreements</w:t>
            </w:r>
          </w:p>
        </w:tc>
        <w:tc>
          <w:tcPr>
            <w:tcW w:w="13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(10,663)</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(10,663)</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(35,647)</w:t>
            </w:r>
          </w:p>
        </w:tc>
        <w:tc>
          <w:tcPr>
            <w:tcW w:w="15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(4,883)</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(40,530)</w:t>
            </w:r>
          </w:p>
        </w:tc>
        <w:tc>
          <w:tcPr>
            <w:tcW w:w="0" w:type="dxa"/>
            <w:vAlign w:val="bottom"/>
          </w:tcPr>
          <w:p>
            <w:pPr>
              <w:spacing w:after="0"/>
              <w:rPr>
                <w:sz w:val="1"/>
                <w:szCs w:val="1"/>
                <w:color w:val="auto"/>
              </w:rPr>
            </w:pPr>
          </w:p>
        </w:tc>
      </w:tr>
      <w:tr>
        <w:trPr>
          <w:trHeight w:val="20"/>
        </w:trPr>
        <w:tc>
          <w:tcPr>
            <w:tcW w:w="26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or losses on sale of securities at fair value through other comprehensive income:</w:t>
      </w:r>
    </w:p>
    <w:p>
      <w:pPr>
        <w:spacing w:after="0" w:line="235" w:lineRule="exact"/>
        <w:rPr>
          <w:sz w:val="20"/>
          <w:szCs w:val="20"/>
          <w:color w:val="auto"/>
        </w:rPr>
      </w:pPr>
    </w:p>
    <w:p>
      <w:pPr>
        <w:ind w:left="7480"/>
        <w:spacing w:after="0"/>
        <w:rPr>
          <w:sz w:val="20"/>
          <w:szCs w:val="20"/>
          <w:color w:val="auto"/>
        </w:rPr>
      </w:pPr>
      <w:r>
        <w:rPr>
          <w:rFonts w:ascii="Arial" w:cs="Arial" w:eastAsia="Arial" w:hAnsi="Arial"/>
          <w:sz w:val="18"/>
          <w:szCs w:val="18"/>
          <w:b w:val="1"/>
          <w:bCs w:val="1"/>
          <w:color w:val="auto"/>
        </w:rPr>
        <w:t>Year ended December 31</w:t>
      </w:r>
    </w:p>
    <w:p>
      <w:pPr>
        <w:spacing w:after="0" w:line="27" w:lineRule="exact"/>
        <w:rPr>
          <w:sz w:val="20"/>
          <w:szCs w:val="20"/>
          <w:color w:val="auto"/>
        </w:rPr>
      </w:pPr>
    </w:p>
    <w:tbl>
      <w:tblPr>
        <w:tblLayout w:type="fixed"/>
        <w:tblInd w:w="1140" w:type="dxa"/>
        <w:tblCellMar>
          <w:top w:w="0" w:type="dxa"/>
          <w:left w:w="0" w:type="dxa"/>
          <w:bottom w:w="0" w:type="dxa"/>
          <w:right w:w="0" w:type="dxa"/>
        </w:tblCellMar>
      </w:tblPr>
      <w:tr>
        <w:trPr>
          <w:trHeight w:val="223"/>
        </w:trPr>
        <w:tc>
          <w:tcPr>
            <w:tcW w:w="5740" w:type="dxa"/>
            <w:vAlign w:val="bottom"/>
            <w:tcBorders>
              <w:bottom w:val="single" w:sz="8" w:color="CCEEFF"/>
            </w:tcBorders>
          </w:tcPr>
          <w:p>
            <w:pPr>
              <w:spacing w:after="0"/>
              <w:rPr>
                <w:sz w:val="19"/>
                <w:szCs w:val="19"/>
                <w:color w:val="auto"/>
              </w:rPr>
            </w:pPr>
          </w:p>
        </w:tc>
        <w:tc>
          <w:tcPr>
            <w:tcW w:w="1040" w:type="dxa"/>
            <w:vAlign w:val="bottom"/>
            <w:tcBorders>
              <w:top w:val="single" w:sz="8" w:color="auto"/>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2019</w:t>
            </w:r>
          </w:p>
        </w:tc>
        <w:tc>
          <w:tcPr>
            <w:tcW w:w="4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50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09"/>
        </w:trPr>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1040" w:type="dxa"/>
            <w:vAlign w:val="bottom"/>
            <w:shd w:val="clear" w:color="auto" w:fill="CCEEFF"/>
          </w:tcPr>
          <w:p>
            <w:pPr>
              <w:spacing w:after="0"/>
              <w:rPr>
                <w:sz w:val="18"/>
                <w:szCs w:val="18"/>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266</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w:t>
            </w:r>
          </w:p>
        </w:tc>
        <w:tc>
          <w:tcPr>
            <w:tcW w:w="100" w:type="dxa"/>
            <w:vAlign w:val="bottom"/>
            <w:shd w:val="clear" w:color="auto" w:fill="CCEEFF"/>
          </w:tcPr>
          <w:p>
            <w:pPr>
              <w:spacing w:after="0"/>
              <w:rPr>
                <w:sz w:val="18"/>
                <w:szCs w:val="18"/>
                <w:color w:val="auto"/>
              </w:rPr>
            </w:pPr>
          </w:p>
        </w:tc>
      </w:tr>
      <w:tr>
        <w:trPr>
          <w:trHeight w:val="230"/>
        </w:trPr>
        <w:tc>
          <w:tcPr>
            <w:tcW w:w="6780" w:type="dxa"/>
            <w:vAlign w:val="bottom"/>
            <w:gridSpan w:val="2"/>
          </w:tcPr>
          <w:p>
            <w:pPr>
              <w:spacing w:after="0"/>
              <w:rPr>
                <w:sz w:val="20"/>
                <w:szCs w:val="20"/>
                <w:color w:val="auto"/>
              </w:rPr>
            </w:pPr>
            <w:r>
              <w:rPr>
                <w:rFonts w:ascii="Arial" w:cs="Arial" w:eastAsia="Arial" w:hAnsi="Arial"/>
                <w:sz w:val="18"/>
                <w:szCs w:val="18"/>
                <w:color w:val="auto"/>
              </w:rPr>
              <w:t>Realized loss on sale of securities</w:t>
            </w:r>
          </w:p>
        </w:tc>
        <w:tc>
          <w:tcPr>
            <w:tcW w:w="600" w:type="dxa"/>
            <w:vAlign w:val="bottom"/>
            <w:gridSpan w:val="2"/>
          </w:tcPr>
          <w:p>
            <w:pPr>
              <w:jc w:val="right"/>
              <w:ind w:right="140"/>
              <w:spacing w:after="0"/>
              <w:rPr>
                <w:sz w:val="20"/>
                <w:szCs w:val="20"/>
                <w:color w:val="auto"/>
              </w:rPr>
            </w:pPr>
            <w:r>
              <w:rPr>
                <w:rFonts w:ascii="Arial" w:cs="Arial" w:eastAsia="Arial" w:hAnsi="Arial"/>
                <w:sz w:val="18"/>
                <w:szCs w:val="18"/>
                <w:color w:val="auto"/>
              </w:rPr>
              <w:t>(80)</w:t>
            </w:r>
          </w:p>
        </w:tc>
        <w:tc>
          <w:tcPr>
            <w:tcW w:w="150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r>
      <w:tr>
        <w:trPr>
          <w:trHeight w:val="223"/>
        </w:trPr>
        <w:tc>
          <w:tcPr>
            <w:tcW w:w="5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1040" w:type="dxa"/>
            <w:vAlign w:val="bottom"/>
            <w:tcBorders>
              <w:top w:val="single" w:sz="8" w:color="auto"/>
              <w:bottom w:val="single" w:sz="8" w:color="auto"/>
            </w:tcBorders>
            <w:shd w:val="clear" w:color="auto" w:fill="CCEEFF"/>
          </w:tcPr>
          <w:p>
            <w:pPr>
              <w:spacing w:after="0"/>
              <w:rPr>
                <w:sz w:val="19"/>
                <w:szCs w:val="19"/>
                <w:color w:val="auto"/>
              </w:rPr>
            </w:pPr>
          </w:p>
        </w:tc>
        <w:tc>
          <w:tcPr>
            <w:tcW w:w="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7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For 2020, there were no sales of securities at fair value through other comprehensive income, with changes recyclable in profit or loss.</w:t>
      </w:r>
    </w:p>
    <w:p>
      <w:pPr>
        <w:spacing w:after="0" w:line="237" w:lineRule="exact"/>
        <w:rPr>
          <w:sz w:val="20"/>
          <w:szCs w:val="20"/>
          <w:color w:val="auto"/>
        </w:rPr>
      </w:pPr>
    </w:p>
    <w:p>
      <w:pPr>
        <w:jc w:val="center"/>
        <w:ind w:right="-319"/>
        <w:spacing w:after="0"/>
        <w:rPr>
          <w:sz w:val="20"/>
          <w:szCs w:val="20"/>
          <w:color w:val="auto"/>
        </w:rPr>
      </w:pPr>
      <w:r>
        <w:rPr>
          <w:rFonts w:ascii="Arial" w:cs="Arial" w:eastAsia="Arial" w:hAnsi="Arial"/>
          <w:sz w:val="18"/>
          <w:szCs w:val="18"/>
          <w:color w:val="auto"/>
        </w:rPr>
        <w:t>F-80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940"/>
          </w:cols>
          <w:pgMar w:left="320" w:top="688" w:right="639" w:bottom="1440" w:gutter="0" w:footer="0" w:header="0"/>
          <w:type w:val="continuous"/>
        </w:sectPr>
      </w:pPr>
    </w:p>
    <w:bookmarkStart w:id="216" w:name="page217"/>
    <w:bookmarkEnd w:id="2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45"/>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loan portfolio according to its classification and subsequent measurement:</w:t>
      </w:r>
    </w:p>
    <w:p>
      <w:pPr>
        <w:spacing w:after="0" w:line="221" w:lineRule="exact"/>
        <w:rPr>
          <w:sz w:val="20"/>
          <w:szCs w:val="20"/>
          <w:color w:val="auto"/>
        </w:rPr>
      </w:pPr>
    </w:p>
    <w:tbl>
      <w:tblPr>
        <w:tblLayout w:type="fixed"/>
        <w:tblInd w:w="380" w:type="dxa"/>
        <w:tblCellMar>
          <w:top w:w="0" w:type="dxa"/>
          <w:left w:w="0" w:type="dxa"/>
          <w:bottom w:w="0" w:type="dxa"/>
          <w:right w:w="0" w:type="dxa"/>
        </w:tblCellMar>
      </w:tblPr>
      <w:tr>
        <w:trPr>
          <w:trHeight w:val="230"/>
        </w:trPr>
        <w:tc>
          <w:tcPr>
            <w:tcW w:w="7340" w:type="dxa"/>
            <w:vAlign w:val="bottom"/>
          </w:tcPr>
          <w:p>
            <w:pPr>
              <w:spacing w:after="0"/>
              <w:rPr>
                <w:sz w:val="19"/>
                <w:szCs w:val="19"/>
                <w:color w:val="auto"/>
              </w:rPr>
            </w:pPr>
          </w:p>
        </w:tc>
        <w:tc>
          <w:tcPr>
            <w:tcW w:w="16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3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8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5,892,997</w:t>
            </w:r>
          </w:p>
        </w:tc>
        <w:tc>
          <w:tcPr>
            <w:tcW w:w="100" w:type="dxa"/>
            <w:vAlign w:val="bottom"/>
            <w:shd w:val="clear" w:color="auto" w:fill="CCEEFF"/>
          </w:tcPr>
          <w:p>
            <w:pPr>
              <w:spacing w:after="0"/>
              <w:rPr>
                <w:sz w:val="18"/>
                <w:szCs w:val="18"/>
                <w:color w:val="auto"/>
              </w:rPr>
            </w:pPr>
          </w:p>
        </w:tc>
      </w:tr>
      <w:tr>
        <w:trPr>
          <w:trHeight w:val="216"/>
        </w:trPr>
        <w:tc>
          <w:tcPr>
            <w:tcW w:w="7340" w:type="dxa"/>
            <w:vAlign w:val="bottom"/>
          </w:tcPr>
          <w:p>
            <w:pPr>
              <w:spacing w:after="0"/>
              <w:rPr>
                <w:sz w:val="20"/>
                <w:szCs w:val="20"/>
                <w:color w:val="auto"/>
              </w:rPr>
            </w:pPr>
            <w:r>
              <w:rPr>
                <w:rFonts w:ascii="Arial" w:cs="Arial" w:eastAsia="Arial" w:hAnsi="Arial"/>
                <w:sz w:val="18"/>
                <w:szCs w:val="18"/>
                <w:color w:val="auto"/>
              </w:rPr>
              <w:t>Interest receivable</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27,350</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41,757</w:t>
            </w:r>
          </w:p>
        </w:tc>
      </w:tr>
      <w:tr>
        <w:trPr>
          <w:trHeight w:val="216"/>
        </w:trPr>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allowances</w:t>
            </w: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(41,165)</w:t>
            </w:r>
          </w:p>
        </w:tc>
        <w:tc>
          <w:tcPr>
            <w:tcW w:w="16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(99,307)</w:t>
            </w:r>
          </w:p>
        </w:tc>
      </w:tr>
      <w:tr>
        <w:trPr>
          <w:trHeight w:val="229"/>
        </w:trPr>
        <w:tc>
          <w:tcPr>
            <w:tcW w:w="7340" w:type="dxa"/>
            <w:vAlign w:val="bottom"/>
          </w:tcPr>
          <w:p>
            <w:pPr>
              <w:spacing w:after="0"/>
              <w:rPr>
                <w:sz w:val="20"/>
                <w:szCs w:val="20"/>
                <w:color w:val="auto"/>
              </w:rPr>
            </w:pPr>
            <w:r>
              <w:rPr>
                <w:rFonts w:ascii="Arial" w:cs="Arial" w:eastAsia="Arial" w:hAnsi="Arial"/>
                <w:sz w:val="18"/>
                <w:szCs w:val="18"/>
                <w:color w:val="auto"/>
              </w:rPr>
              <w:t>Unearned interest and deferred fees</w:t>
            </w:r>
          </w:p>
        </w:tc>
        <w:tc>
          <w:tcPr>
            <w:tcW w:w="1620" w:type="dxa"/>
            <w:vAlign w:val="bottom"/>
            <w:gridSpan w:val="2"/>
          </w:tcPr>
          <w:p>
            <w:pPr>
              <w:jc w:val="right"/>
              <w:ind w:right="120"/>
              <w:spacing w:after="0"/>
              <w:rPr>
                <w:sz w:val="20"/>
                <w:szCs w:val="20"/>
                <w:color w:val="auto"/>
              </w:rPr>
            </w:pPr>
            <w:r>
              <w:rPr>
                <w:rFonts w:ascii="Arial" w:cs="Arial" w:eastAsia="Arial" w:hAnsi="Arial"/>
                <w:sz w:val="18"/>
                <w:szCs w:val="18"/>
                <w:color w:val="auto"/>
              </w:rPr>
              <w:t>(5,884)</w:t>
            </w:r>
          </w:p>
        </w:tc>
        <w:tc>
          <w:tcPr>
            <w:tcW w:w="1600" w:type="dxa"/>
            <w:vAlign w:val="bottom"/>
            <w:gridSpan w:val="2"/>
          </w:tcPr>
          <w:p>
            <w:pPr>
              <w:jc w:val="right"/>
              <w:ind w:right="40"/>
              <w:spacing w:after="0"/>
              <w:rPr>
                <w:sz w:val="20"/>
                <w:szCs w:val="20"/>
                <w:color w:val="auto"/>
              </w:rPr>
            </w:pPr>
            <w:r>
              <w:rPr>
                <w:rFonts w:ascii="Arial" w:cs="Arial" w:eastAsia="Arial" w:hAnsi="Arial"/>
                <w:sz w:val="18"/>
                <w:szCs w:val="18"/>
                <w:color w:val="auto"/>
              </w:rPr>
              <w:t>(12,114)</w:t>
            </w:r>
          </w:p>
        </w:tc>
      </w:tr>
      <w:tr>
        <w:trPr>
          <w:trHeight w:val="209"/>
        </w:trPr>
        <w:tc>
          <w:tcPr>
            <w:tcW w:w="7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Loans at amortized cost, net</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4,891,698</w:t>
            </w: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5,823,333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70"/>
        </w:trPr>
        <w:tc>
          <w:tcPr>
            <w:tcW w:w="7340" w:type="dxa"/>
            <w:vAlign w:val="bottom"/>
          </w:tcPr>
          <w:p>
            <w:pPr>
              <w:spacing w:after="0" w:line="270" w:lineRule="exact"/>
              <w:rPr>
                <w:sz w:val="20"/>
                <w:szCs w:val="20"/>
                <w:color w:val="auto"/>
              </w:rPr>
            </w:pPr>
            <w:r>
              <w:rPr>
                <w:rFonts w:ascii="Arial" w:cs="Arial" w:eastAsia="Arial" w:hAnsi="Arial"/>
                <w:sz w:val="18"/>
                <w:szCs w:val="18"/>
                <w:color w:val="auto"/>
              </w:rPr>
              <w:t xml:space="preserve">Loans at fair value through profit or loss </w:t>
            </w:r>
            <w:r>
              <w:rPr>
                <w:rFonts w:ascii="Arial" w:cs="Arial" w:eastAsia="Arial" w:hAnsi="Arial"/>
                <w:sz w:val="29"/>
                <w:szCs w:val="29"/>
                <w:color w:val="auto"/>
                <w:vertAlign w:val="superscript"/>
              </w:rPr>
              <w:t>(1)</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4,949</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7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Loans, net</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4,896,647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5,823,333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3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58" w:lineRule="exact"/>
        <w:rPr>
          <w:sz w:val="20"/>
          <w:szCs w:val="20"/>
          <w:color w:val="auto"/>
        </w:rPr>
      </w:pPr>
    </w:p>
    <w:p>
      <w:pPr>
        <w:ind w:left="400" w:hanging="9"/>
        <w:spacing w:after="0" w:line="207" w:lineRule="auto"/>
        <w:tabs>
          <w:tab w:leader="none" w:pos="626" w:val="left"/>
        </w:tabs>
        <w:numPr>
          <w:ilvl w:val="0"/>
          <w:numId w:val="246"/>
        </w:numPr>
        <w:rPr>
          <w:rFonts w:ascii="Arial" w:cs="Arial" w:eastAsia="Arial" w:hAnsi="Arial"/>
          <w:sz w:val="28"/>
          <w:szCs w:val="28"/>
          <w:color w:val="auto"/>
          <w:vertAlign w:val="superscript"/>
        </w:rPr>
      </w:pPr>
      <w:r>
        <w:rPr>
          <w:rFonts w:ascii="Arial" w:cs="Arial" w:eastAsia="Arial" w:hAnsi="Arial"/>
          <w:sz w:val="17"/>
          <w:szCs w:val="17"/>
          <w:color w:val="auto"/>
        </w:rPr>
        <w:t>The Bank realized the sale of debt instruments measured at fair value through profit or loss for $5.8 million. As a result, the Bank recognized a loan and classified it at fair value through profit or loss with a carrying amount of $4.9 million as of December 31, 2020.</w:t>
      </w:r>
    </w:p>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380" w:type="dxa"/>
            <w:vAlign w:val="bottom"/>
            <w:gridSpan w:val="2"/>
          </w:tcPr>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4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27"/>
        </w:trPr>
        <w:tc>
          <w:tcPr>
            <w:tcW w:w="40" w:type="dxa"/>
            <w:vAlign w:val="bottom"/>
          </w:tcPr>
          <w:p>
            <w:pPr>
              <w:spacing w:after="0"/>
              <w:rPr>
                <w:sz w:val="24"/>
                <w:szCs w:val="24"/>
                <w:color w:val="auto"/>
              </w:rPr>
            </w:pPr>
          </w:p>
        </w:tc>
        <w:tc>
          <w:tcPr>
            <w:tcW w:w="7340" w:type="dxa"/>
            <w:vAlign w:val="bottom"/>
          </w:tcPr>
          <w:p>
            <w:pPr>
              <w:spacing w:after="0"/>
              <w:rPr>
                <w:sz w:val="24"/>
                <w:szCs w:val="24"/>
                <w:color w:val="auto"/>
              </w:rPr>
            </w:pPr>
          </w:p>
        </w:tc>
        <w:tc>
          <w:tcPr>
            <w:tcW w:w="16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40" w:type="dxa"/>
            <w:vAlign w:val="bottom"/>
          </w:tcPr>
          <w:p>
            <w:pPr>
              <w:spacing w:after="0"/>
              <w:rPr>
                <w:sz w:val="20"/>
                <w:szCs w:val="20"/>
                <w:color w:val="auto"/>
              </w:rPr>
            </w:pPr>
          </w:p>
        </w:tc>
        <w:tc>
          <w:tcPr>
            <w:tcW w:w="73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8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40" w:type="dxa"/>
            <w:vAlign w:val="bottom"/>
          </w:tcPr>
          <w:p>
            <w:pPr>
              <w:spacing w:after="0"/>
              <w:rPr>
                <w:sz w:val="18"/>
                <w:szCs w:val="18"/>
                <w:color w:val="auto"/>
              </w:rPr>
            </w:pPr>
          </w:p>
        </w:tc>
        <w:tc>
          <w:tcPr>
            <w:tcW w:w="734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2,544,544</w:t>
            </w: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2,757,333</w:t>
            </w:r>
          </w:p>
        </w:tc>
        <w:tc>
          <w:tcPr>
            <w:tcW w:w="100" w:type="dxa"/>
            <w:vAlign w:val="bottom"/>
            <w:shd w:val="clear" w:color="auto" w:fill="CCEEFF"/>
          </w:tcPr>
          <w:p>
            <w:pPr>
              <w:spacing w:after="0"/>
              <w:rPr>
                <w:sz w:val="18"/>
                <w:szCs w:val="18"/>
                <w:color w:val="auto"/>
              </w:rPr>
            </w:pPr>
          </w:p>
        </w:tc>
      </w:tr>
      <w:tr>
        <w:trPr>
          <w:trHeight w:val="229"/>
        </w:trPr>
        <w:tc>
          <w:tcPr>
            <w:tcW w:w="40" w:type="dxa"/>
            <w:vAlign w:val="bottom"/>
          </w:tcPr>
          <w:p>
            <w:pPr>
              <w:spacing w:after="0"/>
              <w:rPr>
                <w:sz w:val="19"/>
                <w:szCs w:val="19"/>
                <w:color w:val="auto"/>
              </w:rPr>
            </w:pPr>
          </w:p>
        </w:tc>
        <w:tc>
          <w:tcPr>
            <w:tcW w:w="734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2,317,802</w:t>
            </w:r>
          </w:p>
        </w:tc>
        <w:tc>
          <w:tcPr>
            <w:tcW w:w="1600" w:type="dxa"/>
            <w:vAlign w:val="bottom"/>
            <w:gridSpan w:val="2"/>
          </w:tcPr>
          <w:p>
            <w:pPr>
              <w:jc w:val="right"/>
              <w:ind w:right="100"/>
              <w:spacing w:after="0"/>
              <w:rPr>
                <w:sz w:val="20"/>
                <w:szCs w:val="20"/>
                <w:color w:val="auto"/>
              </w:rPr>
            </w:pPr>
            <w:r>
              <w:rPr>
                <w:rFonts w:ascii="Arial" w:cs="Arial" w:eastAsia="Arial" w:hAnsi="Arial"/>
                <w:sz w:val="18"/>
                <w:szCs w:val="18"/>
                <w:color w:val="auto"/>
              </w:rPr>
              <w:t>3,135,664</w:t>
            </w:r>
          </w:p>
        </w:tc>
      </w:tr>
      <w:tr>
        <w:trPr>
          <w:trHeight w:val="223"/>
        </w:trPr>
        <w:tc>
          <w:tcPr>
            <w:tcW w:w="40" w:type="dxa"/>
            <w:vAlign w:val="bottom"/>
          </w:tcPr>
          <w:p>
            <w:pPr>
              <w:spacing w:after="0"/>
              <w:rPr>
                <w:sz w:val="19"/>
                <w:szCs w:val="19"/>
                <w:color w:val="auto"/>
              </w:rPr>
            </w:pPr>
          </w:p>
        </w:tc>
        <w:tc>
          <w:tcPr>
            <w:tcW w:w="73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4,961,346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 w:type="dxa"/>
            <w:vAlign w:val="bottom"/>
          </w:tcPr>
          <w:p>
            <w:pPr>
              <w:spacing w:after="0" w:line="20" w:lineRule="exact"/>
              <w:rPr>
                <w:sz w:val="1"/>
                <w:szCs w:val="1"/>
                <w:color w:val="auto"/>
              </w:rPr>
            </w:pPr>
          </w:p>
        </w:tc>
        <w:tc>
          <w:tcPr>
            <w:tcW w:w="73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2020, and 2019, 41% and 74% of the loan portfolio at fixed interest rates has remaining maturities of less than 180 days. The range of interest rates on loans fluctuates from 0.43% to --9.70% (December 31, 2019 1.20% to 13.93%).</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620" w:type="dxa"/>
            <w:vAlign w:val="bottom"/>
            <w:gridSpan w:val="2"/>
          </w:tcPr>
          <w:p>
            <w:pPr>
              <w:ind w:left="340"/>
              <w:spacing w:after="0"/>
              <w:rPr>
                <w:sz w:val="20"/>
                <w:szCs w:val="20"/>
                <w:color w:val="auto"/>
              </w:rPr>
            </w:pPr>
            <w:r>
              <w:rPr>
                <w:rFonts w:ascii="Arial" w:cs="Arial" w:eastAsia="Arial" w:hAnsi="Arial"/>
                <w:sz w:val="18"/>
                <w:szCs w:val="18"/>
                <w:color w:val="auto"/>
                <w:w w:val="97"/>
              </w:rPr>
              <w:t>The following table details information relating to loans granted to class A and B shareholders:</w:t>
            </w:r>
          </w:p>
        </w:tc>
        <w:tc>
          <w:tcPr>
            <w:tcW w:w="14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00" w:type="dxa"/>
            <w:vAlign w:val="bottom"/>
          </w:tcPr>
          <w:p>
            <w:pPr>
              <w:spacing w:after="0"/>
              <w:rPr>
                <w:sz w:val="20"/>
                <w:szCs w:val="20"/>
                <w:color w:val="auto"/>
              </w:rPr>
            </w:pPr>
          </w:p>
        </w:tc>
      </w:tr>
      <w:tr>
        <w:trPr>
          <w:trHeight w:val="427"/>
        </w:trPr>
        <w:tc>
          <w:tcPr>
            <w:tcW w:w="380" w:type="dxa"/>
            <w:vAlign w:val="bottom"/>
          </w:tcPr>
          <w:p>
            <w:pPr>
              <w:spacing w:after="0"/>
              <w:rPr>
                <w:sz w:val="24"/>
                <w:szCs w:val="24"/>
                <w:color w:val="auto"/>
              </w:rPr>
            </w:pPr>
          </w:p>
        </w:tc>
        <w:tc>
          <w:tcPr>
            <w:tcW w:w="7240" w:type="dxa"/>
            <w:vAlign w:val="bottom"/>
          </w:tcPr>
          <w:p>
            <w:pPr>
              <w:spacing w:after="0"/>
              <w:rPr>
                <w:sz w:val="24"/>
                <w:szCs w:val="24"/>
                <w:color w:val="auto"/>
              </w:rPr>
            </w:pPr>
          </w:p>
        </w:tc>
        <w:tc>
          <w:tcPr>
            <w:tcW w:w="1680" w:type="dxa"/>
            <w:vAlign w:val="bottom"/>
            <w:gridSpan w:val="2"/>
          </w:tcPr>
          <w:p>
            <w:pPr>
              <w:jc w:val="right"/>
              <w:ind w:right="350"/>
              <w:spacing w:after="0"/>
              <w:rPr>
                <w:sz w:val="20"/>
                <w:szCs w:val="20"/>
                <w:color w:val="auto"/>
              </w:rPr>
            </w:pPr>
            <w:r>
              <w:rPr>
                <w:rFonts w:ascii="Arial" w:cs="Arial" w:eastAsia="Arial" w:hAnsi="Arial"/>
                <w:sz w:val="18"/>
                <w:szCs w:val="18"/>
                <w:b w:val="1"/>
                <w:bCs w:val="1"/>
                <w:color w:val="auto"/>
              </w:rPr>
              <w:t>December 31,</w:t>
            </w:r>
          </w:p>
        </w:tc>
        <w:tc>
          <w:tcPr>
            <w:tcW w:w="1640" w:type="dxa"/>
            <w:vAlign w:val="bottom"/>
            <w:gridSpan w:val="2"/>
          </w:tcPr>
          <w:p>
            <w:pPr>
              <w:jc w:val="right"/>
              <w:ind w:right="290"/>
              <w:spacing w:after="0"/>
              <w:rPr>
                <w:sz w:val="20"/>
                <w:szCs w:val="20"/>
                <w:color w:val="auto"/>
              </w:rPr>
            </w:pPr>
            <w:r>
              <w:rPr>
                <w:rFonts w:ascii="Arial" w:cs="Arial" w:eastAsia="Arial" w:hAnsi="Arial"/>
                <w:sz w:val="18"/>
                <w:szCs w:val="18"/>
                <w:b w:val="1"/>
                <w:bCs w:val="1"/>
                <w:color w:val="auto"/>
              </w:rPr>
              <w:t>December 31,</w:t>
            </w:r>
          </w:p>
        </w:tc>
        <w:tc>
          <w:tcPr>
            <w:tcW w:w="300" w:type="dxa"/>
            <w:vAlign w:val="bottom"/>
          </w:tcPr>
          <w:p>
            <w:pPr>
              <w:spacing w:after="0"/>
              <w:rPr>
                <w:sz w:val="24"/>
                <w:szCs w:val="24"/>
                <w:color w:val="auto"/>
              </w:rPr>
            </w:pPr>
          </w:p>
        </w:tc>
      </w:tr>
      <w:tr>
        <w:trPr>
          <w:trHeight w:val="234"/>
        </w:trPr>
        <w:tc>
          <w:tcPr>
            <w:tcW w:w="380" w:type="dxa"/>
            <w:vAlign w:val="bottom"/>
          </w:tcPr>
          <w:p>
            <w:pPr>
              <w:spacing w:after="0"/>
              <w:rPr>
                <w:sz w:val="20"/>
                <w:szCs w:val="20"/>
                <w:color w:val="auto"/>
              </w:rPr>
            </w:pPr>
          </w:p>
        </w:tc>
        <w:tc>
          <w:tcPr>
            <w:tcW w:w="72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2019</w:t>
            </w:r>
          </w:p>
        </w:tc>
        <w:tc>
          <w:tcPr>
            <w:tcW w:w="180" w:type="dxa"/>
            <w:vAlign w:val="bottom"/>
            <w:tcBorders>
              <w:bottom w:val="single" w:sz="8" w:color="CCEEFF"/>
            </w:tcBorders>
          </w:tcPr>
          <w:p>
            <w:pPr>
              <w:spacing w:after="0"/>
              <w:rPr>
                <w:sz w:val="20"/>
                <w:szCs w:val="20"/>
                <w:color w:val="auto"/>
              </w:rPr>
            </w:pPr>
          </w:p>
        </w:tc>
        <w:tc>
          <w:tcPr>
            <w:tcW w:w="300" w:type="dxa"/>
            <w:vAlign w:val="bottom"/>
          </w:tcPr>
          <w:p>
            <w:pPr>
              <w:spacing w:after="0"/>
              <w:rPr>
                <w:sz w:val="20"/>
                <w:szCs w:val="20"/>
                <w:color w:val="auto"/>
              </w:rPr>
            </w:pPr>
          </w:p>
        </w:tc>
      </w:tr>
      <w:tr>
        <w:trPr>
          <w:trHeight w:val="210"/>
        </w:trPr>
        <w:tc>
          <w:tcPr>
            <w:tcW w:w="380" w:type="dxa"/>
            <w:vAlign w:val="bottom"/>
          </w:tcPr>
          <w:p>
            <w:pPr>
              <w:spacing w:after="0"/>
              <w:rPr>
                <w:sz w:val="18"/>
                <w:szCs w:val="18"/>
                <w:color w:val="auto"/>
              </w:rPr>
            </w:pPr>
          </w:p>
        </w:tc>
        <w:tc>
          <w:tcPr>
            <w:tcW w:w="7240" w:type="dxa"/>
            <w:vAlign w:val="bottom"/>
            <w:shd w:val="clear" w:color="auto" w:fill="CCEEFF"/>
          </w:tcPr>
          <w:p>
            <w:pPr>
              <w:spacing w:after="0"/>
              <w:rPr>
                <w:sz w:val="20"/>
                <w:szCs w:val="20"/>
                <w:color w:val="auto"/>
              </w:rPr>
            </w:pPr>
            <w:r>
              <w:rPr>
                <w:rFonts w:ascii="Arial" w:cs="Arial" w:eastAsia="Arial" w:hAnsi="Arial"/>
                <w:sz w:val="18"/>
                <w:szCs w:val="18"/>
                <w:color w:val="auto"/>
              </w:rPr>
              <w:t>Class A and B shareholder loans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522,316</w:t>
            </w:r>
          </w:p>
        </w:tc>
        <w:tc>
          <w:tcPr>
            <w:tcW w:w="240" w:type="dxa"/>
            <w:vAlign w:val="bottom"/>
            <w:shd w:val="clear" w:color="auto" w:fill="CCEEFF"/>
          </w:tcPr>
          <w:p>
            <w:pPr>
              <w:spacing w:after="0"/>
              <w:rPr>
                <w:sz w:val="18"/>
                <w:szCs w:val="18"/>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664,447</w:t>
            </w:r>
          </w:p>
        </w:tc>
        <w:tc>
          <w:tcPr>
            <w:tcW w:w="180" w:type="dxa"/>
            <w:vAlign w:val="bottom"/>
            <w:shd w:val="clear" w:color="auto" w:fill="CCEEFF"/>
          </w:tcPr>
          <w:p>
            <w:pPr>
              <w:spacing w:after="0"/>
              <w:rPr>
                <w:sz w:val="18"/>
                <w:szCs w:val="18"/>
                <w:color w:val="auto"/>
              </w:rPr>
            </w:pPr>
          </w:p>
        </w:tc>
        <w:tc>
          <w:tcPr>
            <w:tcW w:w="300" w:type="dxa"/>
            <w:vAlign w:val="bottom"/>
          </w:tcPr>
          <w:p>
            <w:pPr>
              <w:spacing w:after="0"/>
              <w:rPr>
                <w:sz w:val="18"/>
                <w:szCs w:val="18"/>
                <w:color w:val="auto"/>
              </w:rPr>
            </w:pPr>
          </w:p>
        </w:tc>
      </w:tr>
      <w:tr>
        <w:trPr>
          <w:trHeight w:val="209"/>
        </w:trPr>
        <w:tc>
          <w:tcPr>
            <w:tcW w:w="380" w:type="dxa"/>
            <w:vAlign w:val="bottom"/>
          </w:tcPr>
          <w:p>
            <w:pPr>
              <w:spacing w:after="0"/>
              <w:rPr>
                <w:sz w:val="18"/>
                <w:szCs w:val="18"/>
                <w:color w:val="auto"/>
              </w:rPr>
            </w:pPr>
          </w:p>
        </w:tc>
        <w:tc>
          <w:tcPr>
            <w:tcW w:w="72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 Loans to class A and B shareholders over total loan portfolio</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240" w:type="dxa"/>
            <w:vAlign w:val="bottom"/>
            <w:tcBorders>
              <w:bottom w:val="single" w:sz="8" w:color="CCEEFF"/>
            </w:tcBorders>
          </w:tcPr>
          <w:p>
            <w:pPr>
              <w:jc w:val="right"/>
              <w:ind w:right="10"/>
              <w:spacing w:after="0"/>
              <w:rPr>
                <w:sz w:val="20"/>
                <w:szCs w:val="20"/>
                <w:color w:val="auto"/>
              </w:rPr>
            </w:pPr>
            <w:r>
              <w:rPr>
                <w:rFonts w:ascii="Arial" w:cs="Arial" w:eastAsia="Arial" w:hAnsi="Arial"/>
                <w:sz w:val="18"/>
                <w:szCs w:val="18"/>
                <w:color w:val="auto"/>
                <w:w w:val="74"/>
              </w:rPr>
              <w:t>%</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18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87"/>
              </w:rPr>
              <w:t>%</w:t>
            </w:r>
          </w:p>
        </w:tc>
        <w:tc>
          <w:tcPr>
            <w:tcW w:w="300" w:type="dxa"/>
            <w:vAlign w:val="bottom"/>
          </w:tcPr>
          <w:p>
            <w:pPr>
              <w:spacing w:after="0"/>
              <w:rPr>
                <w:sz w:val="18"/>
                <w:szCs w:val="18"/>
                <w:color w:val="auto"/>
              </w:rPr>
            </w:pPr>
          </w:p>
        </w:tc>
      </w:tr>
      <w:tr>
        <w:trPr>
          <w:trHeight w:val="210"/>
        </w:trPr>
        <w:tc>
          <w:tcPr>
            <w:tcW w:w="380" w:type="dxa"/>
            <w:vAlign w:val="bottom"/>
          </w:tcPr>
          <w:p>
            <w:pPr>
              <w:spacing w:after="0"/>
              <w:rPr>
                <w:sz w:val="18"/>
                <w:szCs w:val="18"/>
                <w:color w:val="auto"/>
              </w:rPr>
            </w:pPr>
          </w:p>
        </w:tc>
        <w:tc>
          <w:tcPr>
            <w:tcW w:w="7240" w:type="dxa"/>
            <w:vAlign w:val="bottom"/>
            <w:shd w:val="clear" w:color="auto" w:fill="CCEEFF"/>
          </w:tcPr>
          <w:p>
            <w:pPr>
              <w:spacing w:after="0"/>
              <w:rPr>
                <w:sz w:val="20"/>
                <w:szCs w:val="20"/>
                <w:color w:val="auto"/>
              </w:rPr>
            </w:pPr>
            <w:r>
              <w:rPr>
                <w:rFonts w:ascii="Arial" w:cs="Arial" w:eastAsia="Arial" w:hAnsi="Arial"/>
                <w:sz w:val="18"/>
                <w:szCs w:val="18"/>
                <w:color w:val="auto"/>
              </w:rPr>
              <w:t>% Class A and B stockholders with loans over number of class A and B stockholders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4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4"/>
              </w:rPr>
              <w:t>%</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87"/>
              </w:rPr>
              <w:t>%</w:t>
            </w:r>
          </w:p>
        </w:tc>
        <w:tc>
          <w:tcPr>
            <w:tcW w:w="300" w:type="dxa"/>
            <w:vAlign w:val="bottom"/>
          </w:tcPr>
          <w:p>
            <w:pPr>
              <w:spacing w:after="0"/>
              <w:rPr>
                <w:sz w:val="18"/>
                <w:szCs w:val="18"/>
                <w:color w:val="auto"/>
              </w:rPr>
            </w:pPr>
          </w:p>
        </w:tc>
      </w:tr>
      <w:tr>
        <w:trPr>
          <w:trHeight w:val="433"/>
        </w:trPr>
        <w:tc>
          <w:tcPr>
            <w:tcW w:w="380" w:type="dxa"/>
            <w:vAlign w:val="bottom"/>
            <w:tcBorders>
              <w:bottom w:val="single" w:sz="8" w:color="auto"/>
            </w:tcBorders>
          </w:tcPr>
          <w:p>
            <w:pPr>
              <w:spacing w:after="0"/>
              <w:rPr>
                <w:sz w:val="24"/>
                <w:szCs w:val="24"/>
                <w:color w:val="auto"/>
              </w:rPr>
            </w:pPr>
          </w:p>
        </w:tc>
        <w:tc>
          <w:tcPr>
            <w:tcW w:w="7240" w:type="dxa"/>
            <w:vAlign w:val="bottom"/>
            <w:tcBorders>
              <w:bottom w:val="single" w:sz="8" w:color="auto"/>
            </w:tcBorders>
          </w:tcPr>
          <w:p>
            <w:pPr>
              <w:ind w:left="5080"/>
              <w:spacing w:after="0"/>
              <w:rPr>
                <w:sz w:val="20"/>
                <w:szCs w:val="20"/>
                <w:color w:val="auto"/>
              </w:rPr>
            </w:pPr>
            <w:r>
              <w:rPr>
                <w:rFonts w:ascii="Arial" w:cs="Arial" w:eastAsia="Arial" w:hAnsi="Arial"/>
                <w:sz w:val="18"/>
                <w:szCs w:val="18"/>
                <w:color w:val="auto"/>
              </w:rPr>
              <w:t>F-81</w:t>
            </w:r>
          </w:p>
        </w:tc>
        <w:tc>
          <w:tcPr>
            <w:tcW w:w="14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17" w:name="page218"/>
    <w:bookmarkEnd w:id="2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right="9100" w:hanging="332"/>
        <w:spacing w:after="0" w:line="566" w:lineRule="auto"/>
        <w:tabs>
          <w:tab w:leader="none" w:pos="340" w:val="left"/>
        </w:tabs>
        <w:numPr>
          <w:ilvl w:val="0"/>
          <w:numId w:val="247"/>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Loans (continued) </w:t>
      </w:r>
      <w:r>
        <w:rPr>
          <w:rFonts w:ascii="Arial" w:cs="Arial" w:eastAsia="Arial" w:hAnsi="Arial"/>
          <w:sz w:val="16"/>
          <w:szCs w:val="16"/>
          <w:u w:val="single" w:color="auto"/>
          <w:color w:val="auto"/>
        </w:rPr>
        <w:t>Modified financial assets</w:t>
      </w:r>
    </w:p>
    <w:p>
      <w:pPr>
        <w:ind w:left="340"/>
        <w:spacing w:after="0"/>
        <w:rPr>
          <w:rFonts w:ascii="Arial" w:cs="Arial" w:eastAsia="Arial" w:hAnsi="Arial"/>
          <w:sz w:val="16"/>
          <w:szCs w:val="16"/>
          <w:b w:val="1"/>
          <w:bCs w:val="1"/>
          <w:color w:val="auto"/>
        </w:rPr>
      </w:pPr>
      <w:r>
        <w:rPr>
          <w:rFonts w:ascii="Arial" w:cs="Arial" w:eastAsia="Arial" w:hAnsi="Arial"/>
          <w:sz w:val="16"/>
          <w:szCs w:val="16"/>
          <w:color w:val="auto"/>
        </w:rPr>
        <w:t>The following table refers to modified financial assets during the year, where modification does not result in de-recognition:</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80"/>
        <w:spacing w:after="0"/>
        <w:rPr>
          <w:sz w:val="20"/>
          <w:szCs w:val="20"/>
          <w:color w:val="auto"/>
        </w:rPr>
      </w:pPr>
      <w:r>
        <w:rPr>
          <w:rFonts w:ascii="Arial" w:cs="Arial" w:eastAsia="Arial" w:hAnsi="Arial"/>
          <w:sz w:val="18"/>
          <w:szCs w:val="18"/>
          <w:color w:val="auto"/>
        </w:rPr>
        <w:t>Gross carrying amount before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-130175</wp:posOffset>
            </wp:positionV>
            <wp:extent cx="6060440" cy="14541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6">
                      <a:extLst>
                        <a:ext uri="{28A0092B-C50C-407E-A947-70E740481C1C}"/>
                      </a:extLst>
                    </a:blip>
                    <a:srcRect/>
                    <a:stretch>
                      <a:fillRect/>
                    </a:stretch>
                  </pic:blipFill>
                  <pic:spPr bwMode="auto">
                    <a:xfrm>
                      <a:off x="0" y="0"/>
                      <a:ext cx="6060440" cy="145415"/>
                    </a:xfrm>
                    <a:prstGeom prst="rect">
                      <a:avLst/>
                    </a:prstGeom>
                    <a:noFill/>
                  </pic:spPr>
                </pic:pic>
              </a:graphicData>
            </a:graphic>
          </wp:anchor>
        </w:drawing>
      </w:r>
    </w:p>
    <w:p>
      <w:pPr>
        <w:ind w:left="380"/>
        <w:spacing w:after="0" w:line="212" w:lineRule="auto"/>
        <w:rPr>
          <w:sz w:val="20"/>
          <w:szCs w:val="20"/>
          <w:color w:val="auto"/>
        </w:rPr>
      </w:pPr>
      <w:r>
        <w:rPr>
          <w:rFonts w:ascii="Arial" w:cs="Arial" w:eastAsia="Arial" w:hAnsi="Arial"/>
          <w:sz w:val="18"/>
          <w:szCs w:val="18"/>
          <w:color w:val="auto"/>
        </w:rPr>
        <w:t xml:space="preserve">Allowance loss before modification </w:t>
      </w:r>
      <w:r>
        <w:rPr>
          <w:rFonts w:ascii="Arial" w:cs="Arial" w:eastAsia="Arial" w:hAnsi="Arial"/>
          <w:sz w:val="29"/>
          <w:szCs w:val="29"/>
          <w:color w:val="auto"/>
          <w:vertAlign w:val="superscript"/>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0</wp:posOffset>
            </wp:positionV>
            <wp:extent cx="6060440" cy="16319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7">
                      <a:extLst>
                        <a:ext uri="{28A0092B-C50C-407E-A947-70E740481C1C}"/>
                      </a:extLst>
                    </a:blip>
                    <a:srcRect/>
                    <a:stretch>
                      <a:fillRect/>
                    </a:stretch>
                  </pic:blipFill>
                  <pic:spPr bwMode="auto">
                    <a:xfrm>
                      <a:off x="0" y="0"/>
                      <a:ext cx="6060440" cy="163195"/>
                    </a:xfrm>
                    <a:prstGeom prst="rect">
                      <a:avLst/>
                    </a:prstGeom>
                    <a:noFill/>
                  </pic:spPr>
                </pic:pic>
              </a:graphicData>
            </a:graphic>
          </wp:anchor>
        </w:drawing>
      </w:r>
    </w:p>
    <w:p>
      <w:pPr>
        <w:ind w:left="380"/>
        <w:spacing w:after="0"/>
        <w:rPr>
          <w:sz w:val="20"/>
          <w:szCs w:val="20"/>
          <w:color w:val="auto"/>
        </w:rPr>
      </w:pPr>
      <w:r>
        <w:rPr>
          <w:rFonts w:ascii="Arial" w:cs="Arial" w:eastAsia="Arial" w:hAnsi="Arial"/>
          <w:sz w:val="18"/>
          <w:szCs w:val="18"/>
          <w:color w:val="auto"/>
        </w:rPr>
        <w:t>Net amortized cost before modification</w:t>
      </w:r>
    </w:p>
    <w:p>
      <w:pPr>
        <w:spacing w:after="0" w:line="277" w:lineRule="exact"/>
        <w:rPr>
          <w:sz w:val="20"/>
          <w:szCs w:val="20"/>
          <w:color w:val="auto"/>
        </w:rPr>
      </w:pPr>
    </w:p>
    <w:p>
      <w:pPr>
        <w:ind w:left="380"/>
        <w:spacing w:after="0"/>
        <w:rPr>
          <w:sz w:val="20"/>
          <w:szCs w:val="20"/>
          <w:color w:val="auto"/>
        </w:rPr>
      </w:pPr>
      <w:r>
        <w:rPr>
          <w:rFonts w:ascii="Arial" w:cs="Arial" w:eastAsia="Arial" w:hAnsi="Arial"/>
          <w:sz w:val="18"/>
          <w:szCs w:val="18"/>
          <w:color w:val="auto"/>
        </w:rPr>
        <w:t>Gross carrying amount after modification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-121920</wp:posOffset>
            </wp:positionV>
            <wp:extent cx="6060440" cy="13716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8">
                      <a:extLst>
                        <a:ext uri="{28A0092B-C50C-407E-A947-70E740481C1C}"/>
                      </a:extLst>
                    </a:blip>
                    <a:srcRect/>
                    <a:stretch>
                      <a:fillRect/>
                    </a:stretch>
                  </pic:blipFill>
                  <pic:spPr bwMode="auto">
                    <a:xfrm>
                      <a:off x="0" y="0"/>
                      <a:ext cx="6060440" cy="137160"/>
                    </a:xfrm>
                    <a:prstGeom prst="rect">
                      <a:avLst/>
                    </a:prstGeom>
                    <a:noFill/>
                  </pic:spPr>
                </pic:pic>
              </a:graphicData>
            </a:graphic>
          </wp:anchor>
        </w:drawing>
      </w:r>
    </w:p>
    <w:p>
      <w:pPr>
        <w:ind w:left="380"/>
        <w:spacing w:after="0" w:line="212" w:lineRule="auto"/>
        <w:rPr>
          <w:sz w:val="20"/>
          <w:szCs w:val="20"/>
          <w:color w:val="auto"/>
        </w:rPr>
      </w:pPr>
      <w:r>
        <w:rPr>
          <w:rFonts w:ascii="Arial" w:cs="Arial" w:eastAsia="Arial" w:hAnsi="Arial"/>
          <w:sz w:val="18"/>
          <w:szCs w:val="18"/>
          <w:color w:val="auto"/>
        </w:rPr>
        <w:t xml:space="preserve">Allowance loss after modification </w:t>
      </w:r>
      <w:r>
        <w:rPr>
          <w:rFonts w:ascii="Arial" w:cs="Arial" w:eastAsia="Arial" w:hAnsi="Arial"/>
          <w:sz w:val="29"/>
          <w:szCs w:val="29"/>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0</wp:posOffset>
            </wp:positionV>
            <wp:extent cx="6060440" cy="16319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9">
                      <a:extLst>
                        <a:ext uri="{28A0092B-C50C-407E-A947-70E740481C1C}"/>
                      </a:extLst>
                    </a:blip>
                    <a:srcRect/>
                    <a:stretch>
                      <a:fillRect/>
                    </a:stretch>
                  </pic:blipFill>
                  <pic:spPr bwMode="auto">
                    <a:xfrm>
                      <a:off x="0" y="0"/>
                      <a:ext cx="6060440" cy="163195"/>
                    </a:xfrm>
                    <a:prstGeom prst="rect">
                      <a:avLst/>
                    </a:prstGeom>
                    <a:noFill/>
                  </pic:spPr>
                </pic:pic>
              </a:graphicData>
            </a:graphic>
          </wp:anchor>
        </w:drawing>
      </w:r>
    </w:p>
    <w:p>
      <w:pPr>
        <w:ind w:left="380"/>
        <w:spacing w:after="0"/>
        <w:rPr>
          <w:sz w:val="20"/>
          <w:szCs w:val="20"/>
          <w:color w:val="auto"/>
        </w:rPr>
      </w:pPr>
      <w:r>
        <w:rPr>
          <w:rFonts w:ascii="Arial" w:cs="Arial" w:eastAsia="Arial" w:hAnsi="Arial"/>
          <w:sz w:val="18"/>
          <w:szCs w:val="18"/>
          <w:color w:val="auto"/>
        </w:rPr>
        <w:t>Net amortized cost after modification</w:t>
      </w:r>
    </w:p>
    <w:p>
      <w:pPr>
        <w:spacing w:after="0" w:line="246" w:lineRule="exact"/>
        <w:rPr>
          <w:sz w:val="20"/>
          <w:szCs w:val="20"/>
          <w:color w:val="auto"/>
        </w:rPr>
      </w:pPr>
    </w:p>
    <w:p>
      <w:pPr>
        <w:ind w:left="600" w:hanging="209"/>
        <w:spacing w:after="0"/>
        <w:tabs>
          <w:tab w:leader="none" w:pos="600" w:val="left"/>
        </w:tabs>
        <w:numPr>
          <w:ilvl w:val="0"/>
          <w:numId w:val="248"/>
        </w:numPr>
        <w:rPr>
          <w:rFonts w:ascii="Arial" w:cs="Arial" w:eastAsia="Arial" w:hAnsi="Arial"/>
          <w:sz w:val="25"/>
          <w:szCs w:val="25"/>
          <w:color w:val="auto"/>
          <w:vertAlign w:val="superscript"/>
        </w:rPr>
      </w:pPr>
      <w:r>
        <w:rPr>
          <w:rFonts w:ascii="Arial" w:cs="Arial" w:eastAsia="Arial" w:hAnsi="Arial"/>
          <w:sz w:val="15"/>
          <w:szCs w:val="15"/>
          <w:color w:val="auto"/>
        </w:rPr>
        <w:t>Expected credit loss for 12 months.</w:t>
      </w:r>
    </w:p>
    <w:p>
      <w:pPr>
        <w:spacing w:after="0" w:line="42" w:lineRule="exact"/>
        <w:rPr>
          <w:rFonts w:ascii="Arial" w:cs="Arial" w:eastAsia="Arial" w:hAnsi="Arial"/>
          <w:sz w:val="25"/>
          <w:szCs w:val="25"/>
          <w:color w:val="auto"/>
          <w:vertAlign w:val="superscript"/>
        </w:rPr>
      </w:pPr>
    </w:p>
    <w:p>
      <w:pPr>
        <w:ind w:left="600" w:hanging="209"/>
        <w:spacing w:after="0" w:line="194" w:lineRule="auto"/>
        <w:tabs>
          <w:tab w:leader="none" w:pos="600" w:val="left"/>
        </w:tabs>
        <w:numPr>
          <w:ilvl w:val="0"/>
          <w:numId w:val="248"/>
        </w:numPr>
        <w:rPr>
          <w:rFonts w:ascii="Arial" w:cs="Arial" w:eastAsia="Arial" w:hAnsi="Arial"/>
          <w:sz w:val="23"/>
          <w:szCs w:val="23"/>
          <w:color w:val="auto"/>
          <w:vertAlign w:val="superscript"/>
        </w:rPr>
      </w:pPr>
      <w:r>
        <w:rPr>
          <w:rFonts w:ascii="Arial" w:cs="Arial" w:eastAsia="Arial" w:hAnsi="Arial"/>
          <w:sz w:val="15"/>
          <w:szCs w:val="15"/>
          <w:color w:val="auto"/>
        </w:rPr>
        <w:t>Expected credit loss within the life of the financial asset.</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Recognition and derecognition of financial assets</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December 31,</w:t>
      </w:r>
    </w:p>
    <w:p>
      <w:pPr>
        <w:spacing w:after="0" w:line="27" w:lineRule="exact"/>
        <w:rPr>
          <w:sz w:val="20"/>
          <w:szCs w:val="20"/>
          <w:color w:val="auto"/>
        </w:rPr>
      </w:pPr>
    </w:p>
    <w:p>
      <w:pPr>
        <w:ind w:left="320"/>
        <w:spacing w:after="0"/>
        <w:rPr>
          <w:sz w:val="20"/>
          <w:szCs w:val="20"/>
          <w:color w:val="auto"/>
        </w:rPr>
      </w:pPr>
      <w:r>
        <w:rPr>
          <w:rFonts w:ascii="Arial" w:cs="Arial" w:eastAsia="Arial" w:hAnsi="Arial"/>
          <w:sz w:val="18"/>
          <w:szCs w:val="18"/>
          <w:b w:val="1"/>
          <w:bCs w:val="1"/>
          <w:color w:val="auto"/>
        </w:rPr>
        <w:t>2020</w:t>
      </w:r>
    </w:p>
    <w:p>
      <w:pPr>
        <w:spacing w:after="0" w:line="9" w:lineRule="exact"/>
        <w:rPr>
          <w:sz w:val="20"/>
          <w:szCs w:val="20"/>
          <w:color w:val="auto"/>
        </w:rPr>
      </w:pPr>
    </w:p>
    <w:p>
      <w:pPr>
        <w:ind w:left="840"/>
        <w:spacing w:after="0"/>
        <w:rPr>
          <w:sz w:val="20"/>
          <w:szCs w:val="20"/>
          <w:color w:val="auto"/>
        </w:rPr>
      </w:pPr>
      <w:r>
        <w:rPr>
          <w:rFonts w:ascii="Arial" w:cs="Arial" w:eastAsia="Arial" w:hAnsi="Arial"/>
          <w:sz w:val="18"/>
          <w:szCs w:val="18"/>
          <w:color w:val="auto"/>
        </w:rPr>
        <w:t>8,829</w:t>
      </w:r>
    </w:p>
    <w:p>
      <w:pPr>
        <w:spacing w:after="0" w:line="49" w:lineRule="exact"/>
        <w:rPr>
          <w:sz w:val="20"/>
          <w:szCs w:val="20"/>
          <w:color w:val="auto"/>
        </w:rPr>
      </w:pPr>
    </w:p>
    <w:p>
      <w:pPr>
        <w:jc w:val="right"/>
        <w:ind w:right="1380"/>
        <w:spacing w:after="0"/>
        <w:rPr>
          <w:sz w:val="20"/>
          <w:szCs w:val="20"/>
          <w:color w:val="auto"/>
        </w:rPr>
      </w:pPr>
      <w:r>
        <w:rPr>
          <w:rFonts w:ascii="Arial" w:cs="Arial" w:eastAsia="Arial" w:hAnsi="Arial"/>
          <w:sz w:val="18"/>
          <w:szCs w:val="18"/>
          <w:color w:val="auto"/>
        </w:rPr>
        <w:t>(1,796)</w:t>
      </w:r>
    </w:p>
    <w:p>
      <w:pPr>
        <w:spacing w:after="0" w:line="50" w:lineRule="exact"/>
        <w:rPr>
          <w:sz w:val="20"/>
          <w:szCs w:val="20"/>
          <w:color w:val="auto"/>
        </w:rPr>
      </w:pPr>
    </w:p>
    <w:p>
      <w:pPr>
        <w:ind w:left="840"/>
        <w:spacing w:after="0"/>
        <w:rPr>
          <w:sz w:val="20"/>
          <w:szCs w:val="20"/>
          <w:color w:val="auto"/>
        </w:rPr>
      </w:pPr>
      <w:r>
        <w:rPr>
          <w:rFonts w:ascii="Arial" w:cs="Arial" w:eastAsia="Arial" w:hAnsi="Arial"/>
          <w:sz w:val="18"/>
          <w:szCs w:val="18"/>
          <w:color w:val="auto"/>
        </w:rPr>
        <w:t>7,033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-132080</wp:posOffset>
            </wp:positionH>
            <wp:positionV relativeFrom="paragraph">
              <wp:posOffset>31750</wp:posOffset>
            </wp:positionV>
            <wp:extent cx="925830" cy="889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0">
                      <a:extLst>
                        <a:ext uri="{28A0092B-C50C-407E-A947-70E740481C1C}"/>
                      </a:extLst>
                    </a:blip>
                    <a:srcRect/>
                    <a:stretch>
                      <a:fillRect/>
                    </a:stretch>
                  </pic:blipFill>
                  <pic:spPr bwMode="auto">
                    <a:xfrm>
                      <a:off x="0" y="0"/>
                      <a:ext cx="925830" cy="8890"/>
                    </a:xfrm>
                    <a:prstGeom prst="rect">
                      <a:avLst/>
                    </a:prstGeom>
                    <a:noFill/>
                  </pic:spPr>
                </pic:pic>
              </a:graphicData>
            </a:graphic>
          </wp:anchor>
        </w:drawing>
      </w:r>
    </w:p>
    <w:p>
      <w:pPr>
        <w:spacing w:after="0" w:line="246" w:lineRule="exact"/>
        <w:rPr>
          <w:sz w:val="20"/>
          <w:szCs w:val="20"/>
          <w:color w:val="auto"/>
        </w:rPr>
      </w:pPr>
    </w:p>
    <w:p>
      <w:pPr>
        <w:ind w:left="840"/>
        <w:spacing w:after="0"/>
        <w:rPr>
          <w:sz w:val="20"/>
          <w:szCs w:val="20"/>
          <w:color w:val="auto"/>
        </w:rPr>
      </w:pPr>
      <w:r>
        <w:rPr>
          <w:rFonts w:ascii="Arial" w:cs="Arial" w:eastAsia="Arial" w:hAnsi="Arial"/>
          <w:sz w:val="18"/>
          <w:szCs w:val="18"/>
          <w:color w:val="auto"/>
        </w:rPr>
        <w:t>8,829</w:t>
      </w:r>
    </w:p>
    <w:p>
      <w:pPr>
        <w:spacing w:after="0" w:line="50" w:lineRule="exact"/>
        <w:rPr>
          <w:sz w:val="20"/>
          <w:szCs w:val="20"/>
          <w:color w:val="auto"/>
        </w:rPr>
      </w:pPr>
    </w:p>
    <w:p>
      <w:pPr>
        <w:jc w:val="right"/>
        <w:ind w:right="1380"/>
        <w:spacing w:after="0"/>
        <w:rPr>
          <w:sz w:val="20"/>
          <w:szCs w:val="20"/>
          <w:color w:val="auto"/>
        </w:rPr>
      </w:pPr>
      <w:r>
        <w:rPr>
          <w:rFonts w:ascii="Arial" w:cs="Arial" w:eastAsia="Arial" w:hAnsi="Arial"/>
          <w:sz w:val="18"/>
          <w:szCs w:val="18"/>
          <w:color w:val="auto"/>
        </w:rPr>
        <w:t>(1,802)</w:t>
      </w:r>
    </w:p>
    <w:p>
      <w:pPr>
        <w:spacing w:after="0" w:line="50" w:lineRule="exact"/>
        <w:rPr>
          <w:sz w:val="20"/>
          <w:szCs w:val="20"/>
          <w:color w:val="auto"/>
        </w:rPr>
      </w:pPr>
    </w:p>
    <w:p>
      <w:pPr>
        <w:ind w:left="840"/>
        <w:spacing w:after="0"/>
        <w:rPr>
          <w:sz w:val="20"/>
          <w:szCs w:val="20"/>
          <w:color w:val="auto"/>
        </w:rPr>
      </w:pPr>
      <w:r>
        <w:rPr>
          <w:rFonts w:ascii="Arial" w:cs="Arial" w:eastAsia="Arial" w:hAnsi="Arial"/>
          <w:sz w:val="18"/>
          <w:szCs w:val="18"/>
          <w:color w:val="auto"/>
        </w:rPr>
        <w:t>7,027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-132080</wp:posOffset>
            </wp:positionH>
            <wp:positionV relativeFrom="paragraph">
              <wp:posOffset>31750</wp:posOffset>
            </wp:positionV>
            <wp:extent cx="925830" cy="8255"/>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1">
                      <a:extLst>
                        <a:ext uri="{28A0092B-C50C-407E-A947-70E740481C1C}"/>
                      </a:extLst>
                    </a:blip>
                    <a:srcRect/>
                    <a:stretch>
                      <a:fillRect/>
                    </a:stretch>
                  </pic:blipFill>
                  <pic:spPr bwMode="auto">
                    <a:xfrm>
                      <a:off x="0" y="0"/>
                      <a:ext cx="925830" cy="8255"/>
                    </a:xfrm>
                    <a:prstGeom prst="rect">
                      <a:avLst/>
                    </a:prstGeom>
                    <a:noFill/>
                  </pic:spPr>
                </pic:pic>
              </a:graphicData>
            </a:graphic>
          </wp:anchor>
        </w:drawing>
      </w:r>
    </w:p>
    <w:p>
      <w:pPr>
        <w:spacing w:after="0" w:line="1388" w:lineRule="exact"/>
        <w:rPr>
          <w:sz w:val="20"/>
          <w:szCs w:val="20"/>
          <w:color w:val="auto"/>
        </w:rPr>
      </w:pPr>
    </w:p>
    <w:p>
      <w:pPr>
        <w:sectPr>
          <w:pgSz w:w="11900" w:h="16838" w:orient="portrait"/>
          <w:cols w:equalWidth="0" w:num="2">
            <w:col w:w="7840" w:space="720"/>
            <w:col w:w="2680"/>
          </w:cols>
          <w:pgMar w:left="320" w:top="688" w:right="339" w:bottom="1440" w:gutter="0" w:footer="0" w:header="0"/>
          <w:type w:val="continuous"/>
        </w:sectPr>
      </w:pPr>
    </w:p>
    <w:p>
      <w:pPr>
        <w:spacing w:after="0" w:line="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year ended December 31, 2020, a Stage 3 impaired loan was sold for $11.6 million and a Stage 2 loan with a significant increase in credit risk was sold for $13.2 million, both classified at amortized cost. This resulted in a write-off against reserves of $56.1 million. These sales were made based on compliance with the Bank's strategy to optimize credit risk of its loan portfolio.</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During the years ended </w:t>
      </w:r>
      <w:r>
        <w:rPr>
          <w:rFonts w:ascii="Arial" w:cs="Arial" w:eastAsia="Arial" w:hAnsi="Arial"/>
          <w:sz w:val="18"/>
          <w:szCs w:val="18"/>
          <w:color w:val="222222"/>
        </w:rPr>
        <w:t>December 31</w:t>
      </w:r>
      <w:r>
        <w:rPr>
          <w:rFonts w:ascii="Arial" w:cs="Arial" w:eastAsia="Arial" w:hAnsi="Arial"/>
          <w:sz w:val="18"/>
          <w:szCs w:val="18"/>
          <w:color w:val="auto"/>
        </w:rPr>
        <w:t>, 2019 and 2018, the Bank sold loans measured at amortized cost. These sales were made based on compliance with the Bank's strategy to optimize credit risk of its loan portfolio.</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“Loss on financial instruments, net”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80" w:type="dxa"/>
            <w:vAlign w:val="bottom"/>
          </w:tcPr>
          <w:p>
            <w:pPr>
              <w:spacing w:after="0"/>
              <w:rPr>
                <w:sz w:val="18"/>
                <w:szCs w:val="18"/>
                <w:color w:val="auto"/>
              </w:rPr>
            </w:pPr>
          </w:p>
        </w:tc>
        <w:tc>
          <w:tcPr>
            <w:tcW w:w="4080" w:type="dxa"/>
            <w:vAlign w:val="bottom"/>
          </w:tcPr>
          <w:p>
            <w:pPr>
              <w:spacing w:after="0"/>
              <w:rPr>
                <w:sz w:val="18"/>
                <w:szCs w:val="18"/>
                <w:color w:val="auto"/>
              </w:rPr>
            </w:pPr>
          </w:p>
        </w:tc>
        <w:tc>
          <w:tcPr>
            <w:tcW w:w="3260" w:type="dxa"/>
            <w:vAlign w:val="bottom"/>
          </w:tcPr>
          <w:p>
            <w:pPr>
              <w:spacing w:after="0"/>
              <w:rPr>
                <w:sz w:val="18"/>
                <w:szCs w:val="18"/>
                <w:color w:val="auto"/>
              </w:rPr>
            </w:pPr>
          </w:p>
        </w:tc>
        <w:tc>
          <w:tcPr>
            <w:tcW w:w="162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87"/>
              </w:rPr>
              <w:t>Assignments and</w:t>
            </w:r>
          </w:p>
        </w:tc>
        <w:tc>
          <w:tcPr>
            <w:tcW w:w="16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Gains</w:t>
            </w:r>
          </w:p>
        </w:tc>
        <w:tc>
          <w:tcPr>
            <w:tcW w:w="300" w:type="dxa"/>
            <w:vAlign w:val="bottom"/>
          </w:tcPr>
          <w:p>
            <w:pPr>
              <w:spacing w:after="0"/>
              <w:rPr>
                <w:sz w:val="18"/>
                <w:szCs w:val="18"/>
                <w:color w:val="auto"/>
              </w:rPr>
            </w:pPr>
          </w:p>
        </w:tc>
      </w:tr>
      <w:tr>
        <w:trPr>
          <w:trHeight w:val="234"/>
        </w:trPr>
        <w:tc>
          <w:tcPr>
            <w:tcW w:w="380" w:type="dxa"/>
            <w:vAlign w:val="bottom"/>
          </w:tcPr>
          <w:p>
            <w:pPr>
              <w:spacing w:after="0"/>
              <w:rPr>
                <w:sz w:val="20"/>
                <w:szCs w:val="20"/>
                <w:color w:val="auto"/>
              </w:rPr>
            </w:pPr>
          </w:p>
        </w:tc>
        <w:tc>
          <w:tcPr>
            <w:tcW w:w="4080" w:type="dxa"/>
            <w:vAlign w:val="bottom"/>
          </w:tcPr>
          <w:p>
            <w:pPr>
              <w:spacing w:after="0"/>
              <w:rPr>
                <w:sz w:val="20"/>
                <w:szCs w:val="20"/>
                <w:color w:val="auto"/>
              </w:rPr>
            </w:pPr>
          </w:p>
        </w:tc>
        <w:tc>
          <w:tcPr>
            <w:tcW w:w="3260" w:type="dxa"/>
            <w:vAlign w:val="bottom"/>
          </w:tcPr>
          <w:p>
            <w:pPr>
              <w:spacing w:after="0"/>
              <w:rPr>
                <w:sz w:val="20"/>
                <w:szCs w:val="20"/>
                <w:color w:val="auto"/>
              </w:rPr>
            </w:pPr>
          </w:p>
        </w:tc>
        <w:tc>
          <w:tcPr>
            <w:tcW w:w="16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participations</w:t>
            </w:r>
          </w:p>
        </w:tc>
        <w:tc>
          <w:tcPr>
            <w:tcW w:w="16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(losses)</w:t>
            </w:r>
          </w:p>
        </w:tc>
        <w:tc>
          <w:tcPr>
            <w:tcW w:w="300" w:type="dxa"/>
            <w:vAlign w:val="bottom"/>
          </w:tcPr>
          <w:p>
            <w:pPr>
              <w:spacing w:after="0"/>
              <w:rPr>
                <w:sz w:val="20"/>
                <w:szCs w:val="20"/>
                <w:color w:val="auto"/>
              </w:rPr>
            </w:pPr>
          </w:p>
        </w:tc>
      </w:tr>
      <w:tr>
        <w:trPr>
          <w:trHeight w:val="209"/>
        </w:trPr>
        <w:tc>
          <w:tcPr>
            <w:tcW w:w="38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Carrying amount as of December 31, 2019</w:t>
            </w:r>
          </w:p>
        </w:tc>
        <w:tc>
          <w:tcPr>
            <w:tcW w:w="326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15,000</w:t>
            </w: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tcBorders>
              <w:top w:val="single" w:sz="8" w:color="CCEEFF"/>
            </w:tcBorders>
            <w:shd w:val="clear" w:color="auto" w:fill="CCEEFF"/>
          </w:tcPr>
          <w:p>
            <w:pPr>
              <w:spacing w:after="0"/>
              <w:rPr>
                <w:sz w:val="18"/>
                <w:szCs w:val="18"/>
                <w:color w:val="auto"/>
              </w:rPr>
            </w:pPr>
          </w:p>
        </w:tc>
        <w:tc>
          <w:tcPr>
            <w:tcW w:w="300" w:type="dxa"/>
            <w:vAlign w:val="bottom"/>
          </w:tcPr>
          <w:p>
            <w:pPr>
              <w:spacing w:after="0"/>
              <w:rPr>
                <w:sz w:val="18"/>
                <w:szCs w:val="18"/>
                <w:color w:val="auto"/>
              </w:rPr>
            </w:pPr>
          </w:p>
        </w:tc>
      </w:tr>
      <w:tr>
        <w:trPr>
          <w:trHeight w:val="230"/>
        </w:trPr>
        <w:tc>
          <w:tcPr>
            <w:tcW w:w="380" w:type="dxa"/>
            <w:vAlign w:val="bottom"/>
          </w:tcPr>
          <w:p>
            <w:pPr>
              <w:spacing w:after="0"/>
              <w:rPr>
                <w:sz w:val="20"/>
                <w:szCs w:val="20"/>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Carrying amount as of December 31, 2018</w:t>
            </w:r>
          </w:p>
        </w:tc>
        <w:tc>
          <w:tcPr>
            <w:tcW w:w="4880" w:type="dxa"/>
            <w:vAlign w:val="bottom"/>
            <w:gridSpan w:val="3"/>
          </w:tcPr>
          <w:p>
            <w:pPr>
              <w:jc w:val="right"/>
              <w:ind w:right="180"/>
              <w:spacing w:after="0"/>
              <w:rPr>
                <w:sz w:val="20"/>
                <w:szCs w:val="20"/>
                <w:color w:val="auto"/>
              </w:rPr>
            </w:pPr>
            <w:r>
              <w:rPr>
                <w:rFonts w:ascii="Arial" w:cs="Arial" w:eastAsia="Arial" w:hAnsi="Arial"/>
                <w:sz w:val="18"/>
                <w:szCs w:val="18"/>
                <w:color w:val="auto"/>
              </w:rPr>
              <w:t>61,667</w:t>
            </w:r>
          </w:p>
        </w:tc>
        <w:tc>
          <w:tcPr>
            <w:tcW w:w="1600" w:type="dxa"/>
            <w:vAlign w:val="bottom"/>
            <w:gridSpan w:val="2"/>
          </w:tcPr>
          <w:p>
            <w:pPr>
              <w:jc w:val="right"/>
              <w:ind w:right="40"/>
              <w:spacing w:after="0"/>
              <w:rPr>
                <w:sz w:val="20"/>
                <w:szCs w:val="20"/>
                <w:color w:val="auto"/>
              </w:rPr>
            </w:pPr>
            <w:r>
              <w:rPr>
                <w:rFonts w:ascii="Arial" w:cs="Arial" w:eastAsia="Arial" w:hAnsi="Arial"/>
                <w:sz w:val="18"/>
                <w:szCs w:val="18"/>
                <w:color w:val="auto"/>
              </w:rPr>
              <w:t>(625)</w:t>
            </w:r>
          </w:p>
        </w:tc>
        <w:tc>
          <w:tcPr>
            <w:tcW w:w="300" w:type="dxa"/>
            <w:vAlign w:val="bottom"/>
          </w:tcPr>
          <w:p>
            <w:pPr>
              <w:spacing w:after="0"/>
              <w:rPr>
                <w:sz w:val="20"/>
                <w:szCs w:val="20"/>
                <w:color w:val="auto"/>
              </w:rPr>
            </w:pPr>
          </w:p>
        </w:tc>
      </w:tr>
      <w:tr>
        <w:trPr>
          <w:trHeight w:val="425"/>
        </w:trPr>
        <w:tc>
          <w:tcPr>
            <w:tcW w:w="380" w:type="dxa"/>
            <w:vAlign w:val="bottom"/>
            <w:tcBorders>
              <w:bottom w:val="single" w:sz="8" w:color="auto"/>
            </w:tcBorders>
          </w:tcPr>
          <w:p>
            <w:pPr>
              <w:spacing w:after="0"/>
              <w:rPr>
                <w:sz w:val="24"/>
                <w:szCs w:val="24"/>
                <w:color w:val="auto"/>
              </w:rPr>
            </w:pPr>
          </w:p>
        </w:tc>
        <w:tc>
          <w:tcPr>
            <w:tcW w:w="4080" w:type="dxa"/>
            <w:vAlign w:val="bottom"/>
            <w:tcBorders>
              <w:bottom w:val="single" w:sz="8" w:color="auto"/>
            </w:tcBorders>
          </w:tcPr>
          <w:p>
            <w:pPr>
              <w:spacing w:after="0"/>
              <w:rPr>
                <w:sz w:val="24"/>
                <w:szCs w:val="24"/>
                <w:color w:val="auto"/>
              </w:rPr>
            </w:pPr>
          </w:p>
        </w:tc>
        <w:tc>
          <w:tcPr>
            <w:tcW w:w="4880" w:type="dxa"/>
            <w:vAlign w:val="bottom"/>
            <w:tcBorders>
              <w:bottom w:val="single" w:sz="8" w:color="auto"/>
            </w:tcBorders>
            <w:gridSpan w:val="3"/>
          </w:tcPr>
          <w:p>
            <w:pPr>
              <w:jc w:val="right"/>
              <w:ind w:right="3540"/>
              <w:spacing w:after="0"/>
              <w:rPr>
                <w:sz w:val="20"/>
                <w:szCs w:val="20"/>
                <w:color w:val="auto"/>
              </w:rPr>
            </w:pPr>
            <w:r>
              <w:rPr>
                <w:rFonts w:ascii="Arial" w:cs="Arial" w:eastAsia="Arial" w:hAnsi="Arial"/>
                <w:sz w:val="18"/>
                <w:szCs w:val="18"/>
                <w:color w:val="auto"/>
              </w:rPr>
              <w:t>F-82</w:t>
            </w: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type w:val="continuous"/>
        </w:sectPr>
      </w:pPr>
    </w:p>
    <w:bookmarkStart w:id="218" w:name="page219"/>
    <w:bookmarkEnd w:id="2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11.</w:t>
      </w:r>
      <w:r>
        <w:rPr>
          <w:sz w:val="20"/>
          <w:szCs w:val="20"/>
          <w:color w:val="auto"/>
        </w:rPr>
        <w:tab/>
      </w:r>
      <w:r>
        <w:rPr>
          <w:rFonts w:ascii="Arial" w:cs="Arial" w:eastAsia="Arial" w:hAnsi="Arial"/>
          <w:sz w:val="16"/>
          <w:szCs w:val="16"/>
          <w:b w:val="1"/>
          <w:bCs w:val="1"/>
          <w:color w:val="auto"/>
        </w:rPr>
        <w:t>Loan commitments and financial guarantee contracts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240"/>
          </w:cols>
          <w:pgMar w:left="320" w:top="688" w:right="339" w:bottom="1440" w:gutter="0" w:footer="0" w:header="0"/>
        </w:sectPr>
      </w:pP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 commitments and financial guarantee contracts are as follows: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380"/>
        <w:spacing w:after="0"/>
        <w:rPr>
          <w:sz w:val="20"/>
          <w:szCs w:val="20"/>
          <w:color w:val="auto"/>
        </w:rPr>
      </w:pPr>
      <w:r>
        <w:rPr>
          <w:rFonts w:ascii="Arial" w:cs="Arial" w:eastAsia="Arial" w:hAnsi="Arial"/>
          <w:sz w:val="18"/>
          <w:szCs w:val="18"/>
          <w:color w:val="auto"/>
        </w:rPr>
        <w:t>Documentary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-130175</wp:posOffset>
            </wp:positionV>
            <wp:extent cx="6703695" cy="14605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3">
                      <a:extLst>
                        <a:ext uri="{28A0092B-C50C-407E-A947-70E740481C1C}"/>
                      </a:extLst>
                    </a:blip>
                    <a:srcRect/>
                    <a:stretch>
                      <a:fillRect/>
                    </a:stretch>
                  </pic:blipFill>
                  <pic:spPr bwMode="auto">
                    <a:xfrm>
                      <a:off x="0" y="0"/>
                      <a:ext cx="6703695" cy="146050"/>
                    </a:xfrm>
                    <a:prstGeom prst="rect">
                      <a:avLst/>
                    </a:prstGeom>
                    <a:noFill/>
                  </pic:spPr>
                </pic:pic>
              </a:graphicData>
            </a:graphic>
          </wp:anchor>
        </w:drawing>
      </w:r>
    </w:p>
    <w:p>
      <w:pPr>
        <w:spacing w:after="0" w:line="3" w:lineRule="exact"/>
        <w:rPr>
          <w:sz w:val="20"/>
          <w:szCs w:val="20"/>
          <w:color w:val="auto"/>
        </w:rPr>
      </w:pPr>
    </w:p>
    <w:p>
      <w:pPr>
        <w:ind w:left="380"/>
        <w:spacing w:after="0"/>
        <w:rPr>
          <w:sz w:val="20"/>
          <w:szCs w:val="20"/>
          <w:color w:val="auto"/>
        </w:rPr>
      </w:pPr>
      <w:r>
        <w:rPr>
          <w:rFonts w:ascii="Arial" w:cs="Arial" w:eastAsia="Arial" w:hAnsi="Arial"/>
          <w:sz w:val="18"/>
          <w:szCs w:val="18"/>
          <w:color w:val="auto"/>
        </w:rPr>
        <w:t>Stand-by letters of credit and guarantees - commercial risk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wp:posOffset>
            </wp:positionH>
            <wp:positionV relativeFrom="paragraph">
              <wp:posOffset>5715</wp:posOffset>
            </wp:positionV>
            <wp:extent cx="6703695" cy="14541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4">
                      <a:extLst>
                        <a:ext uri="{28A0092B-C50C-407E-A947-70E740481C1C}"/>
                      </a:extLst>
                    </a:blip>
                    <a:srcRect/>
                    <a:stretch>
                      <a:fillRect/>
                    </a:stretch>
                  </pic:blipFill>
                  <pic:spPr bwMode="auto">
                    <a:xfrm>
                      <a:off x="0" y="0"/>
                      <a:ext cx="6703695" cy="145415"/>
                    </a:xfrm>
                    <a:prstGeom prst="rect">
                      <a:avLst/>
                    </a:prstGeom>
                    <a:noFill/>
                  </pic:spPr>
                </pic:pic>
              </a:graphicData>
            </a:graphic>
          </wp:anchor>
        </w:drawing>
      </w:r>
    </w:p>
    <w:p>
      <w:pPr>
        <w:ind w:left="380"/>
        <w:spacing w:after="0"/>
        <w:rPr>
          <w:sz w:val="20"/>
          <w:szCs w:val="20"/>
          <w:color w:val="auto"/>
        </w:rPr>
      </w:pPr>
      <w:r>
        <w:rPr>
          <w:rFonts w:ascii="Arial" w:cs="Arial" w:eastAsia="Arial" w:hAnsi="Arial"/>
          <w:sz w:val="18"/>
          <w:szCs w:val="18"/>
          <w:color w:val="auto"/>
        </w:rPr>
        <w:t>Credit commitments</w:t>
      </w:r>
    </w:p>
    <w:p>
      <w:pPr>
        <w:spacing w:after="0" w:line="9" w:lineRule="exact"/>
        <w:rPr>
          <w:sz w:val="20"/>
          <w:szCs w:val="20"/>
          <w:color w:val="auto"/>
        </w:rPr>
      </w:pPr>
    </w:p>
    <w:p>
      <w:pPr>
        <w:ind w:left="380"/>
        <w:spacing w:after="0"/>
        <w:rPr>
          <w:sz w:val="20"/>
          <w:szCs w:val="20"/>
          <w:color w:val="auto"/>
        </w:rPr>
      </w:pPr>
      <w:r>
        <w:rPr>
          <w:rFonts w:ascii="Arial" w:cs="Arial" w:eastAsia="Arial" w:hAnsi="Arial"/>
          <w:sz w:val="18"/>
          <w:szCs w:val="18"/>
          <w:color w:val="auto"/>
        </w:rPr>
        <w:t>Total loans commitments and financial guarantee contracts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9"/>
        </w:trPr>
        <w:tc>
          <w:tcPr>
            <w:tcW w:w="16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195"/>
        </w:trPr>
        <w:tc>
          <w:tcPr>
            <w:tcW w:w="1440" w:type="dxa"/>
            <w:vAlign w:val="bottom"/>
          </w:tcPr>
          <w:p>
            <w:pPr>
              <w:jc w:val="right"/>
              <w:spacing w:after="0" w:line="195" w:lineRule="exact"/>
              <w:rPr>
                <w:sz w:val="20"/>
                <w:szCs w:val="20"/>
                <w:color w:val="auto"/>
              </w:rPr>
            </w:pPr>
            <w:r>
              <w:rPr>
                <w:rFonts w:ascii="Arial" w:cs="Arial" w:eastAsia="Arial" w:hAnsi="Arial"/>
                <w:sz w:val="18"/>
                <w:szCs w:val="18"/>
                <w:color w:val="auto"/>
              </w:rPr>
              <w:t>216,782</w:t>
            </w:r>
          </w:p>
        </w:tc>
        <w:tc>
          <w:tcPr>
            <w:tcW w:w="180" w:type="dxa"/>
            <w:vAlign w:val="bottom"/>
          </w:tcPr>
          <w:p>
            <w:pPr>
              <w:spacing w:after="0"/>
              <w:rPr>
                <w:sz w:val="16"/>
                <w:szCs w:val="16"/>
                <w:color w:val="auto"/>
              </w:rPr>
            </w:pPr>
          </w:p>
        </w:tc>
        <w:tc>
          <w:tcPr>
            <w:tcW w:w="1500" w:type="dxa"/>
            <w:vAlign w:val="bottom"/>
          </w:tcPr>
          <w:p>
            <w:pPr>
              <w:jc w:val="right"/>
              <w:spacing w:after="0" w:line="195" w:lineRule="exact"/>
              <w:rPr>
                <w:sz w:val="20"/>
                <w:szCs w:val="20"/>
                <w:color w:val="auto"/>
              </w:rPr>
            </w:pPr>
            <w:r>
              <w:rPr>
                <w:rFonts w:ascii="Arial" w:cs="Arial" w:eastAsia="Arial" w:hAnsi="Arial"/>
                <w:sz w:val="18"/>
                <w:szCs w:val="18"/>
                <w:color w:val="auto"/>
              </w:rPr>
              <w:t>169,320</w:t>
            </w:r>
          </w:p>
        </w:tc>
      </w:tr>
      <w:tr>
        <w:trPr>
          <w:trHeight w:val="229"/>
        </w:trPr>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210,497</w:t>
            </w:r>
          </w:p>
        </w:tc>
        <w:tc>
          <w:tcPr>
            <w:tcW w:w="1500" w:type="dxa"/>
            <w:vAlign w:val="bottom"/>
          </w:tcPr>
          <w:p>
            <w:pPr>
              <w:jc w:val="right"/>
              <w:spacing w:after="0"/>
              <w:rPr>
                <w:sz w:val="20"/>
                <w:szCs w:val="20"/>
                <w:color w:val="auto"/>
              </w:rPr>
            </w:pPr>
            <w:r>
              <w:rPr>
                <w:rFonts w:ascii="Arial" w:cs="Arial" w:eastAsia="Arial" w:hAnsi="Arial"/>
                <w:sz w:val="18"/>
                <w:szCs w:val="18"/>
                <w:color w:val="auto"/>
              </w:rPr>
              <w:t>255,481</w:t>
            </w:r>
          </w:p>
        </w:tc>
      </w:tr>
      <w:tr>
        <w:trPr>
          <w:trHeight w:val="230"/>
        </w:trPr>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137,619</w:t>
            </w:r>
          </w:p>
        </w:tc>
        <w:tc>
          <w:tcPr>
            <w:tcW w:w="1500" w:type="dxa"/>
            <w:vAlign w:val="bottom"/>
          </w:tcPr>
          <w:p>
            <w:pPr>
              <w:jc w:val="right"/>
              <w:spacing w:after="0"/>
              <w:rPr>
                <w:sz w:val="20"/>
                <w:szCs w:val="20"/>
                <w:color w:val="auto"/>
              </w:rPr>
            </w:pPr>
            <w:r>
              <w:rPr>
                <w:rFonts w:ascii="Arial" w:cs="Arial" w:eastAsia="Arial" w:hAnsi="Arial"/>
                <w:sz w:val="18"/>
                <w:szCs w:val="18"/>
                <w:color w:val="auto"/>
              </w:rPr>
              <w:t>68,571</w:t>
            </w:r>
          </w:p>
        </w:tc>
      </w:tr>
      <w:tr>
        <w:trPr>
          <w:trHeight w:val="223"/>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564,898</w:t>
            </w:r>
          </w:p>
        </w:tc>
        <w:tc>
          <w:tcPr>
            <w:tcW w:w="18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000" w:space="720"/>
            <w:col w:w="3520"/>
          </w:cols>
          <w:pgMar w:left="320" w:top="688" w:right="339" w:bottom="1440" w:gutter="0" w:footer="0" w:header="0"/>
          <w:type w:val="continuous"/>
        </w:sectPr>
      </w:pPr>
    </w:p>
    <w:p>
      <w:pPr>
        <w:spacing w:after="0" w:line="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remaining maturity profile of the Bank’s outstanding loan commitments and financial guarantee contracts is as follows:</w:t>
      </w:r>
    </w:p>
    <w:p>
      <w:pPr>
        <w:sectPr>
          <w:pgSz w:w="11900" w:h="16838" w:orient="portrait"/>
          <w:cols w:equalWidth="0" w:num="1">
            <w:col w:w="11240"/>
          </w:cols>
          <w:pgMar w:left="320" w:top="688" w:right="339" w:bottom="1440" w:gutter="0" w:footer="0" w:header="0"/>
          <w:type w:val="continuous"/>
        </w:sectPr>
      </w:pPr>
    </w:p>
    <w:p>
      <w:pPr>
        <w:spacing w:after="0" w:line="200" w:lineRule="exact"/>
        <w:rPr>
          <w:sz w:val="20"/>
          <w:szCs w:val="20"/>
          <w:color w:val="auto"/>
        </w:rPr>
      </w:pPr>
    </w:p>
    <w:p>
      <w:pPr>
        <w:spacing w:after="0" w:line="274" w:lineRule="exact"/>
        <w:rPr>
          <w:sz w:val="20"/>
          <w:szCs w:val="20"/>
          <w:color w:val="auto"/>
        </w:rPr>
      </w:pPr>
    </w:p>
    <w:p>
      <w:pPr>
        <w:ind w:left="380"/>
        <w:spacing w:after="0"/>
        <w:rPr>
          <w:sz w:val="20"/>
          <w:szCs w:val="20"/>
          <w:color w:val="auto"/>
        </w:rPr>
      </w:pPr>
      <w:r>
        <w:rPr>
          <w:rFonts w:ascii="Arial" w:cs="Arial" w:eastAsia="Arial" w:hAnsi="Arial"/>
          <w:sz w:val="18"/>
          <w:szCs w:val="18"/>
          <w:b w:val="1"/>
          <w:bCs w:val="1"/>
          <w:color w:val="auto"/>
        </w:rPr>
        <w:t>Maturities</w:t>
      </w:r>
    </w:p>
    <w:p>
      <w:pPr>
        <w:spacing w:after="0" w:line="27" w:lineRule="exact"/>
        <w:rPr>
          <w:sz w:val="20"/>
          <w:szCs w:val="20"/>
          <w:color w:val="auto"/>
        </w:rPr>
      </w:pPr>
    </w:p>
    <w:p>
      <w:pPr>
        <w:ind w:left="380"/>
        <w:spacing w:after="0"/>
        <w:rPr>
          <w:sz w:val="20"/>
          <w:szCs w:val="20"/>
          <w:color w:val="auto"/>
        </w:rPr>
      </w:pPr>
      <w:r>
        <w:rPr>
          <w:rFonts w:ascii="Arial" w:cs="Arial" w:eastAsia="Arial" w:hAnsi="Arial"/>
          <w:sz w:val="18"/>
          <w:szCs w:val="18"/>
          <w:color w:val="auto"/>
        </w:rPr>
        <w:t>Up to 1 year</w:t>
      </w:r>
    </w:p>
    <w:p>
      <w:pPr>
        <w:spacing w:after="0" w:line="23" w:lineRule="exact"/>
        <w:rPr>
          <w:sz w:val="20"/>
          <w:szCs w:val="20"/>
          <w:color w:val="auto"/>
        </w:rPr>
      </w:pPr>
    </w:p>
    <w:p>
      <w:pPr>
        <w:ind w:left="380"/>
        <w:spacing w:after="0"/>
        <w:rPr>
          <w:sz w:val="20"/>
          <w:szCs w:val="20"/>
          <w:color w:val="auto"/>
        </w:rPr>
      </w:pPr>
      <w:r>
        <w:rPr>
          <w:rFonts w:ascii="Arial" w:cs="Arial" w:eastAsia="Arial" w:hAnsi="Arial"/>
          <w:sz w:val="16"/>
          <w:szCs w:val="16"/>
          <w:color w:val="auto"/>
        </w:rPr>
        <w:t>From 1 to 2 years</w:t>
      </w:r>
    </w:p>
    <w:p>
      <w:pPr>
        <w:spacing w:after="0" w:line="32" w:lineRule="exact"/>
        <w:rPr>
          <w:sz w:val="20"/>
          <w:szCs w:val="20"/>
          <w:color w:val="auto"/>
        </w:rPr>
      </w:pPr>
    </w:p>
    <w:p>
      <w:pPr>
        <w:ind w:left="380"/>
        <w:spacing w:after="0"/>
        <w:rPr>
          <w:sz w:val="20"/>
          <w:szCs w:val="20"/>
          <w:color w:val="auto"/>
        </w:rPr>
      </w:pPr>
      <w:r>
        <w:rPr>
          <w:rFonts w:ascii="Arial" w:cs="Arial" w:eastAsia="Arial" w:hAnsi="Arial"/>
          <w:sz w:val="16"/>
          <w:szCs w:val="16"/>
          <w:color w:val="auto"/>
        </w:rPr>
        <w:t>Over 2 to 5 years</w:t>
      </w:r>
    </w:p>
    <w:p>
      <w:pPr>
        <w:spacing w:after="0" w:line="32" w:lineRule="exact"/>
        <w:rPr>
          <w:sz w:val="20"/>
          <w:szCs w:val="20"/>
          <w:color w:val="auto"/>
        </w:rPr>
      </w:pPr>
    </w:p>
    <w:p>
      <w:pPr>
        <w:ind w:left="38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62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December 31,</w:t>
            </w:r>
          </w:p>
        </w:tc>
        <w:tc>
          <w:tcPr>
            <w:tcW w:w="1500" w:type="dxa"/>
            <w:vAlign w:val="bottom"/>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195"/>
        </w:trPr>
        <w:tc>
          <w:tcPr>
            <w:tcW w:w="1440" w:type="dxa"/>
            <w:vAlign w:val="bottom"/>
          </w:tcPr>
          <w:p>
            <w:pPr>
              <w:jc w:val="right"/>
              <w:spacing w:after="0" w:line="195" w:lineRule="exact"/>
              <w:rPr>
                <w:sz w:val="20"/>
                <w:szCs w:val="20"/>
                <w:color w:val="auto"/>
              </w:rPr>
            </w:pPr>
            <w:r>
              <w:rPr>
                <w:rFonts w:ascii="Arial" w:cs="Arial" w:eastAsia="Arial" w:hAnsi="Arial"/>
                <w:sz w:val="18"/>
                <w:szCs w:val="18"/>
                <w:color w:val="auto"/>
              </w:rPr>
              <w:t>419,015</w:t>
            </w:r>
          </w:p>
        </w:tc>
        <w:tc>
          <w:tcPr>
            <w:tcW w:w="180" w:type="dxa"/>
            <w:vAlign w:val="bottom"/>
          </w:tcPr>
          <w:p>
            <w:pPr>
              <w:spacing w:after="0"/>
              <w:rPr>
                <w:sz w:val="16"/>
                <w:szCs w:val="16"/>
                <w:color w:val="auto"/>
              </w:rPr>
            </w:pPr>
          </w:p>
        </w:tc>
        <w:tc>
          <w:tcPr>
            <w:tcW w:w="1500" w:type="dxa"/>
            <w:vAlign w:val="bottom"/>
          </w:tcPr>
          <w:p>
            <w:pPr>
              <w:jc w:val="right"/>
              <w:spacing w:after="0" w:line="195" w:lineRule="exact"/>
              <w:rPr>
                <w:sz w:val="20"/>
                <w:szCs w:val="20"/>
                <w:color w:val="auto"/>
              </w:rPr>
            </w:pPr>
            <w:r>
              <w:rPr>
                <w:rFonts w:ascii="Arial" w:cs="Arial" w:eastAsia="Arial" w:hAnsi="Arial"/>
                <w:sz w:val="18"/>
                <w:szCs w:val="18"/>
                <w:color w:val="auto"/>
              </w:rPr>
              <w:t>424,744</w:t>
            </w:r>
          </w:p>
        </w:tc>
      </w:tr>
      <w:tr>
        <w:trPr>
          <w:trHeight w:val="230"/>
        </w:trPr>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75,883</w:t>
            </w:r>
          </w:p>
        </w:tc>
        <w:tc>
          <w:tcPr>
            <w:tcW w:w="1500" w:type="dxa"/>
            <w:vAlign w:val="bottom"/>
          </w:tcPr>
          <w:p>
            <w:pPr>
              <w:jc w:val="right"/>
              <w:spacing w:after="0"/>
              <w:rPr>
                <w:sz w:val="20"/>
                <w:szCs w:val="20"/>
                <w:color w:val="auto"/>
              </w:rPr>
            </w:pPr>
            <w:r>
              <w:rPr>
                <w:rFonts w:ascii="Arial" w:cs="Arial" w:eastAsia="Arial" w:hAnsi="Arial"/>
                <w:sz w:val="18"/>
                <w:szCs w:val="18"/>
                <w:color w:val="auto"/>
              </w:rPr>
              <w:t>8,628</w:t>
            </w:r>
          </w:p>
        </w:tc>
      </w:tr>
      <w:tr>
        <w:trPr>
          <w:trHeight w:val="230"/>
        </w:trPr>
        <w:tc>
          <w:tcPr>
            <w:tcW w:w="1620" w:type="dxa"/>
            <w:vAlign w:val="bottom"/>
            <w:gridSpan w:val="2"/>
          </w:tcPr>
          <w:p>
            <w:pPr>
              <w:jc w:val="right"/>
              <w:ind w:right="180"/>
              <w:spacing w:after="0"/>
              <w:rPr>
                <w:sz w:val="20"/>
                <w:szCs w:val="20"/>
                <w:color w:val="auto"/>
              </w:rPr>
            </w:pPr>
            <w:r>
              <w:rPr>
                <w:rFonts w:ascii="Arial" w:cs="Arial" w:eastAsia="Arial" w:hAnsi="Arial"/>
                <w:sz w:val="18"/>
                <w:szCs w:val="18"/>
                <w:color w:val="auto"/>
              </w:rPr>
              <w:t>70,000</w:t>
            </w:r>
          </w:p>
        </w:tc>
        <w:tc>
          <w:tcPr>
            <w:tcW w:w="1500" w:type="dxa"/>
            <w:vAlign w:val="bottom"/>
          </w:tcPr>
          <w:p>
            <w:pPr>
              <w:jc w:val="right"/>
              <w:spacing w:after="0"/>
              <w:rPr>
                <w:sz w:val="20"/>
                <w:szCs w:val="20"/>
                <w:color w:val="auto"/>
              </w:rPr>
            </w:pPr>
            <w:r>
              <w:rPr>
                <w:rFonts w:ascii="Arial" w:cs="Arial" w:eastAsia="Arial" w:hAnsi="Arial"/>
                <w:sz w:val="18"/>
                <w:szCs w:val="18"/>
                <w:color w:val="auto"/>
              </w:rPr>
              <w:t>60,000</w:t>
            </w:r>
          </w:p>
        </w:tc>
      </w:tr>
      <w:tr>
        <w:trPr>
          <w:trHeight w:val="223"/>
        </w:trPr>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564,898</w:t>
            </w:r>
          </w:p>
        </w:tc>
        <w:tc>
          <w:tcPr>
            <w:tcW w:w="18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r>
      <w:tr>
        <w:trPr>
          <w:trHeight w:val="20"/>
        </w:trPr>
        <w:tc>
          <w:tcPr>
            <w:tcW w:w="14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-4656455</wp:posOffset>
            </wp:positionH>
            <wp:positionV relativeFrom="paragraph">
              <wp:posOffset>-325120</wp:posOffset>
            </wp:positionV>
            <wp:extent cx="6703695" cy="14605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5">
                      <a:extLst>
                        <a:ext uri="{28A0092B-C50C-407E-A947-70E740481C1C}"/>
                      </a:extLst>
                    </a:blip>
                    <a:srcRect/>
                    <a:stretch>
                      <a:fillRect/>
                    </a:stretch>
                  </pic:blipFill>
                  <pic:spPr bwMode="auto">
                    <a:xfrm>
                      <a:off x="0" y="0"/>
                      <a:ext cx="6703695" cy="146050"/>
                    </a:xfrm>
                    <a:prstGeom prst="rect">
                      <a:avLst/>
                    </a:prstGeom>
                    <a:noFill/>
                  </pic:spPr>
                </pic:pic>
              </a:graphicData>
            </a:graphic>
          </wp:anchor>
        </w:drawing>
        <w:drawing>
          <wp:anchor simplePos="0" relativeHeight="251657728" behindDoc="1" locked="0" layoutInCell="0" allowOverlap="1">
            <wp:simplePos x="0" y="0"/>
            <wp:positionH relativeFrom="column">
              <wp:posOffset>-4656455</wp:posOffset>
            </wp:positionH>
            <wp:positionV relativeFrom="paragraph">
              <wp:posOffset>-607695</wp:posOffset>
            </wp:positionV>
            <wp:extent cx="6703695" cy="14541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6">
                      <a:extLst>
                        <a:ext uri="{28A0092B-C50C-407E-A947-70E740481C1C}"/>
                      </a:extLst>
                    </a:blip>
                    <a:srcRect/>
                    <a:stretch>
                      <a:fillRect/>
                    </a:stretch>
                  </pic:blipFill>
                  <pic:spPr bwMode="auto">
                    <a:xfrm>
                      <a:off x="0" y="0"/>
                      <a:ext cx="6703695" cy="1454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7000" w:space="720"/>
            <w:col w:w="3520"/>
          </w:cols>
          <w:pgMar w:left="320" w:top="688" w:right="339" w:bottom="1440" w:gutter="0" w:footer="0" w:header="0"/>
          <w:type w:val="continuous"/>
        </w:sectPr>
      </w:pPr>
    </w:p>
    <w:p>
      <w:pPr>
        <w:spacing w:after="0" w:line="25" w:lineRule="exact"/>
        <w:rPr>
          <w:sz w:val="20"/>
          <w:szCs w:val="20"/>
          <w:color w:val="auto"/>
        </w:rPr>
      </w:pPr>
    </w:p>
    <w:p>
      <w:pPr>
        <w:ind w:left="340" w:hanging="332"/>
        <w:spacing w:after="0"/>
        <w:tabs>
          <w:tab w:leader="none" w:pos="340" w:val="left"/>
        </w:tabs>
        <w:numPr>
          <w:ilvl w:val="0"/>
          <w:numId w:val="249"/>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sets forth the details for the gain or loss on financial instruments recognized in the consolidated statements of profit or loss: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80" w:type="dxa"/>
            <w:vAlign w:val="bottom"/>
          </w:tcPr>
          <w:p>
            <w:pPr>
              <w:spacing w:after="0"/>
              <w:rPr>
                <w:sz w:val="20"/>
                <w:szCs w:val="20"/>
                <w:color w:val="auto"/>
              </w:rPr>
            </w:pPr>
          </w:p>
        </w:tc>
        <w:tc>
          <w:tcPr>
            <w:tcW w:w="566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2"/>
          </w:tcPr>
          <w:p>
            <w:pPr>
              <w:jc w:val="right"/>
              <w:ind w:right="321"/>
              <w:spacing w:after="0"/>
              <w:rPr>
                <w:sz w:val="20"/>
                <w:szCs w:val="20"/>
                <w:color w:val="auto"/>
              </w:rPr>
            </w:pPr>
            <w:r>
              <w:rPr>
                <w:rFonts w:ascii="Arial" w:cs="Arial" w:eastAsia="Arial" w:hAnsi="Arial"/>
                <w:sz w:val="18"/>
                <w:szCs w:val="18"/>
                <w:b w:val="1"/>
                <w:bCs w:val="1"/>
                <w:color w:val="auto"/>
              </w:rPr>
              <w:t>December 31</w:t>
            </w:r>
          </w:p>
        </w:tc>
        <w:tc>
          <w:tcPr>
            <w:tcW w:w="15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80" w:type="dxa"/>
            <w:vAlign w:val="bottom"/>
          </w:tcPr>
          <w:p>
            <w:pPr>
              <w:spacing w:after="0"/>
              <w:rPr>
                <w:sz w:val="19"/>
                <w:szCs w:val="19"/>
                <w:color w:val="auto"/>
              </w:rPr>
            </w:pPr>
          </w:p>
        </w:tc>
        <w:tc>
          <w:tcPr>
            <w:tcW w:w="566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2019</w:t>
            </w:r>
          </w:p>
        </w:tc>
        <w:tc>
          <w:tcPr>
            <w:tcW w:w="2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c>
          <w:tcPr>
            <w:tcW w:w="3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380" w:type="dxa"/>
            <w:vAlign w:val="bottom"/>
          </w:tcPr>
          <w:p>
            <w:pPr>
              <w:spacing w:after="0"/>
              <w:rPr>
                <w:sz w:val="15"/>
                <w:szCs w:val="15"/>
                <w:color w:val="auto"/>
              </w:rPr>
            </w:pPr>
          </w:p>
        </w:tc>
        <w:tc>
          <w:tcPr>
            <w:tcW w:w="5660" w:type="dxa"/>
            <w:vAlign w:val="bottom"/>
            <w:shd w:val="clear" w:color="auto" w:fill="CCEEFF"/>
          </w:tcPr>
          <w:p>
            <w:pPr>
              <w:spacing w:after="0" w:line="182" w:lineRule="exact"/>
              <w:rPr>
                <w:sz w:val="20"/>
                <w:szCs w:val="20"/>
                <w:color w:val="auto"/>
              </w:rPr>
            </w:pPr>
            <w:r>
              <w:rPr>
                <w:rFonts w:ascii="Arial" w:cs="Arial" w:eastAsia="Arial" w:hAnsi="Arial"/>
                <w:sz w:val="18"/>
                <w:szCs w:val="18"/>
                <w:color w:val="auto"/>
              </w:rPr>
              <w:t>Gain (loss) on derivative financial instruments and foreign currency</w:t>
            </w:r>
          </w:p>
        </w:tc>
        <w:tc>
          <w:tcPr>
            <w:tcW w:w="14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3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0" w:type="dxa"/>
            <w:vAlign w:val="bottom"/>
          </w:tcPr>
          <w:p>
            <w:pPr>
              <w:spacing w:after="0"/>
              <w:rPr>
                <w:sz w:val="20"/>
                <w:szCs w:val="20"/>
                <w:color w:val="auto"/>
              </w:rPr>
            </w:pPr>
          </w:p>
        </w:tc>
        <w:tc>
          <w:tcPr>
            <w:tcW w:w="5660" w:type="dxa"/>
            <w:vAlign w:val="bottom"/>
            <w:shd w:val="clear" w:color="auto" w:fill="CCEEFF"/>
          </w:tcPr>
          <w:p>
            <w:pPr>
              <w:ind w:left="60"/>
              <w:spacing w:after="0"/>
              <w:rPr>
                <w:sz w:val="20"/>
                <w:szCs w:val="20"/>
                <w:color w:val="auto"/>
              </w:rPr>
            </w:pPr>
            <w:r>
              <w:rPr>
                <w:rFonts w:ascii="Arial" w:cs="Arial" w:eastAsia="Arial" w:hAnsi="Arial"/>
                <w:sz w:val="18"/>
                <w:szCs w:val="18"/>
                <w:color w:val="auto"/>
              </w:rPr>
              <w:t>exchange, net</w:t>
            </w:r>
          </w:p>
        </w:tc>
        <w:tc>
          <w:tcPr>
            <w:tcW w:w="164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(1,813)</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672</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(1,226)</w:t>
            </w:r>
          </w:p>
        </w:tc>
        <w:tc>
          <w:tcPr>
            <w:tcW w:w="3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0" w:type="dxa"/>
            <w:vAlign w:val="bottom"/>
          </w:tcPr>
          <w:p>
            <w:pPr>
              <w:spacing w:after="0"/>
              <w:rPr>
                <w:sz w:val="18"/>
                <w:szCs w:val="18"/>
                <w:color w:val="auto"/>
              </w:rPr>
            </w:pPr>
          </w:p>
        </w:tc>
        <w:tc>
          <w:tcPr>
            <w:tcW w:w="5660" w:type="dxa"/>
            <w:vAlign w:val="bottom"/>
          </w:tcPr>
          <w:p>
            <w:pPr>
              <w:spacing w:after="0"/>
              <w:rPr>
                <w:sz w:val="20"/>
                <w:szCs w:val="20"/>
                <w:color w:val="auto"/>
              </w:rPr>
            </w:pPr>
            <w:r>
              <w:rPr>
                <w:rFonts w:ascii="Arial" w:cs="Arial" w:eastAsia="Arial" w:hAnsi="Arial"/>
                <w:sz w:val="18"/>
                <w:szCs w:val="18"/>
                <w:color w:val="auto"/>
              </w:rPr>
              <w:t>(Loss) gain on financial instruments at fair value through profit or loss</w:t>
            </w:r>
          </w:p>
        </w:tc>
        <w:tc>
          <w:tcPr>
            <w:tcW w:w="1640" w:type="dxa"/>
            <w:vAlign w:val="bottom"/>
            <w:gridSpan w:val="2"/>
          </w:tcPr>
          <w:p>
            <w:pPr>
              <w:jc w:val="right"/>
              <w:ind w:right="61"/>
              <w:spacing w:after="0"/>
              <w:rPr>
                <w:sz w:val="20"/>
                <w:szCs w:val="20"/>
                <w:color w:val="auto"/>
              </w:rPr>
            </w:pPr>
            <w:r>
              <w:rPr>
                <w:rFonts w:ascii="Arial" w:cs="Arial" w:eastAsia="Arial" w:hAnsi="Arial"/>
                <w:sz w:val="18"/>
                <w:szCs w:val="18"/>
                <w:color w:val="auto"/>
              </w:rPr>
              <w:t>(2,175)</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(2,258)</w:t>
            </w:r>
          </w:p>
        </w:tc>
        <w:tc>
          <w:tcPr>
            <w:tcW w:w="1600" w:type="dxa"/>
            <w:vAlign w:val="bottom"/>
            <w:gridSpan w:val="2"/>
          </w:tcPr>
          <w:p>
            <w:pPr>
              <w:jc w:val="right"/>
              <w:ind w:right="21"/>
              <w:spacing w:after="0"/>
              <w:rPr>
                <w:sz w:val="20"/>
                <w:szCs w:val="20"/>
                <w:color w:val="auto"/>
              </w:rPr>
            </w:pPr>
            <w:r>
              <w:rPr>
                <w:rFonts w:ascii="Arial" w:cs="Arial" w:eastAsia="Arial" w:hAnsi="Arial"/>
                <w:sz w:val="18"/>
                <w:szCs w:val="18"/>
                <w:color w:val="auto"/>
              </w:rPr>
              <w:t>648</w:t>
            </w:r>
          </w:p>
        </w:tc>
        <w:tc>
          <w:tcPr>
            <w:tcW w:w="3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0" w:type="dxa"/>
            <w:vAlign w:val="bottom"/>
          </w:tcPr>
          <w:p>
            <w:pPr>
              <w:spacing w:after="0"/>
              <w:rPr>
                <w:sz w:val="18"/>
                <w:szCs w:val="18"/>
                <w:color w:val="auto"/>
              </w:rPr>
            </w:pPr>
          </w:p>
        </w:tc>
        <w:tc>
          <w:tcPr>
            <w:tcW w:w="5660" w:type="dxa"/>
            <w:vAlign w:val="bottom"/>
            <w:shd w:val="clear" w:color="auto" w:fill="CCEEFF"/>
          </w:tcPr>
          <w:p>
            <w:pPr>
              <w:spacing w:after="0"/>
              <w:rPr>
                <w:sz w:val="20"/>
                <w:szCs w:val="20"/>
                <w:color w:val="auto"/>
              </w:rPr>
            </w:pPr>
            <w:r>
              <w:rPr>
                <w:rFonts w:ascii="Arial" w:cs="Arial" w:eastAsia="Arial" w:hAnsi="Arial"/>
                <w:sz w:val="18"/>
                <w:szCs w:val="18"/>
                <w:color w:val="auto"/>
                <w:w w:val="96"/>
              </w:rPr>
              <w:t>Unrealized loss on financial instruments at fair value through profit or loss</w:t>
            </w:r>
          </w:p>
        </w:tc>
        <w:tc>
          <w:tcPr>
            <w:tcW w:w="164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(806)</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60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0" w:type="dxa"/>
            <w:vAlign w:val="bottom"/>
          </w:tcPr>
          <w:p>
            <w:pPr>
              <w:spacing w:after="0"/>
              <w:rPr>
                <w:sz w:val="18"/>
                <w:szCs w:val="18"/>
                <w:color w:val="auto"/>
              </w:rPr>
            </w:pPr>
          </w:p>
        </w:tc>
        <w:tc>
          <w:tcPr>
            <w:tcW w:w="5660" w:type="dxa"/>
            <w:vAlign w:val="bottom"/>
          </w:tcPr>
          <w:p>
            <w:pPr>
              <w:spacing w:after="0"/>
              <w:rPr>
                <w:sz w:val="20"/>
                <w:szCs w:val="20"/>
                <w:color w:val="auto"/>
              </w:rPr>
            </w:pPr>
            <w:r>
              <w:rPr>
                <w:rFonts w:ascii="Arial" w:cs="Arial" w:eastAsia="Arial" w:hAnsi="Arial"/>
                <w:sz w:val="18"/>
                <w:szCs w:val="18"/>
                <w:color w:val="auto"/>
              </w:rPr>
              <w:t>Realized gain on sale of securities at fair value through OCI</w:t>
            </w:r>
          </w:p>
        </w:tc>
        <w:tc>
          <w:tcPr>
            <w:tcW w:w="164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186</w:t>
            </w:r>
          </w:p>
        </w:tc>
        <w:tc>
          <w:tcPr>
            <w:tcW w:w="1600" w:type="dxa"/>
            <w:vAlign w:val="bottom"/>
            <w:gridSpan w:val="2"/>
          </w:tcPr>
          <w:p>
            <w:pPr>
              <w:jc w:val="right"/>
              <w:ind w:right="21"/>
              <w:spacing w:after="0"/>
              <w:rPr>
                <w:sz w:val="20"/>
                <w:szCs w:val="20"/>
                <w:color w:val="auto"/>
              </w:rPr>
            </w:pPr>
            <w:r>
              <w:rPr>
                <w:rFonts w:ascii="Arial" w:cs="Arial" w:eastAsia="Arial" w:hAnsi="Arial"/>
                <w:sz w:val="18"/>
                <w:szCs w:val="18"/>
                <w:color w:val="auto"/>
              </w:rPr>
              <w:t>194</w:t>
            </w:r>
          </w:p>
        </w:tc>
        <w:tc>
          <w:tcPr>
            <w:tcW w:w="3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80" w:type="dxa"/>
            <w:vAlign w:val="bottom"/>
          </w:tcPr>
          <w:p>
            <w:pPr>
              <w:spacing w:after="0"/>
              <w:rPr>
                <w:sz w:val="19"/>
                <w:szCs w:val="19"/>
                <w:color w:val="auto"/>
              </w:rPr>
            </w:pPr>
          </w:p>
        </w:tc>
        <w:tc>
          <w:tcPr>
            <w:tcW w:w="5660" w:type="dxa"/>
            <w:vAlign w:val="bottom"/>
            <w:shd w:val="clear" w:color="auto" w:fill="CCEEFF"/>
          </w:tcPr>
          <w:p>
            <w:pPr>
              <w:spacing w:after="0"/>
              <w:rPr>
                <w:sz w:val="20"/>
                <w:szCs w:val="20"/>
                <w:color w:val="auto"/>
              </w:rPr>
            </w:pPr>
            <w:r>
              <w:rPr>
                <w:rFonts w:ascii="Arial" w:cs="Arial" w:eastAsia="Arial" w:hAnsi="Arial"/>
                <w:sz w:val="18"/>
                <w:szCs w:val="18"/>
                <w:color w:val="auto"/>
              </w:rPr>
              <w:t>Gain (loss) on sale of loans</w:t>
            </w:r>
          </w:p>
        </w:tc>
        <w:tc>
          <w:tcPr>
            <w:tcW w:w="164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21</w:t>
            </w:r>
          </w:p>
        </w:tc>
        <w:tc>
          <w:tcPr>
            <w:tcW w:w="1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(625)</w:t>
            </w:r>
          </w:p>
        </w:tc>
        <w:tc>
          <w:tcPr>
            <w:tcW w:w="3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80" w:type="dxa"/>
            <w:vAlign w:val="bottom"/>
          </w:tcPr>
          <w:p>
            <w:pPr>
              <w:spacing w:after="0"/>
              <w:rPr>
                <w:sz w:val="19"/>
                <w:szCs w:val="19"/>
                <w:color w:val="auto"/>
              </w:rPr>
            </w:pPr>
          </w:p>
        </w:tc>
        <w:tc>
          <w:tcPr>
            <w:tcW w:w="566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(4,794</w:t>
            </w:r>
          </w:p>
        </w:tc>
        <w:tc>
          <w:tcPr>
            <w:tcW w:w="200" w:type="dxa"/>
            <w:vAlign w:val="bottom"/>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(1,379</w:t>
            </w:r>
          </w:p>
        </w:tc>
        <w:tc>
          <w:tcPr>
            <w:tcW w:w="200" w:type="dxa"/>
            <w:vAlign w:val="bottom"/>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3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80" w:type="dxa"/>
            <w:vAlign w:val="bottom"/>
          </w:tcPr>
          <w:p>
            <w:pPr>
              <w:spacing w:after="0" w:line="20" w:lineRule="exact"/>
              <w:rPr>
                <w:sz w:val="1"/>
                <w:szCs w:val="1"/>
                <w:color w:val="auto"/>
              </w:rPr>
            </w:pPr>
          </w:p>
        </w:tc>
        <w:tc>
          <w:tcPr>
            <w:tcW w:w="5660" w:type="dxa"/>
            <w:vAlign w:val="bottom"/>
            <w:vMerge w:val="restart"/>
          </w:tcPr>
          <w:p>
            <w:pPr>
              <w:ind w:left="5080"/>
              <w:spacing w:after="0"/>
              <w:rPr>
                <w:sz w:val="20"/>
                <w:szCs w:val="20"/>
                <w:color w:val="auto"/>
              </w:rPr>
            </w:pPr>
            <w:r>
              <w:rPr>
                <w:rFonts w:ascii="Arial" w:cs="Arial" w:eastAsia="Arial" w:hAnsi="Arial"/>
                <w:sz w:val="18"/>
                <w:szCs w:val="18"/>
                <w:color w:val="auto"/>
              </w:rPr>
              <w:t>F-83</w:t>
            </w: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380" w:type="dxa"/>
            <w:vAlign w:val="bottom"/>
            <w:tcBorders>
              <w:bottom w:val="single" w:sz="8" w:color="auto"/>
            </w:tcBorders>
          </w:tcPr>
          <w:p>
            <w:pPr>
              <w:spacing w:after="0"/>
              <w:rPr>
                <w:sz w:val="24"/>
                <w:szCs w:val="24"/>
                <w:color w:val="auto"/>
              </w:rPr>
            </w:pPr>
          </w:p>
        </w:tc>
        <w:tc>
          <w:tcPr>
            <w:tcW w:w="5660" w:type="dxa"/>
            <w:vAlign w:val="bottom"/>
            <w:tcBorders>
              <w:bottom w:val="single" w:sz="8" w:color="auto"/>
            </w:tcBorders>
            <w:vMerge w:val="continue"/>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type w:val="continuous"/>
        </w:sectPr>
      </w:pPr>
    </w:p>
    <w:bookmarkStart w:id="219" w:name="page220"/>
    <w:bookmarkEnd w:id="2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50"/>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180"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406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w w:val="99"/>
              </w:rPr>
              <w:t>December 31, 2020</w:t>
            </w:r>
          </w:p>
        </w:tc>
        <w:tc>
          <w:tcPr>
            <w:tcW w:w="14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05"/>
        </w:trPr>
        <w:tc>
          <w:tcPr>
            <w:tcW w:w="406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180" w:type="dxa"/>
            <w:vAlign w:val="bottom"/>
            <w:gridSpan w:val="4"/>
          </w:tcPr>
          <w:p>
            <w:pPr>
              <w:jc w:val="center"/>
              <w:ind w:right="20"/>
              <w:spacing w:after="0" w:line="205" w:lineRule="exact"/>
              <w:rPr>
                <w:sz w:val="20"/>
                <w:szCs w:val="20"/>
                <w:color w:val="auto"/>
              </w:rPr>
            </w:pPr>
            <w:r>
              <w:rPr>
                <w:rFonts w:ascii="Arial" w:cs="Arial" w:eastAsia="Arial" w:hAnsi="Arial"/>
                <w:sz w:val="18"/>
                <w:szCs w:val="18"/>
                <w:b w:val="1"/>
                <w:bCs w:val="1"/>
                <w:color w:val="auto"/>
                <w:w w:val="91"/>
              </w:rPr>
              <w:t>Carrying amount of hedging</w:t>
            </w:r>
          </w:p>
        </w:tc>
        <w:tc>
          <w:tcPr>
            <w:tcW w:w="100" w:type="dxa"/>
            <w:vAlign w:val="bottom"/>
          </w:tcPr>
          <w:p>
            <w:pPr>
              <w:spacing w:after="0"/>
              <w:rPr>
                <w:sz w:val="17"/>
                <w:szCs w:val="17"/>
                <w:color w:val="auto"/>
              </w:rPr>
            </w:pPr>
          </w:p>
        </w:tc>
      </w:tr>
      <w:tr>
        <w:trPr>
          <w:trHeight w:val="234"/>
        </w:trPr>
        <w:tc>
          <w:tcPr>
            <w:tcW w:w="4060" w:type="dxa"/>
            <w:vAlign w:val="bottom"/>
          </w:tcPr>
          <w:p>
            <w:pPr>
              <w:spacing w:after="0"/>
              <w:rPr>
                <w:sz w:val="20"/>
                <w:szCs w:val="20"/>
                <w:color w:val="auto"/>
              </w:rPr>
            </w:pPr>
          </w:p>
        </w:tc>
        <w:tc>
          <w:tcPr>
            <w:tcW w:w="1640" w:type="dxa"/>
            <w:vAlign w:val="bottom"/>
            <w:gridSpan w:val="2"/>
          </w:tcPr>
          <w:p>
            <w:pPr>
              <w:ind w:left="400"/>
              <w:spacing w:after="0"/>
              <w:rPr>
                <w:sz w:val="20"/>
                <w:szCs w:val="20"/>
                <w:color w:val="auto"/>
              </w:rPr>
            </w:pPr>
            <w:r>
              <w:rPr>
                <w:rFonts w:ascii="Arial" w:cs="Arial" w:eastAsia="Arial" w:hAnsi="Arial"/>
                <w:sz w:val="18"/>
                <w:szCs w:val="18"/>
                <w:b w:val="1"/>
                <w:bCs w:val="1"/>
                <w:color w:val="auto"/>
              </w:rPr>
              <w:t>Nominal</w:t>
            </w:r>
          </w:p>
        </w:tc>
        <w:tc>
          <w:tcPr>
            <w:tcW w:w="3280" w:type="dxa"/>
            <w:vAlign w:val="bottom"/>
            <w:gridSpan w:val="5"/>
          </w:tcPr>
          <w:p>
            <w:pPr>
              <w:jc w:val="center"/>
              <w:ind w:right="81"/>
              <w:spacing w:after="0"/>
              <w:rPr>
                <w:sz w:val="20"/>
                <w:szCs w:val="20"/>
                <w:color w:val="auto"/>
              </w:rPr>
            </w:pPr>
            <w:r>
              <w:rPr>
                <w:rFonts w:ascii="Arial" w:cs="Arial" w:eastAsia="Arial" w:hAnsi="Arial"/>
                <w:sz w:val="18"/>
                <w:szCs w:val="18"/>
                <w:b w:val="1"/>
                <w:bCs w:val="1"/>
                <w:color w:val="auto"/>
                <w:w w:val="89"/>
              </w:rPr>
              <w:t>instruments</w:t>
            </w:r>
          </w:p>
        </w:tc>
      </w:tr>
      <w:tr>
        <w:trPr>
          <w:trHeight w:val="250"/>
        </w:trPr>
        <w:tc>
          <w:tcPr>
            <w:tcW w:w="4060" w:type="dxa"/>
            <w:vAlign w:val="bottom"/>
          </w:tcPr>
          <w:p>
            <w:pPr>
              <w:spacing w:after="0"/>
              <w:rPr>
                <w:sz w:val="21"/>
                <w:szCs w:val="21"/>
                <w:color w:val="auto"/>
              </w:rPr>
            </w:pPr>
          </w:p>
        </w:tc>
        <w:tc>
          <w:tcPr>
            <w:tcW w:w="1640" w:type="dxa"/>
            <w:vAlign w:val="bottom"/>
            <w:gridSpan w:val="2"/>
          </w:tcPr>
          <w:p>
            <w:pPr>
              <w:ind w:left="420"/>
              <w:spacing w:after="0"/>
              <w:rPr>
                <w:sz w:val="20"/>
                <w:szCs w:val="20"/>
                <w:color w:val="auto"/>
              </w:rPr>
            </w:pPr>
            <w:r>
              <w:rPr>
                <w:rFonts w:ascii="Arial" w:cs="Arial" w:eastAsia="Arial" w:hAnsi="Arial"/>
                <w:sz w:val="18"/>
                <w:szCs w:val="18"/>
                <w:b w:val="1"/>
                <w:bCs w:val="1"/>
                <w:color w:val="auto"/>
              </w:rPr>
              <w:t>amount</w:t>
            </w:r>
          </w:p>
        </w:tc>
        <w:tc>
          <w:tcPr>
            <w:tcW w:w="1680" w:type="dxa"/>
            <w:vAlign w:val="bottom"/>
            <w:tcBorders>
              <w:top w:val="single" w:sz="8" w:color="auto"/>
            </w:tcBorders>
            <w:gridSpan w:val="2"/>
          </w:tcPr>
          <w:p>
            <w:pPr>
              <w:ind w:left="42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500" w:type="dxa"/>
            <w:vAlign w:val="bottom"/>
            <w:tcBorders>
              <w:top w:val="single" w:sz="8" w:color="auto"/>
            </w:tcBorders>
            <w:gridSpan w:val="2"/>
          </w:tcPr>
          <w:p>
            <w:pPr>
              <w:jc w:val="right"/>
              <w:ind w:right="32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00" w:type="dxa"/>
            <w:vAlign w:val="bottom"/>
          </w:tcPr>
          <w:p>
            <w:pPr>
              <w:spacing w:after="0"/>
              <w:rPr>
                <w:sz w:val="21"/>
                <w:szCs w:val="21"/>
                <w:color w:val="auto"/>
              </w:rPr>
            </w:pPr>
          </w:p>
        </w:tc>
      </w:tr>
      <w:tr>
        <w:trPr>
          <w:trHeight w:val="209"/>
        </w:trPr>
        <w:tc>
          <w:tcPr>
            <w:tcW w:w="4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85,667</w:t>
            </w:r>
          </w:p>
        </w:tc>
        <w:tc>
          <w:tcPr>
            <w:tcW w:w="2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1,831</w:t>
            </w:r>
          </w:p>
        </w:tc>
        <w:tc>
          <w:tcPr>
            <w:tcW w:w="20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060" w:type="dxa"/>
            <w:vAlign w:val="bottom"/>
          </w:tcPr>
          <w:p>
            <w:pPr>
              <w:spacing w:after="0"/>
              <w:rPr>
                <w:sz w:val="20"/>
                <w:szCs w:val="20"/>
                <w:color w:val="auto"/>
              </w:rPr>
            </w:pPr>
            <w:r>
              <w:rPr>
                <w:rFonts w:ascii="Arial" w:cs="Arial" w:eastAsia="Arial" w:hAnsi="Arial"/>
                <w:sz w:val="18"/>
                <w:szCs w:val="18"/>
                <w:color w:val="auto"/>
              </w:rPr>
              <w:t>Cash flow hedges</w:t>
            </w:r>
          </w:p>
        </w:tc>
        <w:tc>
          <w:tcPr>
            <w:tcW w:w="1440" w:type="dxa"/>
            <w:vAlign w:val="bottom"/>
          </w:tcPr>
          <w:p>
            <w:pPr>
              <w:jc w:val="right"/>
              <w:spacing w:after="0"/>
              <w:rPr>
                <w:sz w:val="20"/>
                <w:szCs w:val="20"/>
                <w:color w:val="auto"/>
              </w:rPr>
            </w:pPr>
            <w:r>
              <w:rPr>
                <w:rFonts w:ascii="Arial" w:cs="Arial" w:eastAsia="Arial" w:hAnsi="Arial"/>
                <w:sz w:val="18"/>
                <w:szCs w:val="18"/>
                <w:color w:val="auto"/>
              </w:rPr>
              <w:t>60,000</w:t>
            </w:r>
          </w:p>
        </w:tc>
        <w:tc>
          <w:tcPr>
            <w:tcW w:w="200" w:type="dxa"/>
            <w:vAlign w:val="bottom"/>
          </w:tcPr>
          <w:p>
            <w:pPr>
              <w:spacing w:after="0"/>
              <w:rPr>
                <w:sz w:val="18"/>
                <w:szCs w:val="18"/>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600" w:type="dxa"/>
            <w:vAlign w:val="bottom"/>
            <w:gridSpan w:val="3"/>
          </w:tcPr>
          <w:p>
            <w:pPr>
              <w:jc w:val="right"/>
              <w:ind w:right="21"/>
              <w:spacing w:after="0"/>
              <w:rPr>
                <w:sz w:val="20"/>
                <w:szCs w:val="20"/>
                <w:color w:val="auto"/>
              </w:rPr>
            </w:pPr>
            <w:r>
              <w:rPr>
                <w:rFonts w:ascii="Arial" w:cs="Arial" w:eastAsia="Arial" w:hAnsi="Arial"/>
                <w:sz w:val="18"/>
                <w:szCs w:val="18"/>
                <w:color w:val="auto"/>
              </w:rPr>
              <w:t>(1,541)</w:t>
            </w: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rate and foreign exchange risk</w:t>
            </w:r>
          </w:p>
        </w:tc>
        <w:tc>
          <w:tcPr>
            <w:tcW w:w="1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060" w:type="dxa"/>
            <w:vAlign w:val="bottom"/>
          </w:tcPr>
          <w:p>
            <w:pPr>
              <w:spacing w:after="0"/>
              <w:rPr>
                <w:sz w:val="20"/>
                <w:szCs w:val="20"/>
                <w:color w:val="auto"/>
              </w:rPr>
            </w:pPr>
            <w:r>
              <w:rPr>
                <w:rFonts w:ascii="Arial" w:cs="Arial" w:eastAsia="Arial" w:hAnsi="Arial"/>
                <w:sz w:val="18"/>
                <w:szCs w:val="18"/>
                <w:color w:val="auto"/>
              </w:rPr>
              <w:t>Fair value hedges</w:t>
            </w:r>
          </w:p>
        </w:tc>
        <w:tc>
          <w:tcPr>
            <w:tcW w:w="1440" w:type="dxa"/>
            <w:vAlign w:val="bottom"/>
          </w:tcPr>
          <w:p>
            <w:pPr>
              <w:jc w:val="right"/>
              <w:spacing w:after="0"/>
              <w:rPr>
                <w:sz w:val="20"/>
                <w:szCs w:val="20"/>
                <w:color w:val="auto"/>
              </w:rPr>
            </w:pPr>
            <w:r>
              <w:rPr>
                <w:rFonts w:ascii="Arial" w:cs="Arial" w:eastAsia="Arial" w:hAnsi="Arial"/>
                <w:sz w:val="18"/>
                <w:szCs w:val="18"/>
                <w:color w:val="auto"/>
              </w:rPr>
              <w:t>344,489</w:t>
            </w:r>
          </w:p>
        </w:tc>
        <w:tc>
          <w:tcPr>
            <w:tcW w:w="200" w:type="dxa"/>
            <w:vAlign w:val="bottom"/>
          </w:tcPr>
          <w:p>
            <w:pPr>
              <w:spacing w:after="0"/>
              <w:rPr>
                <w:sz w:val="18"/>
                <w:szCs w:val="18"/>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2,856</w:t>
            </w:r>
          </w:p>
        </w:tc>
        <w:tc>
          <w:tcPr>
            <w:tcW w:w="200" w:type="dxa"/>
            <w:vAlign w:val="bottom"/>
          </w:tcPr>
          <w:p>
            <w:pPr>
              <w:spacing w:after="0"/>
              <w:rPr>
                <w:sz w:val="18"/>
                <w:szCs w:val="18"/>
                <w:color w:val="auto"/>
              </w:rPr>
            </w:pPr>
          </w:p>
        </w:tc>
        <w:tc>
          <w:tcPr>
            <w:tcW w:w="1600" w:type="dxa"/>
            <w:vAlign w:val="bottom"/>
            <w:gridSpan w:val="3"/>
          </w:tcPr>
          <w:p>
            <w:pPr>
              <w:jc w:val="right"/>
              <w:ind w:right="21"/>
              <w:spacing w:after="0"/>
              <w:rPr>
                <w:sz w:val="20"/>
                <w:szCs w:val="20"/>
                <w:color w:val="auto"/>
              </w:rPr>
            </w:pPr>
            <w:r>
              <w:rPr>
                <w:rFonts w:ascii="Arial" w:cs="Arial" w:eastAsia="Arial" w:hAnsi="Arial"/>
                <w:sz w:val="18"/>
                <w:szCs w:val="18"/>
                <w:color w:val="auto"/>
              </w:rPr>
              <w:t>(3,848)</w:t>
            </w: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221,508</w:t>
            </w: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23,091</w:t>
            </w: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060" w:type="dxa"/>
            <w:vAlign w:val="bottom"/>
          </w:tcPr>
          <w:p>
            <w:pPr>
              <w:spacing w:after="0"/>
              <w:rPr>
                <w:sz w:val="20"/>
                <w:szCs w:val="20"/>
                <w:color w:val="auto"/>
              </w:rPr>
            </w:pPr>
            <w:r>
              <w:rPr>
                <w:rFonts w:ascii="Arial" w:cs="Arial" w:eastAsia="Arial" w:hAnsi="Arial"/>
                <w:sz w:val="18"/>
                <w:szCs w:val="18"/>
                <w:b w:val="1"/>
                <w:bCs w:val="1"/>
                <w:color w:val="auto"/>
              </w:rPr>
              <w:t>Foreign exchange risk</w:t>
            </w:r>
          </w:p>
        </w:tc>
        <w:tc>
          <w:tcPr>
            <w:tcW w:w="1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71,353</w:t>
            </w:r>
          </w:p>
        </w:tc>
        <w:tc>
          <w:tcPr>
            <w:tcW w:w="2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60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(3,589)</w:t>
            </w:r>
          </w:p>
        </w:tc>
      </w:tr>
      <w:tr>
        <w:trPr>
          <w:trHeight w:val="223"/>
        </w:trPr>
        <w:tc>
          <w:tcPr>
            <w:tcW w:w="406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0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(9,211</w:t>
            </w: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Pr>
          <w:p>
            <w:pPr>
              <w:jc w:val="right"/>
              <w:ind w:right="21"/>
              <w:spacing w:after="0"/>
              <w:rPr>
                <w:sz w:val="20"/>
                <w:szCs w:val="20"/>
                <w:color w:val="auto"/>
              </w:rPr>
            </w:pPr>
            <w:r>
              <w:rPr>
                <w:rFonts w:ascii="Arial" w:cs="Arial" w:eastAsia="Arial" w:hAnsi="Arial"/>
                <w:sz w:val="8"/>
                <w:szCs w:val="8"/>
                <w:b w:val="1"/>
                <w:bCs w:val="1"/>
                <w:color w:val="auto"/>
                <w:w w:val="73"/>
              </w:rPr>
              <w:t>)</w:t>
            </w:r>
          </w:p>
        </w:tc>
      </w:tr>
      <w:tr>
        <w:trPr>
          <w:trHeight w:val="20"/>
        </w:trPr>
        <w:tc>
          <w:tcPr>
            <w:tcW w:w="406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4060" w:type="dxa"/>
            <w:vAlign w:val="bottom"/>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w w:val="99"/>
              </w:rPr>
              <w:t>December 31, 2019</w:t>
            </w:r>
          </w:p>
        </w:tc>
        <w:tc>
          <w:tcPr>
            <w:tcW w:w="1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406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180" w:type="dxa"/>
            <w:vAlign w:val="bottom"/>
            <w:gridSpan w:val="4"/>
          </w:tcPr>
          <w:p>
            <w:pPr>
              <w:jc w:val="center"/>
              <w:ind w:right="20"/>
              <w:spacing w:after="0" w:line="191" w:lineRule="exact"/>
              <w:rPr>
                <w:sz w:val="20"/>
                <w:szCs w:val="20"/>
                <w:color w:val="auto"/>
              </w:rPr>
            </w:pPr>
            <w:r>
              <w:rPr>
                <w:rFonts w:ascii="Arial" w:cs="Arial" w:eastAsia="Arial" w:hAnsi="Arial"/>
                <w:sz w:val="18"/>
                <w:szCs w:val="18"/>
                <w:b w:val="1"/>
                <w:bCs w:val="1"/>
                <w:color w:val="auto"/>
                <w:w w:val="91"/>
              </w:rPr>
              <w:t>Carrying amount of hedging</w:t>
            </w:r>
          </w:p>
        </w:tc>
        <w:tc>
          <w:tcPr>
            <w:tcW w:w="100" w:type="dxa"/>
            <w:vAlign w:val="bottom"/>
          </w:tcPr>
          <w:p>
            <w:pPr>
              <w:spacing w:after="0"/>
              <w:rPr>
                <w:sz w:val="16"/>
                <w:szCs w:val="16"/>
                <w:color w:val="auto"/>
              </w:rPr>
            </w:pPr>
          </w:p>
        </w:tc>
      </w:tr>
      <w:tr>
        <w:trPr>
          <w:trHeight w:val="234"/>
        </w:trPr>
        <w:tc>
          <w:tcPr>
            <w:tcW w:w="4060" w:type="dxa"/>
            <w:vAlign w:val="bottom"/>
          </w:tcPr>
          <w:p>
            <w:pPr>
              <w:spacing w:after="0"/>
              <w:rPr>
                <w:sz w:val="20"/>
                <w:szCs w:val="20"/>
                <w:color w:val="auto"/>
              </w:rPr>
            </w:pPr>
          </w:p>
        </w:tc>
        <w:tc>
          <w:tcPr>
            <w:tcW w:w="1640" w:type="dxa"/>
            <w:vAlign w:val="bottom"/>
            <w:gridSpan w:val="2"/>
          </w:tcPr>
          <w:p>
            <w:pPr>
              <w:ind w:left="400"/>
              <w:spacing w:after="0"/>
              <w:rPr>
                <w:sz w:val="20"/>
                <w:szCs w:val="20"/>
                <w:color w:val="auto"/>
              </w:rPr>
            </w:pPr>
            <w:r>
              <w:rPr>
                <w:rFonts w:ascii="Arial" w:cs="Arial" w:eastAsia="Arial" w:hAnsi="Arial"/>
                <w:sz w:val="18"/>
                <w:szCs w:val="18"/>
                <w:b w:val="1"/>
                <w:bCs w:val="1"/>
                <w:color w:val="auto"/>
              </w:rPr>
              <w:t>Nominal</w:t>
            </w:r>
          </w:p>
        </w:tc>
        <w:tc>
          <w:tcPr>
            <w:tcW w:w="3280" w:type="dxa"/>
            <w:vAlign w:val="bottom"/>
            <w:gridSpan w:val="5"/>
          </w:tcPr>
          <w:p>
            <w:pPr>
              <w:jc w:val="center"/>
              <w:ind w:right="81"/>
              <w:spacing w:after="0"/>
              <w:rPr>
                <w:sz w:val="20"/>
                <w:szCs w:val="20"/>
                <w:color w:val="auto"/>
              </w:rPr>
            </w:pPr>
            <w:r>
              <w:rPr>
                <w:rFonts w:ascii="Arial" w:cs="Arial" w:eastAsia="Arial" w:hAnsi="Arial"/>
                <w:sz w:val="18"/>
                <w:szCs w:val="18"/>
                <w:b w:val="1"/>
                <w:bCs w:val="1"/>
                <w:color w:val="auto"/>
                <w:w w:val="89"/>
              </w:rPr>
              <w:t>instruments</w:t>
            </w:r>
          </w:p>
        </w:tc>
      </w:tr>
      <w:tr>
        <w:trPr>
          <w:trHeight w:val="250"/>
        </w:trPr>
        <w:tc>
          <w:tcPr>
            <w:tcW w:w="4060" w:type="dxa"/>
            <w:vAlign w:val="bottom"/>
          </w:tcPr>
          <w:p>
            <w:pPr>
              <w:spacing w:after="0"/>
              <w:rPr>
                <w:sz w:val="21"/>
                <w:szCs w:val="21"/>
                <w:color w:val="auto"/>
              </w:rPr>
            </w:pPr>
          </w:p>
        </w:tc>
        <w:tc>
          <w:tcPr>
            <w:tcW w:w="1640" w:type="dxa"/>
            <w:vAlign w:val="bottom"/>
            <w:gridSpan w:val="2"/>
          </w:tcPr>
          <w:p>
            <w:pPr>
              <w:ind w:left="400"/>
              <w:spacing w:after="0"/>
              <w:rPr>
                <w:sz w:val="20"/>
                <w:szCs w:val="20"/>
                <w:color w:val="auto"/>
              </w:rPr>
            </w:pPr>
            <w:r>
              <w:rPr>
                <w:rFonts w:ascii="Arial" w:cs="Arial" w:eastAsia="Arial" w:hAnsi="Arial"/>
                <w:sz w:val="18"/>
                <w:szCs w:val="18"/>
                <w:b w:val="1"/>
                <w:bCs w:val="1"/>
                <w:color w:val="auto"/>
              </w:rPr>
              <w:t>amount</w:t>
            </w:r>
          </w:p>
        </w:tc>
        <w:tc>
          <w:tcPr>
            <w:tcW w:w="1680" w:type="dxa"/>
            <w:vAlign w:val="bottom"/>
            <w:tcBorders>
              <w:top w:val="single" w:sz="8" w:color="auto"/>
            </w:tcBorders>
            <w:gridSpan w:val="2"/>
          </w:tcPr>
          <w:p>
            <w:pPr>
              <w:ind w:left="42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500" w:type="dxa"/>
            <w:vAlign w:val="bottom"/>
            <w:tcBorders>
              <w:top w:val="single" w:sz="8" w:color="auto"/>
            </w:tcBorders>
            <w:gridSpan w:val="2"/>
          </w:tcPr>
          <w:p>
            <w:pPr>
              <w:jc w:val="right"/>
              <w:ind w:right="32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00" w:type="dxa"/>
            <w:vAlign w:val="bottom"/>
          </w:tcPr>
          <w:p>
            <w:pPr>
              <w:spacing w:after="0"/>
              <w:rPr>
                <w:sz w:val="21"/>
                <w:szCs w:val="21"/>
                <w:color w:val="auto"/>
              </w:rPr>
            </w:pPr>
          </w:p>
        </w:tc>
      </w:tr>
      <w:tr>
        <w:trPr>
          <w:trHeight w:val="210"/>
        </w:trPr>
        <w:tc>
          <w:tcPr>
            <w:tcW w:w="4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4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060" w:type="dxa"/>
            <w:vAlign w:val="bottom"/>
          </w:tcPr>
          <w:p>
            <w:pPr>
              <w:spacing w:after="0"/>
              <w:rPr>
                <w:sz w:val="20"/>
                <w:szCs w:val="20"/>
                <w:color w:val="auto"/>
              </w:rPr>
            </w:pPr>
            <w:r>
              <w:rPr>
                <w:rFonts w:ascii="Arial" w:cs="Arial" w:eastAsia="Arial" w:hAnsi="Arial"/>
                <w:sz w:val="18"/>
                <w:szCs w:val="18"/>
                <w:color w:val="auto"/>
              </w:rPr>
              <w:t>Fair value hedges</w:t>
            </w:r>
          </w:p>
        </w:tc>
        <w:tc>
          <w:tcPr>
            <w:tcW w:w="1440" w:type="dxa"/>
            <w:vAlign w:val="bottom"/>
          </w:tcPr>
          <w:p>
            <w:pPr>
              <w:jc w:val="right"/>
              <w:spacing w:after="0"/>
              <w:rPr>
                <w:sz w:val="20"/>
                <w:szCs w:val="20"/>
                <w:color w:val="auto"/>
              </w:rPr>
            </w:pPr>
            <w:r>
              <w:rPr>
                <w:rFonts w:ascii="Arial" w:cs="Arial" w:eastAsia="Arial" w:hAnsi="Arial"/>
                <w:sz w:val="18"/>
                <w:szCs w:val="18"/>
                <w:color w:val="auto"/>
              </w:rPr>
              <w:t>398,333</w:t>
            </w:r>
          </w:p>
        </w:tc>
        <w:tc>
          <w:tcPr>
            <w:tcW w:w="200" w:type="dxa"/>
            <w:vAlign w:val="bottom"/>
          </w:tcPr>
          <w:p>
            <w:pPr>
              <w:spacing w:after="0"/>
              <w:rPr>
                <w:sz w:val="18"/>
                <w:szCs w:val="18"/>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407</w:t>
            </w:r>
          </w:p>
        </w:tc>
        <w:tc>
          <w:tcPr>
            <w:tcW w:w="200" w:type="dxa"/>
            <w:vAlign w:val="bottom"/>
          </w:tcPr>
          <w:p>
            <w:pPr>
              <w:spacing w:after="0"/>
              <w:rPr>
                <w:sz w:val="18"/>
                <w:szCs w:val="18"/>
                <w:color w:val="auto"/>
              </w:rPr>
            </w:pPr>
          </w:p>
        </w:tc>
        <w:tc>
          <w:tcPr>
            <w:tcW w:w="1600" w:type="dxa"/>
            <w:vAlign w:val="bottom"/>
            <w:gridSpan w:val="3"/>
          </w:tcPr>
          <w:p>
            <w:pPr>
              <w:jc w:val="right"/>
              <w:ind w:right="21"/>
              <w:spacing w:after="0"/>
              <w:rPr>
                <w:sz w:val="20"/>
                <w:szCs w:val="20"/>
                <w:color w:val="auto"/>
              </w:rPr>
            </w:pPr>
            <w:r>
              <w:rPr>
                <w:rFonts w:ascii="Arial" w:cs="Arial" w:eastAsia="Arial" w:hAnsi="Arial"/>
                <w:sz w:val="18"/>
                <w:szCs w:val="18"/>
                <w:color w:val="auto"/>
              </w:rPr>
              <w:t>(805)</w:t>
            </w: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123,000</w:t>
            </w: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0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(1,098)</w:t>
            </w:r>
          </w:p>
        </w:tc>
      </w:tr>
      <w:tr>
        <w:trPr>
          <w:trHeight w:val="216"/>
        </w:trPr>
        <w:tc>
          <w:tcPr>
            <w:tcW w:w="4060" w:type="dxa"/>
            <w:vAlign w:val="bottom"/>
          </w:tcPr>
          <w:p>
            <w:pPr>
              <w:spacing w:after="0"/>
              <w:rPr>
                <w:sz w:val="20"/>
                <w:szCs w:val="20"/>
                <w:color w:val="auto"/>
              </w:rPr>
            </w:pPr>
            <w:r>
              <w:rPr>
                <w:rFonts w:ascii="Arial" w:cs="Arial" w:eastAsia="Arial" w:hAnsi="Arial"/>
                <w:sz w:val="18"/>
                <w:szCs w:val="18"/>
                <w:b w:val="1"/>
                <w:bCs w:val="1"/>
                <w:color w:val="auto"/>
              </w:rPr>
              <w:t>Interest rate and foreign exchange risk</w:t>
            </w:r>
          </w:p>
        </w:tc>
        <w:tc>
          <w:tcPr>
            <w:tcW w:w="14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346,844</w:t>
            </w: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10,125</w:t>
            </w:r>
          </w:p>
        </w:tc>
        <w:tc>
          <w:tcPr>
            <w:tcW w:w="200" w:type="dxa"/>
            <w:vAlign w:val="bottom"/>
            <w:shd w:val="clear" w:color="auto" w:fill="CCEEFF"/>
          </w:tcPr>
          <w:p>
            <w:pPr>
              <w:spacing w:after="0"/>
              <w:rPr>
                <w:sz w:val="18"/>
                <w:szCs w:val="18"/>
                <w:color w:val="auto"/>
              </w:rPr>
            </w:pPr>
          </w:p>
        </w:tc>
        <w:tc>
          <w:tcPr>
            <w:tcW w:w="160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(8,527)</w:t>
            </w:r>
          </w:p>
        </w:tc>
      </w:tr>
      <w:tr>
        <w:trPr>
          <w:trHeight w:val="216"/>
        </w:trPr>
        <w:tc>
          <w:tcPr>
            <w:tcW w:w="4060" w:type="dxa"/>
            <w:vAlign w:val="bottom"/>
          </w:tcPr>
          <w:p>
            <w:pPr>
              <w:spacing w:after="0"/>
              <w:rPr>
                <w:sz w:val="20"/>
                <w:szCs w:val="20"/>
                <w:color w:val="auto"/>
              </w:rPr>
            </w:pPr>
            <w:r>
              <w:rPr>
                <w:rFonts w:ascii="Arial" w:cs="Arial" w:eastAsia="Arial" w:hAnsi="Arial"/>
                <w:sz w:val="18"/>
                <w:szCs w:val="18"/>
                <w:color w:val="auto"/>
              </w:rPr>
              <w:t>Cash flow hedges</w:t>
            </w:r>
          </w:p>
        </w:tc>
        <w:tc>
          <w:tcPr>
            <w:tcW w:w="1440" w:type="dxa"/>
            <w:vAlign w:val="bottom"/>
          </w:tcPr>
          <w:p>
            <w:pPr>
              <w:jc w:val="right"/>
              <w:spacing w:after="0"/>
              <w:rPr>
                <w:sz w:val="20"/>
                <w:szCs w:val="20"/>
                <w:color w:val="auto"/>
              </w:rPr>
            </w:pPr>
            <w:r>
              <w:rPr>
                <w:rFonts w:ascii="Arial" w:cs="Arial" w:eastAsia="Arial" w:hAnsi="Arial"/>
                <w:sz w:val="18"/>
                <w:szCs w:val="18"/>
                <w:color w:val="auto"/>
              </w:rPr>
              <w:t>23,025</w:t>
            </w:r>
          </w:p>
        </w:tc>
        <w:tc>
          <w:tcPr>
            <w:tcW w:w="200" w:type="dxa"/>
            <w:vAlign w:val="bottom"/>
          </w:tcPr>
          <w:p>
            <w:pPr>
              <w:spacing w:after="0"/>
              <w:rPr>
                <w:sz w:val="18"/>
                <w:szCs w:val="18"/>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600" w:type="dxa"/>
            <w:vAlign w:val="bottom"/>
            <w:gridSpan w:val="3"/>
          </w:tcPr>
          <w:p>
            <w:pPr>
              <w:jc w:val="right"/>
              <w:ind w:right="21"/>
              <w:spacing w:after="0"/>
              <w:rPr>
                <w:sz w:val="20"/>
                <w:szCs w:val="20"/>
                <w:color w:val="auto"/>
              </w:rPr>
            </w:pPr>
            <w:r>
              <w:rPr>
                <w:rFonts w:ascii="Arial" w:cs="Arial" w:eastAsia="Arial" w:hAnsi="Arial"/>
                <w:sz w:val="18"/>
                <w:szCs w:val="18"/>
                <w:color w:val="auto"/>
              </w:rPr>
              <w:t>(1,670)</w:t>
            </w:r>
          </w:p>
        </w:tc>
      </w:tr>
      <w:tr>
        <w:trPr>
          <w:trHeight w:val="216"/>
        </w:trPr>
        <w:tc>
          <w:tcPr>
            <w:tcW w:w="40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4060" w:type="dxa"/>
            <w:vAlign w:val="bottom"/>
          </w:tcPr>
          <w:p>
            <w:pPr>
              <w:spacing w:after="0"/>
              <w:rPr>
                <w:sz w:val="20"/>
                <w:szCs w:val="20"/>
                <w:color w:val="auto"/>
              </w:rPr>
            </w:pPr>
            <w:r>
              <w:rPr>
                <w:rFonts w:ascii="Arial" w:cs="Arial" w:eastAsia="Arial" w:hAnsi="Arial"/>
                <w:sz w:val="18"/>
                <w:szCs w:val="18"/>
                <w:color w:val="auto"/>
              </w:rPr>
              <w:t>Cash flow hedges</w:t>
            </w:r>
          </w:p>
        </w:tc>
        <w:tc>
          <w:tcPr>
            <w:tcW w:w="1440" w:type="dxa"/>
            <w:vAlign w:val="bottom"/>
          </w:tcPr>
          <w:p>
            <w:pPr>
              <w:jc w:val="right"/>
              <w:spacing w:after="0"/>
              <w:rPr>
                <w:sz w:val="20"/>
                <w:szCs w:val="20"/>
                <w:color w:val="auto"/>
              </w:rPr>
            </w:pPr>
            <w:r>
              <w:rPr>
                <w:rFonts w:ascii="Arial" w:cs="Arial" w:eastAsia="Arial" w:hAnsi="Arial"/>
                <w:sz w:val="18"/>
                <w:szCs w:val="18"/>
                <w:color w:val="auto"/>
              </w:rPr>
              <w:t>72,391</w:t>
            </w:r>
          </w:p>
        </w:tc>
        <w:tc>
          <w:tcPr>
            <w:tcW w:w="200" w:type="dxa"/>
            <w:vAlign w:val="bottom"/>
          </w:tcPr>
          <w:p>
            <w:pPr>
              <w:spacing w:after="0"/>
              <w:rPr>
                <w:sz w:val="18"/>
                <w:szCs w:val="18"/>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625</w:t>
            </w:r>
          </w:p>
        </w:tc>
        <w:tc>
          <w:tcPr>
            <w:tcW w:w="200" w:type="dxa"/>
            <w:vAlign w:val="bottom"/>
          </w:tcPr>
          <w:p>
            <w:pPr>
              <w:spacing w:after="0"/>
              <w:rPr>
                <w:sz w:val="18"/>
                <w:szCs w:val="18"/>
                <w:color w:val="auto"/>
              </w:rPr>
            </w:pPr>
          </w:p>
        </w:tc>
        <w:tc>
          <w:tcPr>
            <w:tcW w:w="1600" w:type="dxa"/>
            <w:vAlign w:val="bottom"/>
            <w:gridSpan w:val="3"/>
          </w:tcPr>
          <w:p>
            <w:pPr>
              <w:jc w:val="right"/>
              <w:ind w:right="21"/>
              <w:spacing w:after="0"/>
              <w:rPr>
                <w:sz w:val="20"/>
                <w:szCs w:val="20"/>
                <w:color w:val="auto"/>
              </w:rPr>
            </w:pPr>
            <w:r>
              <w:rPr>
                <w:rFonts w:ascii="Arial" w:cs="Arial" w:eastAsia="Arial" w:hAnsi="Arial"/>
                <w:sz w:val="18"/>
                <w:szCs w:val="18"/>
                <w:color w:val="auto"/>
              </w:rPr>
              <w:t>(2,552)</w:t>
            </w:r>
          </w:p>
        </w:tc>
      </w:tr>
      <w:tr>
        <w:trPr>
          <w:trHeight w:val="230"/>
        </w:trPr>
        <w:tc>
          <w:tcPr>
            <w:tcW w:w="4060" w:type="dxa"/>
            <w:vAlign w:val="bottom"/>
            <w:shd w:val="clear" w:color="auto" w:fill="CCEEFF"/>
          </w:tcPr>
          <w:p>
            <w:pPr>
              <w:spacing w:after="0"/>
              <w:rPr>
                <w:sz w:val="20"/>
                <w:szCs w:val="20"/>
                <w:color w:val="auto"/>
              </w:rPr>
            </w:pPr>
            <w:r>
              <w:rPr>
                <w:rFonts w:ascii="Arial" w:cs="Arial" w:eastAsia="Arial" w:hAnsi="Arial"/>
                <w:sz w:val="18"/>
                <w:szCs w:val="18"/>
                <w:color w:val="auto"/>
              </w:rPr>
              <w:t>Net investment hedges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2,080</w:t>
            </w:r>
          </w:p>
        </w:tc>
        <w:tc>
          <w:tcPr>
            <w:tcW w:w="20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600" w:type="dxa"/>
            <w:vAlign w:val="bottom"/>
            <w:gridSpan w:val="3"/>
            <w:shd w:val="clear" w:color="auto" w:fill="CCEEFF"/>
          </w:tcPr>
          <w:p>
            <w:pPr>
              <w:jc w:val="right"/>
              <w:ind w:right="21"/>
              <w:spacing w:after="0"/>
              <w:rPr>
                <w:sz w:val="20"/>
                <w:szCs w:val="20"/>
                <w:color w:val="auto"/>
              </w:rPr>
            </w:pPr>
            <w:r>
              <w:rPr>
                <w:rFonts w:ascii="Arial" w:cs="Arial" w:eastAsia="Arial" w:hAnsi="Arial"/>
                <w:sz w:val="18"/>
                <w:szCs w:val="18"/>
                <w:color w:val="auto"/>
              </w:rPr>
              <w:t>(23)</w:t>
            </w:r>
          </w:p>
        </w:tc>
      </w:tr>
      <w:tr>
        <w:trPr>
          <w:trHeight w:val="223"/>
        </w:trPr>
        <w:tc>
          <w:tcPr>
            <w:tcW w:w="4060" w:type="dxa"/>
            <w:vAlign w:val="bottom"/>
          </w:tcPr>
          <w:p>
            <w:pPr>
              <w:spacing w:after="0"/>
              <w:rPr>
                <w:sz w:val="19"/>
                <w:szCs w:val="19"/>
                <w:color w:val="auto"/>
              </w:rPr>
            </w:pP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20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200" w:type="dxa"/>
            <w:vAlign w:val="bottom"/>
          </w:tcPr>
          <w:p>
            <w:pPr>
              <w:spacing w:after="0"/>
              <w:rPr>
                <w:sz w:val="19"/>
                <w:szCs w:val="19"/>
                <w:color w:val="auto"/>
              </w:rPr>
            </w:pPr>
          </w:p>
        </w:tc>
        <w:tc>
          <w:tcPr>
            <w:tcW w:w="150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(14,675</w:t>
            </w:r>
          </w:p>
        </w:tc>
        <w:tc>
          <w:tcPr>
            <w:tcW w:w="100" w:type="dxa"/>
            <w:vAlign w:val="bottom"/>
          </w:tcPr>
          <w:p>
            <w:pPr>
              <w:jc w:val="right"/>
              <w:ind w:right="21"/>
              <w:spacing w:after="0"/>
              <w:rPr>
                <w:sz w:val="20"/>
                <w:szCs w:val="20"/>
                <w:color w:val="auto"/>
              </w:rPr>
            </w:pPr>
            <w:r>
              <w:rPr>
                <w:rFonts w:ascii="Arial" w:cs="Arial" w:eastAsia="Arial" w:hAnsi="Arial"/>
                <w:sz w:val="8"/>
                <w:szCs w:val="8"/>
                <w:b w:val="1"/>
                <w:bCs w:val="1"/>
                <w:color w:val="auto"/>
                <w:w w:val="73"/>
              </w:rPr>
              <w:t>)</w:t>
            </w:r>
          </w:p>
        </w:tc>
      </w:tr>
      <w:tr>
        <w:trPr>
          <w:trHeight w:val="20"/>
        </w:trPr>
        <w:tc>
          <w:tcPr>
            <w:tcW w:w="406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72" w:lineRule="exact"/>
        <w:rPr>
          <w:sz w:val="20"/>
          <w:szCs w:val="20"/>
          <w:color w:val="auto"/>
        </w:rPr>
      </w:pPr>
    </w:p>
    <w:p>
      <w:pPr>
        <w:ind w:left="540" w:hanging="208"/>
        <w:spacing w:after="0"/>
        <w:tabs>
          <w:tab w:leader="none" w:pos="540" w:val="left"/>
        </w:tabs>
        <w:numPr>
          <w:ilvl w:val="0"/>
          <w:numId w:val="251"/>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51"/>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sectPr>
      </w:pPr>
    </w:p>
    <w:bookmarkStart w:id="220" w:name="page221"/>
    <w:bookmarkEnd w:id="2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52"/>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part of the financial risk management, the Bank uses the following hedging relationships:</w:t>
      </w:r>
    </w:p>
    <w:p>
      <w:pPr>
        <w:spacing w:after="0" w:line="225" w:lineRule="exact"/>
        <w:rPr>
          <w:rFonts w:ascii="Arial" w:cs="Arial" w:eastAsia="Arial" w:hAnsi="Arial"/>
          <w:sz w:val="18"/>
          <w:szCs w:val="18"/>
          <w:b w:val="1"/>
          <w:bCs w:val="1"/>
          <w:color w:val="auto"/>
        </w:rPr>
      </w:pPr>
    </w:p>
    <w:p>
      <w:pPr>
        <w:ind w:left="1140" w:hanging="322"/>
        <w:spacing w:after="0"/>
        <w:tabs>
          <w:tab w:leader="none" w:pos="1140" w:val="left"/>
        </w:tabs>
        <w:numPr>
          <w:ilvl w:val="1"/>
          <w:numId w:val="252"/>
        </w:numPr>
        <w:rPr>
          <w:rFonts w:ascii="Arial" w:cs="Arial" w:eastAsia="Arial" w:hAnsi="Arial"/>
          <w:sz w:val="18"/>
          <w:szCs w:val="18"/>
          <w:color w:val="auto"/>
        </w:rPr>
      </w:pPr>
      <w:r>
        <w:rPr>
          <w:rFonts w:ascii="Arial" w:cs="Arial" w:eastAsia="Arial" w:hAnsi="Arial"/>
          <w:sz w:val="18"/>
          <w:szCs w:val="18"/>
          <w:color w:val="auto"/>
        </w:rPr>
        <w:t>Fair value hedge</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252"/>
        </w:numPr>
        <w:rPr>
          <w:rFonts w:ascii="Arial" w:cs="Arial" w:eastAsia="Arial" w:hAnsi="Arial"/>
          <w:sz w:val="18"/>
          <w:szCs w:val="18"/>
          <w:color w:val="auto"/>
        </w:rPr>
      </w:pPr>
      <w:r>
        <w:rPr>
          <w:rFonts w:ascii="Arial" w:cs="Arial" w:eastAsia="Arial" w:hAnsi="Arial"/>
          <w:sz w:val="18"/>
          <w:szCs w:val="18"/>
          <w:color w:val="auto"/>
        </w:rPr>
        <w:t>Cash flow hedge</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252"/>
        </w:numPr>
        <w:rPr>
          <w:rFonts w:ascii="Arial" w:cs="Arial" w:eastAsia="Arial" w:hAnsi="Arial"/>
          <w:sz w:val="18"/>
          <w:szCs w:val="18"/>
          <w:color w:val="auto"/>
        </w:rPr>
      </w:pPr>
      <w:r>
        <w:rPr>
          <w:rFonts w:ascii="Arial" w:cs="Arial" w:eastAsia="Arial" w:hAnsi="Arial"/>
          <w:sz w:val="18"/>
          <w:szCs w:val="18"/>
          <w:color w:val="auto"/>
        </w:rPr>
        <w:t>Net investment hedge</w:t>
      </w:r>
    </w:p>
    <w:p>
      <w:pPr>
        <w:spacing w:after="0" w:line="21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portfolios.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Fair value hedges</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8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 fixed-rate note or loan are significantly influenced by changes in the benchmark interest rate. Hedge accounting is applied where economic hedging relationships meet the hedge accounting criteria.</w:t>
      </w:r>
    </w:p>
    <w:p>
      <w:pPr>
        <w:spacing w:after="0" w:line="188"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17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21" w:name="page222"/>
    <w:bookmarkEnd w:id="2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Fair value hedges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years used to determine and recognize the ineffectiveness of the hedge:</w:t>
      </w:r>
    </w:p>
    <w:p>
      <w:pPr>
        <w:spacing w:after="0" w:line="180" w:lineRule="exact"/>
        <w:rPr>
          <w:sz w:val="20"/>
          <w:szCs w:val="20"/>
          <w:color w:val="auto"/>
        </w:rPr>
      </w:pPr>
    </w:p>
    <w:tbl>
      <w:tblPr>
        <w:tblLayout w:type="fixed"/>
        <w:tblInd w:w="380" w:type="dxa"/>
        <w:tblCellMar>
          <w:top w:w="0" w:type="dxa"/>
          <w:left w:w="0" w:type="dxa"/>
          <w:bottom w:w="0" w:type="dxa"/>
          <w:right w:w="0" w:type="dxa"/>
        </w:tblCellMar>
      </w:tblPr>
      <w:tr>
        <w:trPr>
          <w:trHeight w:val="234"/>
        </w:trPr>
        <w:tc>
          <w:tcPr>
            <w:tcW w:w="2260" w:type="dxa"/>
            <w:vAlign w:val="bottom"/>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8"/>
              </w:rPr>
              <w:t>December 31, 2020</w:t>
            </w:r>
          </w:p>
        </w:tc>
        <w:tc>
          <w:tcPr>
            <w:tcW w:w="15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26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5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9"/>
        </w:trPr>
        <w:tc>
          <w:tcPr>
            <w:tcW w:w="226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3320" w:type="dxa"/>
            <w:vAlign w:val="bottom"/>
            <w:gridSpan w:val="4"/>
          </w:tcPr>
          <w:p>
            <w:pPr>
              <w:ind w:left="80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6"/>
              </w:rPr>
              <w:t>value used to</w:t>
            </w: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Ineffectiveness</w:t>
            </w:r>
          </w:p>
        </w:tc>
        <w:tc>
          <w:tcPr>
            <w:tcW w:w="0" w:type="dxa"/>
            <w:vAlign w:val="bottom"/>
          </w:tcPr>
          <w:p>
            <w:pPr>
              <w:spacing w:after="0"/>
              <w:rPr>
                <w:sz w:val="1"/>
                <w:szCs w:val="1"/>
                <w:color w:val="auto"/>
              </w:rPr>
            </w:pPr>
          </w:p>
        </w:tc>
      </w:tr>
      <w:tr>
        <w:trPr>
          <w:trHeight w:val="234"/>
        </w:trPr>
        <w:tc>
          <w:tcPr>
            <w:tcW w:w="226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320" w:type="dxa"/>
            <w:vAlign w:val="bottom"/>
            <w:gridSpan w:val="4"/>
          </w:tcPr>
          <w:p>
            <w:pPr>
              <w:ind w:left="780"/>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5"/>
              </w:rPr>
              <w:t>calculate hedge</w:t>
            </w: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50"/>
        </w:trPr>
        <w:tc>
          <w:tcPr>
            <w:tcW w:w="2260" w:type="dxa"/>
            <w:vAlign w:val="bottom"/>
          </w:tcPr>
          <w:p>
            <w:pPr>
              <w:spacing w:after="0"/>
              <w:rPr>
                <w:sz w:val="21"/>
                <w:szCs w:val="21"/>
                <w:color w:val="auto"/>
              </w:rPr>
            </w:pPr>
          </w:p>
        </w:tc>
        <w:tc>
          <w:tcPr>
            <w:tcW w:w="1640" w:type="dxa"/>
            <w:vAlign w:val="bottom"/>
            <w:gridSpan w:val="2"/>
          </w:tcPr>
          <w:p>
            <w:pPr>
              <w:ind w:left="120"/>
              <w:spacing w:after="0"/>
              <w:rPr>
                <w:sz w:val="20"/>
                <w:szCs w:val="20"/>
                <w:color w:val="auto"/>
              </w:rPr>
            </w:pPr>
            <w:r>
              <w:rPr>
                <w:rFonts w:ascii="Arial" w:cs="Arial" w:eastAsia="Arial" w:hAnsi="Arial"/>
                <w:sz w:val="18"/>
                <w:szCs w:val="18"/>
                <w:b w:val="1"/>
                <w:bCs w:val="1"/>
                <w:color w:val="auto"/>
              </w:rPr>
              <w:t>Nominal amount</w:t>
            </w:r>
          </w:p>
        </w:tc>
        <w:tc>
          <w:tcPr>
            <w:tcW w:w="1660" w:type="dxa"/>
            <w:vAlign w:val="bottom"/>
            <w:tcBorders>
              <w:top w:val="single" w:sz="8" w:color="auto"/>
            </w:tcBorders>
            <w:gridSpan w:val="2"/>
          </w:tcPr>
          <w:p>
            <w:pPr>
              <w:ind w:left="48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480" w:type="dxa"/>
            <w:vAlign w:val="bottom"/>
            <w:tcBorders>
              <w:top w:val="single" w:sz="8" w:color="auto"/>
            </w:tcBorders>
          </w:tcPr>
          <w:p>
            <w:pPr>
              <w:jc w:val="center"/>
              <w:ind w:left="30"/>
              <w:spacing w:after="0" w:line="250" w:lineRule="exact"/>
              <w:rPr>
                <w:sz w:val="20"/>
                <w:szCs w:val="20"/>
                <w:color w:val="auto"/>
              </w:rPr>
            </w:pPr>
            <w:r>
              <w:rPr>
                <w:rFonts w:ascii="Arial" w:cs="Arial" w:eastAsia="Arial" w:hAnsi="Arial"/>
                <w:sz w:val="17"/>
                <w:szCs w:val="17"/>
                <w:b w:val="1"/>
                <w:bCs w:val="1"/>
                <w:color w:val="auto"/>
                <w:w w:val="95"/>
              </w:rPr>
              <w:t xml:space="preserve">Liability </w:t>
            </w:r>
            <w:r>
              <w:rPr>
                <w:rFonts w:ascii="Arial" w:cs="Arial" w:eastAsia="Arial" w:hAnsi="Arial"/>
                <w:sz w:val="28"/>
                <w:szCs w:val="28"/>
                <w:b w:val="1"/>
                <w:bCs w:val="1"/>
                <w:color w:val="auto"/>
                <w:w w:val="95"/>
                <w:vertAlign w:val="superscript"/>
              </w:rPr>
              <w:t>(2)</w:t>
            </w:r>
          </w:p>
        </w:tc>
        <w:tc>
          <w:tcPr>
            <w:tcW w:w="180" w:type="dxa"/>
            <w:vAlign w:val="bottom"/>
          </w:tcPr>
          <w:p>
            <w:pPr>
              <w:spacing w:after="0"/>
              <w:rPr>
                <w:sz w:val="21"/>
                <w:szCs w:val="21"/>
                <w:color w:val="auto"/>
              </w:rPr>
            </w:pPr>
          </w:p>
        </w:tc>
        <w:tc>
          <w:tcPr>
            <w:tcW w:w="1700" w:type="dxa"/>
            <w:vAlign w:val="bottom"/>
            <w:gridSpan w:val="2"/>
          </w:tcPr>
          <w:p>
            <w:pPr>
              <w:jc w:val="center"/>
              <w:ind w:right="101"/>
              <w:spacing w:after="0" w:line="250"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640" w:type="dxa"/>
            <w:vAlign w:val="bottom"/>
            <w:gridSpan w:val="3"/>
          </w:tcPr>
          <w:p>
            <w:pPr>
              <w:jc w:val="center"/>
              <w:ind w:right="80"/>
              <w:spacing w:after="0" w:line="250"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c>
          <w:tcPr>
            <w:tcW w:w="0" w:type="dxa"/>
            <w:vAlign w:val="bottom"/>
          </w:tcPr>
          <w:p>
            <w:pPr>
              <w:spacing w:after="0"/>
              <w:rPr>
                <w:sz w:val="1"/>
                <w:szCs w:val="1"/>
                <w:color w:val="auto"/>
              </w:rPr>
            </w:pPr>
          </w:p>
        </w:tc>
      </w:tr>
      <w:tr>
        <w:trPr>
          <w:trHeight w:val="210"/>
        </w:trPr>
        <w:tc>
          <w:tcPr>
            <w:tcW w:w="2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4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Loans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10,667</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41"/>
              <w:spacing w:after="0"/>
              <w:rPr>
                <w:sz w:val="20"/>
                <w:szCs w:val="20"/>
                <w:color w:val="auto"/>
              </w:rPr>
            </w:pPr>
            <w:r>
              <w:rPr>
                <w:rFonts w:ascii="Arial" w:cs="Arial" w:eastAsia="Arial" w:hAnsi="Arial"/>
                <w:sz w:val="18"/>
                <w:szCs w:val="18"/>
                <w:color w:val="auto"/>
              </w:rPr>
              <w:t>(132)</w:t>
            </w:r>
          </w:p>
        </w:tc>
        <w:tc>
          <w:tcPr>
            <w:tcW w:w="1700" w:type="dxa"/>
            <w:vAlign w:val="bottom"/>
            <w:gridSpan w:val="2"/>
          </w:tcPr>
          <w:p>
            <w:pPr>
              <w:jc w:val="right"/>
              <w:ind w:right="121"/>
              <w:spacing w:after="0"/>
              <w:rPr>
                <w:sz w:val="20"/>
                <w:szCs w:val="20"/>
                <w:color w:val="auto"/>
              </w:rPr>
            </w:pPr>
            <w:r>
              <w:rPr>
                <w:rFonts w:ascii="Arial" w:cs="Arial" w:eastAsia="Arial" w:hAnsi="Arial"/>
                <w:sz w:val="18"/>
                <w:szCs w:val="18"/>
                <w:color w:val="auto"/>
              </w:rPr>
              <w:t>84</w:t>
            </w:r>
          </w:p>
        </w:tc>
        <w:tc>
          <w:tcPr>
            <w:tcW w:w="1560" w:type="dxa"/>
            <w:vAlign w:val="bottom"/>
            <w:gridSpan w:val="2"/>
          </w:tcPr>
          <w:p>
            <w:pPr>
              <w:jc w:val="right"/>
              <w:spacing w:after="0"/>
              <w:rPr>
                <w:sz w:val="20"/>
                <w:szCs w:val="20"/>
                <w:color w:val="auto"/>
              </w:rPr>
            </w:pPr>
            <w:r>
              <w:rPr>
                <w:rFonts w:ascii="Arial" w:cs="Arial" w:eastAsia="Arial" w:hAnsi="Arial"/>
                <w:sz w:val="18"/>
                <w:szCs w:val="18"/>
                <w:color w:val="auto"/>
              </w:rPr>
              <w:t>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FVOCI</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5,000</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(101)</w:t>
            </w:r>
          </w:p>
        </w:tc>
        <w:tc>
          <w:tcPr>
            <w:tcW w:w="17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(29)</w:t>
            </w:r>
          </w:p>
        </w:tc>
        <w:tc>
          <w:tcPr>
            <w:tcW w:w="16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Borrowings and debt</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70,000</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1,831</w:t>
            </w:r>
          </w:p>
        </w:tc>
        <w:tc>
          <w:tcPr>
            <w:tcW w:w="16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21"/>
              <w:spacing w:after="0"/>
              <w:rPr>
                <w:sz w:val="20"/>
                <w:szCs w:val="20"/>
                <w:color w:val="auto"/>
              </w:rPr>
            </w:pPr>
            <w:r>
              <w:rPr>
                <w:rFonts w:ascii="Arial" w:cs="Arial" w:eastAsia="Arial" w:hAnsi="Arial"/>
                <w:sz w:val="18"/>
                <w:szCs w:val="18"/>
                <w:color w:val="auto"/>
              </w:rPr>
              <w:t>199</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(27)</w:t>
            </w:r>
          </w:p>
        </w:tc>
        <w:tc>
          <w:tcPr>
            <w:tcW w:w="0" w:type="dxa"/>
            <w:vAlign w:val="bottom"/>
          </w:tcPr>
          <w:p>
            <w:pPr>
              <w:spacing w:after="0"/>
              <w:rPr>
                <w:sz w:val="1"/>
                <w:szCs w:val="1"/>
                <w:color w:val="auto"/>
              </w:rPr>
            </w:pPr>
          </w:p>
        </w:tc>
      </w:tr>
      <w:tr>
        <w:trPr>
          <w:trHeight w:val="198"/>
        </w:trPr>
        <w:tc>
          <w:tcPr>
            <w:tcW w:w="22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4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exchange risk</w:t>
            </w:r>
          </w:p>
        </w:tc>
        <w:tc>
          <w:tcPr>
            <w:tcW w:w="14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Loans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4,075</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356</w:t>
            </w:r>
          </w:p>
        </w:tc>
        <w:tc>
          <w:tcPr>
            <w:tcW w:w="16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21"/>
              <w:spacing w:after="0"/>
              <w:rPr>
                <w:sz w:val="20"/>
                <w:szCs w:val="20"/>
                <w:color w:val="auto"/>
              </w:rPr>
            </w:pPr>
            <w:r>
              <w:rPr>
                <w:rFonts w:ascii="Arial" w:cs="Arial" w:eastAsia="Arial" w:hAnsi="Arial"/>
                <w:sz w:val="18"/>
                <w:szCs w:val="18"/>
                <w:color w:val="auto"/>
              </w:rPr>
              <w:t>178</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(149)</w:t>
            </w:r>
          </w:p>
        </w:tc>
        <w:tc>
          <w:tcPr>
            <w:tcW w:w="0" w:type="dxa"/>
            <w:vAlign w:val="bottom"/>
          </w:tcPr>
          <w:p>
            <w:pPr>
              <w:spacing w:after="0"/>
              <w:rPr>
                <w:sz w:val="1"/>
                <w:szCs w:val="1"/>
                <w:color w:val="auto"/>
              </w:rPr>
            </w:pPr>
          </w:p>
        </w:tc>
      </w:tr>
      <w:tr>
        <w:trPr>
          <w:trHeight w:val="229"/>
        </w:trPr>
        <w:tc>
          <w:tcPr>
            <w:tcW w:w="2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Borrowings and debt</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340,414</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2,500</w:t>
            </w:r>
          </w:p>
        </w:tc>
        <w:tc>
          <w:tcPr>
            <w:tcW w:w="16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(3,848)</w:t>
            </w:r>
          </w:p>
        </w:tc>
        <w:tc>
          <w:tcPr>
            <w:tcW w:w="17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(2,524)</w:t>
            </w:r>
          </w:p>
        </w:tc>
        <w:tc>
          <w:tcPr>
            <w:tcW w:w="16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(468)</w:t>
            </w:r>
          </w:p>
        </w:tc>
        <w:tc>
          <w:tcPr>
            <w:tcW w:w="0" w:type="dxa"/>
            <w:vAlign w:val="bottom"/>
          </w:tcPr>
          <w:p>
            <w:pPr>
              <w:spacing w:after="0"/>
              <w:rPr>
                <w:sz w:val="1"/>
                <w:szCs w:val="1"/>
                <w:color w:val="auto"/>
              </w:rPr>
            </w:pPr>
          </w:p>
        </w:tc>
      </w:tr>
      <w:tr>
        <w:trPr>
          <w:trHeight w:val="223"/>
        </w:trPr>
        <w:tc>
          <w:tcPr>
            <w:tcW w:w="2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c>
          <w:tcPr>
            <w:tcW w:w="1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4,687</w:t>
            </w:r>
          </w:p>
        </w:tc>
        <w:tc>
          <w:tcPr>
            <w:tcW w:w="18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(4,081</w:t>
            </w:r>
          </w:p>
        </w:tc>
        <w:tc>
          <w:tcPr>
            <w:tcW w:w="180" w:type="dxa"/>
            <w:vAlign w:val="bottom"/>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(2,092</w:t>
            </w:r>
          </w:p>
        </w:tc>
        <w:tc>
          <w:tcPr>
            <w:tcW w:w="200" w:type="dxa"/>
            <w:vAlign w:val="bottom"/>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(663</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2260" w:type="dxa"/>
            <w:vAlign w:val="bottom"/>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8"/>
              </w:rPr>
              <w:t>December 31, 2019</w:t>
            </w:r>
          </w:p>
        </w:tc>
        <w:tc>
          <w:tcPr>
            <w:tcW w:w="15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26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5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26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3320" w:type="dxa"/>
            <w:vAlign w:val="bottom"/>
            <w:gridSpan w:val="4"/>
          </w:tcPr>
          <w:p>
            <w:pPr>
              <w:ind w:left="80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6"/>
              </w:rPr>
              <w:t>value used to</w:t>
            </w: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Ineffectiveness</w:t>
            </w:r>
          </w:p>
        </w:tc>
        <w:tc>
          <w:tcPr>
            <w:tcW w:w="0" w:type="dxa"/>
            <w:vAlign w:val="bottom"/>
          </w:tcPr>
          <w:p>
            <w:pPr>
              <w:spacing w:after="0"/>
              <w:rPr>
                <w:sz w:val="1"/>
                <w:szCs w:val="1"/>
                <w:color w:val="auto"/>
              </w:rPr>
            </w:pPr>
          </w:p>
        </w:tc>
      </w:tr>
      <w:tr>
        <w:trPr>
          <w:trHeight w:val="234"/>
        </w:trPr>
        <w:tc>
          <w:tcPr>
            <w:tcW w:w="226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320" w:type="dxa"/>
            <w:vAlign w:val="bottom"/>
            <w:gridSpan w:val="4"/>
          </w:tcPr>
          <w:p>
            <w:pPr>
              <w:jc w:val="right"/>
              <w:ind w:right="841"/>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5"/>
              </w:rPr>
              <w:t>calculate hedge</w:t>
            </w: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50"/>
        </w:trPr>
        <w:tc>
          <w:tcPr>
            <w:tcW w:w="2260" w:type="dxa"/>
            <w:vAlign w:val="bottom"/>
          </w:tcPr>
          <w:p>
            <w:pPr>
              <w:spacing w:after="0"/>
              <w:rPr>
                <w:sz w:val="21"/>
                <w:szCs w:val="21"/>
                <w:color w:val="auto"/>
              </w:rPr>
            </w:pPr>
          </w:p>
        </w:tc>
        <w:tc>
          <w:tcPr>
            <w:tcW w:w="1640" w:type="dxa"/>
            <w:vAlign w:val="bottom"/>
            <w:gridSpan w:val="2"/>
          </w:tcPr>
          <w:p>
            <w:pPr>
              <w:ind w:left="120"/>
              <w:spacing w:after="0"/>
              <w:rPr>
                <w:sz w:val="20"/>
                <w:szCs w:val="20"/>
                <w:color w:val="auto"/>
              </w:rPr>
            </w:pPr>
            <w:r>
              <w:rPr>
                <w:rFonts w:ascii="Arial" w:cs="Arial" w:eastAsia="Arial" w:hAnsi="Arial"/>
                <w:sz w:val="18"/>
                <w:szCs w:val="18"/>
                <w:b w:val="1"/>
                <w:bCs w:val="1"/>
                <w:color w:val="auto"/>
              </w:rPr>
              <w:t>Nominal amount</w:t>
            </w:r>
          </w:p>
        </w:tc>
        <w:tc>
          <w:tcPr>
            <w:tcW w:w="1660" w:type="dxa"/>
            <w:vAlign w:val="bottom"/>
            <w:tcBorders>
              <w:top w:val="single" w:sz="8" w:color="auto"/>
            </w:tcBorders>
            <w:gridSpan w:val="2"/>
          </w:tcPr>
          <w:p>
            <w:pPr>
              <w:ind w:left="48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480" w:type="dxa"/>
            <w:vAlign w:val="bottom"/>
            <w:tcBorders>
              <w:top w:val="single" w:sz="8" w:color="auto"/>
            </w:tcBorders>
          </w:tcPr>
          <w:p>
            <w:pPr>
              <w:jc w:val="center"/>
              <w:ind w:left="30"/>
              <w:spacing w:after="0" w:line="250" w:lineRule="exact"/>
              <w:rPr>
                <w:sz w:val="20"/>
                <w:szCs w:val="20"/>
                <w:color w:val="auto"/>
              </w:rPr>
            </w:pPr>
            <w:r>
              <w:rPr>
                <w:rFonts w:ascii="Arial" w:cs="Arial" w:eastAsia="Arial" w:hAnsi="Arial"/>
                <w:sz w:val="17"/>
                <w:szCs w:val="17"/>
                <w:b w:val="1"/>
                <w:bCs w:val="1"/>
                <w:color w:val="auto"/>
                <w:w w:val="95"/>
              </w:rPr>
              <w:t xml:space="preserve">Liability </w:t>
            </w:r>
            <w:r>
              <w:rPr>
                <w:rFonts w:ascii="Arial" w:cs="Arial" w:eastAsia="Arial" w:hAnsi="Arial"/>
                <w:sz w:val="28"/>
                <w:szCs w:val="28"/>
                <w:b w:val="1"/>
                <w:bCs w:val="1"/>
                <w:color w:val="auto"/>
                <w:w w:val="95"/>
                <w:vertAlign w:val="superscript"/>
              </w:rPr>
              <w:t>(2)</w:t>
            </w:r>
          </w:p>
        </w:tc>
        <w:tc>
          <w:tcPr>
            <w:tcW w:w="180" w:type="dxa"/>
            <w:vAlign w:val="bottom"/>
          </w:tcPr>
          <w:p>
            <w:pPr>
              <w:spacing w:after="0"/>
              <w:rPr>
                <w:sz w:val="21"/>
                <w:szCs w:val="21"/>
                <w:color w:val="auto"/>
              </w:rPr>
            </w:pPr>
          </w:p>
        </w:tc>
        <w:tc>
          <w:tcPr>
            <w:tcW w:w="1700" w:type="dxa"/>
            <w:vAlign w:val="bottom"/>
            <w:gridSpan w:val="2"/>
          </w:tcPr>
          <w:p>
            <w:pPr>
              <w:jc w:val="center"/>
              <w:ind w:right="101"/>
              <w:spacing w:after="0" w:line="250"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640" w:type="dxa"/>
            <w:vAlign w:val="bottom"/>
            <w:gridSpan w:val="3"/>
          </w:tcPr>
          <w:p>
            <w:pPr>
              <w:jc w:val="center"/>
              <w:ind w:right="80"/>
              <w:spacing w:after="0" w:line="250"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c>
          <w:tcPr>
            <w:tcW w:w="0" w:type="dxa"/>
            <w:vAlign w:val="bottom"/>
          </w:tcPr>
          <w:p>
            <w:pPr>
              <w:spacing w:after="0"/>
              <w:rPr>
                <w:sz w:val="1"/>
                <w:szCs w:val="1"/>
                <w:color w:val="auto"/>
              </w:rPr>
            </w:pPr>
          </w:p>
        </w:tc>
      </w:tr>
      <w:tr>
        <w:trPr>
          <w:trHeight w:val="210"/>
        </w:trPr>
        <w:tc>
          <w:tcPr>
            <w:tcW w:w="2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4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Loans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13,333</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41"/>
              <w:spacing w:after="0"/>
              <w:rPr>
                <w:sz w:val="20"/>
                <w:szCs w:val="20"/>
                <w:color w:val="auto"/>
              </w:rPr>
            </w:pPr>
            <w:r>
              <w:rPr>
                <w:rFonts w:ascii="Arial" w:cs="Arial" w:eastAsia="Arial" w:hAnsi="Arial"/>
                <w:sz w:val="18"/>
                <w:szCs w:val="18"/>
                <w:color w:val="auto"/>
              </w:rPr>
              <w:t>(166)</w:t>
            </w:r>
          </w:p>
        </w:tc>
        <w:tc>
          <w:tcPr>
            <w:tcW w:w="1700" w:type="dxa"/>
            <w:vAlign w:val="bottom"/>
            <w:gridSpan w:val="2"/>
          </w:tcPr>
          <w:p>
            <w:pPr>
              <w:jc w:val="right"/>
              <w:ind w:right="61"/>
              <w:spacing w:after="0"/>
              <w:rPr>
                <w:sz w:val="20"/>
                <w:szCs w:val="20"/>
                <w:color w:val="auto"/>
              </w:rPr>
            </w:pPr>
            <w:r>
              <w:rPr>
                <w:rFonts w:ascii="Arial" w:cs="Arial" w:eastAsia="Arial" w:hAnsi="Arial"/>
                <w:sz w:val="18"/>
                <w:szCs w:val="18"/>
                <w:color w:val="auto"/>
              </w:rPr>
              <w:t>(127)</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6"/>
        </w:trPr>
        <w:tc>
          <w:tcPr>
            <w:tcW w:w="2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FVOCI</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5,000</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(45)</w:t>
            </w:r>
          </w:p>
        </w:tc>
        <w:tc>
          <w:tcPr>
            <w:tcW w:w="170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(97)</w:t>
            </w:r>
          </w:p>
        </w:tc>
        <w:tc>
          <w:tcPr>
            <w:tcW w:w="16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Borrowings and debt</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380,000</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407</w:t>
            </w:r>
          </w:p>
        </w:tc>
        <w:tc>
          <w:tcPr>
            <w:tcW w:w="1660" w:type="dxa"/>
            <w:vAlign w:val="bottom"/>
            <w:gridSpan w:val="2"/>
          </w:tcPr>
          <w:p>
            <w:pPr>
              <w:jc w:val="right"/>
              <w:ind w:right="41"/>
              <w:spacing w:after="0"/>
              <w:rPr>
                <w:sz w:val="20"/>
                <w:szCs w:val="20"/>
                <w:color w:val="auto"/>
              </w:rPr>
            </w:pPr>
            <w:r>
              <w:rPr>
                <w:rFonts w:ascii="Arial" w:cs="Arial" w:eastAsia="Arial" w:hAnsi="Arial"/>
                <w:sz w:val="18"/>
                <w:szCs w:val="18"/>
                <w:color w:val="auto"/>
              </w:rPr>
              <w:t>(594)</w:t>
            </w:r>
          </w:p>
        </w:tc>
        <w:tc>
          <w:tcPr>
            <w:tcW w:w="1700" w:type="dxa"/>
            <w:vAlign w:val="bottom"/>
            <w:gridSpan w:val="2"/>
          </w:tcPr>
          <w:p>
            <w:pPr>
              <w:jc w:val="right"/>
              <w:ind w:right="121"/>
              <w:spacing w:after="0"/>
              <w:rPr>
                <w:sz w:val="20"/>
                <w:szCs w:val="20"/>
                <w:color w:val="auto"/>
              </w:rPr>
            </w:pPr>
            <w:r>
              <w:rPr>
                <w:rFonts w:ascii="Arial" w:cs="Arial" w:eastAsia="Arial" w:hAnsi="Arial"/>
                <w:sz w:val="18"/>
                <w:szCs w:val="18"/>
                <w:color w:val="auto"/>
              </w:rPr>
              <w:t>5,203</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(65)</w:t>
            </w:r>
          </w:p>
        </w:tc>
        <w:tc>
          <w:tcPr>
            <w:tcW w:w="0" w:type="dxa"/>
            <w:vAlign w:val="bottom"/>
          </w:tcPr>
          <w:p>
            <w:pPr>
              <w:spacing w:after="0"/>
              <w:rPr>
                <w:sz w:val="1"/>
                <w:szCs w:val="1"/>
                <w:color w:val="auto"/>
              </w:rPr>
            </w:pPr>
          </w:p>
        </w:tc>
      </w:tr>
      <w:tr>
        <w:trPr>
          <w:trHeight w:val="198"/>
        </w:trPr>
        <w:tc>
          <w:tcPr>
            <w:tcW w:w="22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4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2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exchange risk</w:t>
            </w:r>
          </w:p>
        </w:tc>
        <w:tc>
          <w:tcPr>
            <w:tcW w:w="14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5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260" w:type="dxa"/>
            <w:vAlign w:val="bottom"/>
          </w:tcPr>
          <w:p>
            <w:pPr>
              <w:ind w:left="160"/>
              <w:spacing w:after="0"/>
              <w:rPr>
                <w:sz w:val="20"/>
                <w:szCs w:val="20"/>
                <w:color w:val="auto"/>
              </w:rPr>
            </w:pPr>
            <w:r>
              <w:rPr>
                <w:rFonts w:ascii="Arial" w:cs="Arial" w:eastAsia="Arial" w:hAnsi="Arial"/>
                <w:sz w:val="18"/>
                <w:szCs w:val="18"/>
                <w:color w:val="auto"/>
              </w:rPr>
              <w:t>Loans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6,430</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276</w:t>
            </w:r>
          </w:p>
        </w:tc>
        <w:tc>
          <w:tcPr>
            <w:tcW w:w="16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61"/>
              <w:spacing w:after="0"/>
              <w:rPr>
                <w:sz w:val="20"/>
                <w:szCs w:val="20"/>
                <w:color w:val="auto"/>
              </w:rPr>
            </w:pPr>
            <w:r>
              <w:rPr>
                <w:rFonts w:ascii="Arial" w:cs="Arial" w:eastAsia="Arial" w:hAnsi="Arial"/>
                <w:sz w:val="18"/>
                <w:szCs w:val="18"/>
                <w:color w:val="auto"/>
              </w:rPr>
              <w:t>(482)</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(214)</w:t>
            </w:r>
          </w:p>
        </w:tc>
        <w:tc>
          <w:tcPr>
            <w:tcW w:w="0" w:type="dxa"/>
            <w:vAlign w:val="bottom"/>
          </w:tcPr>
          <w:p>
            <w:pPr>
              <w:spacing w:after="0"/>
              <w:rPr>
                <w:sz w:val="1"/>
                <w:szCs w:val="1"/>
                <w:color w:val="auto"/>
              </w:rPr>
            </w:pPr>
          </w:p>
        </w:tc>
      </w:tr>
      <w:tr>
        <w:trPr>
          <w:trHeight w:val="230"/>
        </w:trPr>
        <w:tc>
          <w:tcPr>
            <w:tcW w:w="2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Borrowings and debt</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340,414</w:t>
            </w:r>
          </w:p>
        </w:tc>
        <w:tc>
          <w:tcPr>
            <w:tcW w:w="18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9,849</w:t>
            </w:r>
          </w:p>
        </w:tc>
        <w:tc>
          <w:tcPr>
            <w:tcW w:w="180" w:type="dxa"/>
            <w:vAlign w:val="bottom"/>
            <w:shd w:val="clear" w:color="auto" w:fill="CCEEFF"/>
          </w:tcPr>
          <w:p>
            <w:pPr>
              <w:spacing w:after="0"/>
              <w:rPr>
                <w:sz w:val="19"/>
                <w:szCs w:val="19"/>
                <w:color w:val="auto"/>
              </w:rPr>
            </w:pPr>
          </w:p>
        </w:tc>
        <w:tc>
          <w:tcPr>
            <w:tcW w:w="16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(8,527)</w:t>
            </w:r>
          </w:p>
        </w:tc>
        <w:tc>
          <w:tcPr>
            <w:tcW w:w="170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7,234</w:t>
            </w:r>
          </w:p>
        </w:tc>
        <w:tc>
          <w:tcPr>
            <w:tcW w:w="1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260" w:type="dxa"/>
            <w:vAlign w:val="bottom"/>
            <w:vMerge w:val="restart"/>
          </w:tcPr>
          <w:p>
            <w:pPr>
              <w:spacing w:after="0"/>
              <w:rPr>
                <w:sz w:val="20"/>
                <w:szCs w:val="20"/>
                <w:color w:val="auto"/>
              </w:rPr>
            </w:pPr>
            <w:r>
              <w:rPr>
                <w:rFonts w:ascii="Arial" w:cs="Arial" w:eastAsia="Arial" w:hAnsi="Arial"/>
                <w:sz w:val="18"/>
                <w:szCs w:val="18"/>
                <w:b w:val="1"/>
                <w:bCs w:val="1"/>
                <w:color w:val="auto"/>
              </w:rPr>
              <w:t>Total</w:t>
            </w:r>
          </w:p>
        </w:tc>
        <w:tc>
          <w:tcPr>
            <w:tcW w:w="14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80" w:type="dxa"/>
            <w:vAlign w:val="bottom"/>
            <w:vMerge w:val="restart"/>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5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40" w:type="dxa"/>
            <w:vAlign w:val="bottom"/>
            <w:shd w:val="clear" w:color="auto" w:fill="000000"/>
          </w:tcPr>
          <w:p>
            <w:pPr>
              <w:spacing w:after="0" w:line="20" w:lineRule="exact"/>
              <w:rPr>
                <w:sz w:val="1"/>
                <w:szCs w:val="1"/>
                <w:color w:val="auto"/>
              </w:rPr>
            </w:pPr>
          </w:p>
        </w:tc>
        <w:tc>
          <w:tcPr>
            <w:tcW w:w="100" w:type="dxa"/>
            <w:vAlign w:val="bottom"/>
            <w:gridSpan w:val="2"/>
            <w:vMerge w:val="restart"/>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2260" w:type="dxa"/>
            <w:vAlign w:val="bottom"/>
            <w:vMerge w:val="continue"/>
          </w:tcPr>
          <w:p>
            <w:pPr>
              <w:spacing w:after="0"/>
              <w:rPr>
                <w:sz w:val="21"/>
                <w:szCs w:val="21"/>
                <w:color w:val="auto"/>
              </w:rPr>
            </w:pP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745,177</w:t>
            </w:r>
          </w:p>
        </w:tc>
        <w:tc>
          <w:tcPr>
            <w:tcW w:w="1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10,532</w:t>
            </w:r>
          </w:p>
        </w:tc>
        <w:tc>
          <w:tcPr>
            <w:tcW w:w="1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b w:val="1"/>
                <w:bCs w:val="1"/>
                <w:color w:val="auto"/>
              </w:rPr>
              <w:t>(9,332</w:t>
            </w:r>
          </w:p>
        </w:tc>
        <w:tc>
          <w:tcPr>
            <w:tcW w:w="180" w:type="dxa"/>
            <w:vAlign w:val="bottom"/>
            <w:vMerge w:val="continue"/>
          </w:tcPr>
          <w:p>
            <w:pPr>
              <w:spacing w:after="0"/>
              <w:rPr>
                <w:sz w:val="21"/>
                <w:szCs w:val="21"/>
                <w:color w:val="auto"/>
              </w:rPr>
            </w:pPr>
          </w:p>
        </w:tc>
        <w:tc>
          <w:tcPr>
            <w:tcW w:w="1700" w:type="dxa"/>
            <w:vAlign w:val="bottom"/>
            <w:gridSpan w:val="2"/>
          </w:tcPr>
          <w:p>
            <w:pPr>
              <w:jc w:val="right"/>
              <w:ind w:right="121"/>
              <w:spacing w:after="0"/>
              <w:rPr>
                <w:sz w:val="20"/>
                <w:szCs w:val="20"/>
                <w:color w:val="auto"/>
              </w:rPr>
            </w:pPr>
            <w:r>
              <w:rPr>
                <w:rFonts w:ascii="Arial" w:cs="Arial" w:eastAsia="Arial" w:hAnsi="Arial"/>
                <w:sz w:val="18"/>
                <w:szCs w:val="18"/>
                <w:b w:val="1"/>
                <w:bCs w:val="1"/>
                <w:color w:val="auto"/>
              </w:rPr>
              <w:t>11,731</w:t>
            </w:r>
          </w:p>
        </w:tc>
        <w:tc>
          <w:tcPr>
            <w:tcW w:w="1540" w:type="dxa"/>
            <w:vAlign w:val="bottom"/>
          </w:tcPr>
          <w:p>
            <w:pPr>
              <w:jc w:val="right"/>
              <w:spacing w:after="0"/>
              <w:rPr>
                <w:sz w:val="20"/>
                <w:szCs w:val="20"/>
                <w:color w:val="auto"/>
              </w:rPr>
            </w:pPr>
            <w:r>
              <w:rPr>
                <w:rFonts w:ascii="Arial" w:cs="Arial" w:eastAsia="Arial" w:hAnsi="Arial"/>
                <w:sz w:val="18"/>
                <w:szCs w:val="18"/>
                <w:b w:val="1"/>
                <w:bCs w:val="1"/>
                <w:color w:val="auto"/>
              </w:rPr>
              <w:t>(250</w:t>
            </w:r>
          </w:p>
        </w:tc>
        <w:tc>
          <w:tcPr>
            <w:tcW w:w="100" w:type="dxa"/>
            <w:vAlign w:val="bottom"/>
            <w:gridSpan w:val="2"/>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5" w:lineRule="exact"/>
        <w:rPr>
          <w:sz w:val="20"/>
          <w:szCs w:val="20"/>
          <w:color w:val="auto"/>
        </w:rPr>
      </w:pPr>
    </w:p>
    <w:p>
      <w:pPr>
        <w:ind w:left="540" w:hanging="208"/>
        <w:spacing w:after="0"/>
        <w:tabs>
          <w:tab w:leader="none" w:pos="540" w:val="left"/>
        </w:tabs>
        <w:numPr>
          <w:ilvl w:val="0"/>
          <w:numId w:val="253"/>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53"/>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53"/>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Loss on financial instruments, net.</w:t>
      </w:r>
    </w:p>
    <w:p>
      <w:pPr>
        <w:spacing w:after="0" w:line="202"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F-86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060"/>
          </w:cols>
          <w:pgMar w:left="320" w:top="688" w:right="519" w:bottom="1440" w:gutter="0" w:footer="0" w:header="0"/>
        </w:sectPr>
      </w:pPr>
    </w:p>
    <w:bookmarkStart w:id="222" w:name="page223"/>
    <w:bookmarkEnd w:id="2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820" w:type="dxa"/>
            <w:vAlign w:val="bottom"/>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460" w:type="dxa"/>
            <w:vAlign w:val="bottom"/>
            <w:tcBorders>
              <w:bottom w:val="single" w:sz="8" w:color="auto"/>
            </w:tcBorders>
            <w:gridSpan w:val="4"/>
          </w:tcPr>
          <w:p>
            <w:pPr>
              <w:jc w:val="right"/>
              <w:ind w:right="1741"/>
              <w:spacing w:after="0"/>
              <w:rPr>
                <w:sz w:val="20"/>
                <w:szCs w:val="20"/>
                <w:color w:val="auto"/>
              </w:rPr>
            </w:pPr>
            <w:r>
              <w:rPr>
                <w:rFonts w:ascii="Arial" w:cs="Arial" w:eastAsia="Arial" w:hAnsi="Arial"/>
                <w:sz w:val="18"/>
                <w:szCs w:val="18"/>
                <w:b w:val="1"/>
                <w:bCs w:val="1"/>
                <w:color w:val="auto"/>
              </w:rPr>
              <w:t>December 31, 2020</w:t>
            </w:r>
          </w:p>
        </w:tc>
        <w:tc>
          <w:tcPr>
            <w:tcW w:w="21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5"/>
        </w:trPr>
        <w:tc>
          <w:tcPr>
            <w:tcW w:w="18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120" w:type="dxa"/>
            <w:vAlign w:val="bottom"/>
            <w:gridSpan w:val="2"/>
          </w:tcPr>
          <w:p>
            <w:pPr>
              <w:jc w:val="center"/>
              <w:ind w:right="120"/>
              <w:spacing w:after="0" w:line="205" w:lineRule="exact"/>
              <w:rPr>
                <w:sz w:val="20"/>
                <w:szCs w:val="20"/>
                <w:color w:val="auto"/>
              </w:rPr>
            </w:pPr>
            <w:r>
              <w:rPr>
                <w:rFonts w:ascii="Arial" w:cs="Arial" w:eastAsia="Arial" w:hAnsi="Arial"/>
                <w:sz w:val="18"/>
                <w:szCs w:val="18"/>
                <w:b w:val="1"/>
                <w:bCs w:val="1"/>
                <w:color w:val="auto"/>
                <w:w w:val="89"/>
              </w:rPr>
              <w:t>Line in the consolidated</w:t>
            </w:r>
          </w:p>
        </w:tc>
        <w:tc>
          <w:tcPr>
            <w:tcW w:w="2340" w:type="dxa"/>
            <w:vAlign w:val="bottom"/>
            <w:gridSpan w:val="2"/>
          </w:tcPr>
          <w:p>
            <w:pPr>
              <w:jc w:val="center"/>
              <w:ind w:right="141"/>
              <w:spacing w:after="0" w:line="205" w:lineRule="exact"/>
              <w:rPr>
                <w:sz w:val="20"/>
                <w:szCs w:val="20"/>
                <w:color w:val="auto"/>
              </w:rPr>
            </w:pPr>
            <w:r>
              <w:rPr>
                <w:rFonts w:ascii="Arial" w:cs="Arial" w:eastAsia="Arial" w:hAnsi="Arial"/>
                <w:sz w:val="18"/>
                <w:szCs w:val="18"/>
                <w:b w:val="1"/>
                <w:bCs w:val="1"/>
                <w:color w:val="auto"/>
                <w:w w:val="89"/>
              </w:rPr>
              <w:t>Accumulated amount of</w:t>
            </w:r>
          </w:p>
        </w:tc>
        <w:tc>
          <w:tcPr>
            <w:tcW w:w="2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18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fair value hedge</w:t>
            </w:r>
          </w:p>
        </w:tc>
        <w:tc>
          <w:tcPr>
            <w:tcW w:w="22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Change in fair value of</w:t>
            </w:r>
          </w:p>
        </w:tc>
      </w:tr>
      <w:tr>
        <w:trPr>
          <w:trHeight w:val="216"/>
        </w:trPr>
        <w:tc>
          <w:tcPr>
            <w:tcW w:w="1820" w:type="dxa"/>
            <w:vAlign w:val="bottom"/>
          </w:tcPr>
          <w:p>
            <w:pPr>
              <w:spacing w:after="0"/>
              <w:rPr>
                <w:sz w:val="18"/>
                <w:szCs w:val="18"/>
                <w:color w:val="auto"/>
              </w:rPr>
            </w:pPr>
          </w:p>
        </w:tc>
        <w:tc>
          <w:tcPr>
            <w:tcW w:w="2660" w:type="dxa"/>
            <w:vAlign w:val="bottom"/>
            <w:gridSpan w:val="4"/>
          </w:tcPr>
          <w:p>
            <w:pPr>
              <w:jc w:val="center"/>
              <w:ind w:right="81"/>
              <w:spacing w:after="0"/>
              <w:rPr>
                <w:sz w:val="20"/>
                <w:szCs w:val="20"/>
                <w:color w:val="auto"/>
              </w:rPr>
            </w:pPr>
            <w:r>
              <w:rPr>
                <w:rFonts w:ascii="Arial" w:cs="Arial" w:eastAsia="Arial" w:hAnsi="Arial"/>
                <w:sz w:val="18"/>
                <w:szCs w:val="18"/>
                <w:b w:val="1"/>
                <w:bCs w:val="1"/>
                <w:color w:val="auto"/>
                <w:w w:val="92"/>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 that includes the</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adjustments included in</w:t>
            </w:r>
          </w:p>
        </w:tc>
        <w:tc>
          <w:tcPr>
            <w:tcW w:w="22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the hedged items used</w:t>
            </w:r>
          </w:p>
        </w:tc>
      </w:tr>
      <w:tr>
        <w:trPr>
          <w:trHeight w:val="234"/>
        </w:trPr>
        <w:tc>
          <w:tcPr>
            <w:tcW w:w="1820" w:type="dxa"/>
            <w:vAlign w:val="bottom"/>
          </w:tcPr>
          <w:p>
            <w:pPr>
              <w:spacing w:after="0"/>
              <w:rPr>
                <w:sz w:val="20"/>
                <w:szCs w:val="20"/>
                <w:color w:val="auto"/>
              </w:rPr>
            </w:pPr>
          </w:p>
        </w:tc>
        <w:tc>
          <w:tcPr>
            <w:tcW w:w="25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the carrying amount of the</w:t>
            </w:r>
          </w:p>
        </w:tc>
        <w:tc>
          <w:tcPr>
            <w:tcW w:w="22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to calculate hedge</w:t>
            </w:r>
          </w:p>
        </w:tc>
      </w:tr>
      <w:tr>
        <w:trPr>
          <w:trHeight w:val="236"/>
        </w:trPr>
        <w:tc>
          <w:tcPr>
            <w:tcW w:w="1820" w:type="dxa"/>
            <w:vAlign w:val="bottom"/>
          </w:tcPr>
          <w:p>
            <w:pPr>
              <w:spacing w:after="0"/>
              <w:rPr>
                <w:sz w:val="20"/>
                <w:szCs w:val="20"/>
                <w:color w:val="auto"/>
              </w:rPr>
            </w:pPr>
          </w:p>
        </w:tc>
        <w:tc>
          <w:tcPr>
            <w:tcW w:w="1380" w:type="dxa"/>
            <w:vAlign w:val="bottom"/>
            <w:gridSpan w:val="2"/>
          </w:tcPr>
          <w:p>
            <w:pPr>
              <w:ind w:left="360"/>
              <w:spacing w:after="0"/>
              <w:rPr>
                <w:sz w:val="20"/>
                <w:szCs w:val="20"/>
                <w:color w:val="auto"/>
              </w:rPr>
            </w:pPr>
            <w:r>
              <w:rPr>
                <w:rFonts w:ascii="Arial" w:cs="Arial" w:eastAsia="Arial" w:hAnsi="Arial"/>
                <w:sz w:val="18"/>
                <w:szCs w:val="18"/>
                <w:b w:val="1"/>
                <w:bCs w:val="1"/>
                <w:color w:val="auto"/>
              </w:rPr>
              <w:t>Asset</w:t>
            </w:r>
          </w:p>
        </w:tc>
        <w:tc>
          <w:tcPr>
            <w:tcW w:w="1280" w:type="dxa"/>
            <w:vAlign w:val="bottom"/>
            <w:gridSpan w:val="2"/>
          </w:tcPr>
          <w:p>
            <w:pPr>
              <w:jc w:val="right"/>
              <w:ind w:right="301"/>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20"/>
                <w:szCs w:val="20"/>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hedged items</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hedged items</w:t>
            </w:r>
          </w:p>
        </w:tc>
        <w:tc>
          <w:tcPr>
            <w:tcW w:w="2220" w:type="dxa"/>
            <w:vAlign w:val="bottom"/>
            <w:gridSpan w:val="3"/>
          </w:tcPr>
          <w:p>
            <w:pPr>
              <w:jc w:val="center"/>
              <w:ind w:right="100"/>
              <w:spacing w:after="0" w:line="236" w:lineRule="exact"/>
              <w:rPr>
                <w:sz w:val="20"/>
                <w:szCs w:val="20"/>
                <w:color w:val="auto"/>
              </w:rPr>
            </w:pPr>
            <w:r>
              <w:rPr>
                <w:rFonts w:ascii="Arial" w:cs="Arial" w:eastAsia="Arial" w:hAnsi="Arial"/>
                <w:sz w:val="17"/>
                <w:szCs w:val="17"/>
                <w:b w:val="1"/>
                <w:bCs w:val="1"/>
                <w:color w:val="auto"/>
                <w:w w:val="88"/>
              </w:rPr>
              <w:t>ineffectiveness</w:t>
            </w:r>
            <w:r>
              <w:rPr>
                <w:rFonts w:ascii="Arial" w:cs="Arial" w:eastAsia="Arial" w:hAnsi="Arial"/>
                <w:sz w:val="27"/>
                <w:szCs w:val="27"/>
                <w:b w:val="1"/>
                <w:bCs w:val="1"/>
                <w:color w:val="auto"/>
                <w:w w:val="88"/>
                <w:vertAlign w:val="superscript"/>
              </w:rPr>
              <w:t>(1)</w:t>
            </w:r>
          </w:p>
        </w:tc>
      </w:tr>
      <w:tr>
        <w:trPr>
          <w:trHeight w:val="210"/>
        </w:trPr>
        <w:tc>
          <w:tcPr>
            <w:tcW w:w="1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1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1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rPr>
              <w:t>Loans</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10,837</w:t>
            </w: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Loans, net</w:t>
            </w:r>
          </w:p>
        </w:tc>
        <w:tc>
          <w:tcPr>
            <w:tcW w:w="2340" w:type="dxa"/>
            <w:vAlign w:val="bottom"/>
            <w:gridSpan w:val="2"/>
          </w:tcPr>
          <w:p>
            <w:pPr>
              <w:jc w:val="right"/>
              <w:ind w:right="141"/>
              <w:spacing w:after="0"/>
              <w:rPr>
                <w:sz w:val="20"/>
                <w:szCs w:val="20"/>
                <w:color w:val="auto"/>
              </w:rPr>
            </w:pPr>
            <w:r>
              <w:rPr>
                <w:rFonts w:ascii="Arial" w:cs="Arial" w:eastAsia="Arial" w:hAnsi="Arial"/>
                <w:sz w:val="18"/>
                <w:szCs w:val="18"/>
                <w:color w:val="auto"/>
              </w:rPr>
              <w:t>74</w:t>
            </w:r>
          </w:p>
        </w:tc>
        <w:tc>
          <w:tcPr>
            <w:tcW w:w="2220" w:type="dxa"/>
            <w:vAlign w:val="bottom"/>
            <w:gridSpan w:val="3"/>
          </w:tcPr>
          <w:p>
            <w:pPr>
              <w:jc w:val="right"/>
              <w:ind w:right="40"/>
              <w:spacing w:after="0"/>
              <w:rPr>
                <w:sz w:val="20"/>
                <w:szCs w:val="20"/>
                <w:color w:val="auto"/>
              </w:rPr>
            </w:pPr>
            <w:r>
              <w:rPr>
                <w:rFonts w:ascii="Arial" w:cs="Arial" w:eastAsia="Arial" w:hAnsi="Arial"/>
                <w:sz w:val="18"/>
                <w:szCs w:val="18"/>
                <w:color w:val="auto"/>
              </w:rPr>
              <w:t>(83)</w:t>
            </w:r>
          </w:p>
        </w:tc>
      </w:tr>
      <w:tr>
        <w:trPr>
          <w:trHeight w:val="202"/>
        </w:trPr>
        <w:tc>
          <w:tcPr>
            <w:tcW w:w="18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Securities and other</w:t>
            </w:r>
          </w:p>
        </w:tc>
        <w:tc>
          <w:tcPr>
            <w:tcW w:w="2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1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5,113</w:t>
            </w:r>
          </w:p>
        </w:tc>
        <w:tc>
          <w:tcPr>
            <w:tcW w:w="128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w:t>
            </w:r>
          </w:p>
        </w:tc>
        <w:tc>
          <w:tcPr>
            <w:tcW w:w="22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financial assets, net</w:t>
            </w:r>
          </w:p>
        </w:tc>
        <w:tc>
          <w:tcPr>
            <w:tcW w:w="2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85</w:t>
            </w:r>
          </w:p>
        </w:tc>
        <w:tc>
          <w:tcPr>
            <w:tcW w:w="2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80" w:type="dxa"/>
            <w:vAlign w:val="bottom"/>
            <w:shd w:val="clear" w:color="auto" w:fill="CCEEFF"/>
          </w:tcPr>
          <w:p>
            <w:pPr>
              <w:spacing w:after="0"/>
              <w:rPr>
                <w:sz w:val="20"/>
                <w:szCs w:val="20"/>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w w:val="98"/>
              </w:rPr>
              <w:t>Borrowings and debt</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1"/>
              <w:spacing w:after="0"/>
              <w:rPr>
                <w:sz w:val="20"/>
                <w:szCs w:val="20"/>
                <w:color w:val="auto"/>
              </w:rPr>
            </w:pPr>
            <w:r>
              <w:rPr>
                <w:rFonts w:ascii="Arial" w:cs="Arial" w:eastAsia="Arial" w:hAnsi="Arial"/>
                <w:sz w:val="18"/>
                <w:szCs w:val="18"/>
                <w:color w:val="auto"/>
              </w:rPr>
              <w:t>(71,937)</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81"/>
              <w:spacing w:after="0"/>
              <w:rPr>
                <w:sz w:val="20"/>
                <w:szCs w:val="20"/>
                <w:color w:val="auto"/>
              </w:rPr>
            </w:pPr>
            <w:r>
              <w:rPr>
                <w:rFonts w:ascii="Arial" w:cs="Arial" w:eastAsia="Arial" w:hAnsi="Arial"/>
                <w:sz w:val="18"/>
                <w:szCs w:val="18"/>
                <w:color w:val="auto"/>
              </w:rPr>
              <w:t>(292)</w:t>
            </w:r>
          </w:p>
        </w:tc>
        <w:tc>
          <w:tcPr>
            <w:tcW w:w="2220" w:type="dxa"/>
            <w:vAlign w:val="bottom"/>
            <w:gridSpan w:val="3"/>
          </w:tcPr>
          <w:p>
            <w:pPr>
              <w:jc w:val="right"/>
              <w:ind w:right="40"/>
              <w:spacing w:after="0"/>
              <w:rPr>
                <w:sz w:val="20"/>
                <w:szCs w:val="20"/>
                <w:color w:val="auto"/>
              </w:rPr>
            </w:pPr>
            <w:r>
              <w:rPr>
                <w:rFonts w:ascii="Arial" w:cs="Arial" w:eastAsia="Arial" w:hAnsi="Arial"/>
                <w:sz w:val="18"/>
                <w:szCs w:val="18"/>
                <w:color w:val="auto"/>
              </w:rPr>
              <w:t>(226)</w:t>
            </w:r>
          </w:p>
        </w:tc>
      </w:tr>
      <w:tr>
        <w:trPr>
          <w:trHeight w:val="198"/>
        </w:trPr>
        <w:tc>
          <w:tcPr>
            <w:tcW w:w="182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w:t>
            </w:r>
          </w:p>
        </w:tc>
        <w:tc>
          <w:tcPr>
            <w:tcW w:w="11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1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6"/>
              </w:rPr>
              <w:t>foreign exchange risk</w:t>
            </w:r>
          </w:p>
        </w:tc>
        <w:tc>
          <w:tcPr>
            <w:tcW w:w="114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212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rPr>
              <w:t>Loans</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3,789</w:t>
            </w: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2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340" w:type="dxa"/>
            <w:vAlign w:val="bottom"/>
            <w:gridSpan w:val="2"/>
          </w:tcPr>
          <w:p>
            <w:pPr>
              <w:jc w:val="right"/>
              <w:ind w:right="81"/>
              <w:spacing w:after="0"/>
              <w:rPr>
                <w:sz w:val="20"/>
                <w:szCs w:val="20"/>
                <w:color w:val="auto"/>
              </w:rPr>
            </w:pPr>
            <w:r>
              <w:rPr>
                <w:rFonts w:ascii="Arial" w:cs="Arial" w:eastAsia="Arial" w:hAnsi="Arial"/>
                <w:sz w:val="18"/>
                <w:szCs w:val="18"/>
                <w:color w:val="auto"/>
              </w:rPr>
              <w:t>(654)</w:t>
            </w:r>
          </w:p>
        </w:tc>
        <w:tc>
          <w:tcPr>
            <w:tcW w:w="2220" w:type="dxa"/>
            <w:vAlign w:val="bottom"/>
            <w:gridSpan w:val="3"/>
          </w:tcPr>
          <w:p>
            <w:pPr>
              <w:jc w:val="right"/>
              <w:ind w:right="40"/>
              <w:spacing w:after="0"/>
              <w:rPr>
                <w:sz w:val="20"/>
                <w:szCs w:val="20"/>
                <w:color w:val="auto"/>
              </w:rPr>
            </w:pPr>
            <w:r>
              <w:rPr>
                <w:rFonts w:ascii="Arial" w:cs="Arial" w:eastAsia="Arial" w:hAnsi="Arial"/>
                <w:sz w:val="18"/>
                <w:szCs w:val="18"/>
                <w:color w:val="auto"/>
              </w:rPr>
              <w:t>(327)</w:t>
            </w:r>
          </w:p>
        </w:tc>
      </w:tr>
      <w:tr>
        <w:trPr>
          <w:trHeight w:val="229"/>
        </w:trPr>
        <w:tc>
          <w:tcPr>
            <w:tcW w:w="182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8"/>
              </w:rPr>
              <w:t>Borrowings and debt</w:t>
            </w: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(339,688)</w:t>
            </w:r>
          </w:p>
        </w:tc>
        <w:tc>
          <w:tcPr>
            <w:tcW w:w="22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1,083</w:t>
            </w:r>
          </w:p>
        </w:tc>
        <w:tc>
          <w:tcPr>
            <w:tcW w:w="2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2,056</w:t>
            </w:r>
          </w:p>
        </w:tc>
        <w:tc>
          <w:tcPr>
            <w:tcW w:w="80" w:type="dxa"/>
            <w:vAlign w:val="bottom"/>
            <w:shd w:val="clear" w:color="auto" w:fill="CCEEFF"/>
          </w:tcPr>
          <w:p>
            <w:pPr>
              <w:spacing w:after="0"/>
              <w:rPr>
                <w:sz w:val="19"/>
                <w:szCs w:val="19"/>
                <w:color w:val="auto"/>
              </w:rPr>
            </w:pPr>
          </w:p>
        </w:tc>
      </w:tr>
      <w:tr>
        <w:trPr>
          <w:trHeight w:val="223"/>
        </w:trPr>
        <w:tc>
          <w:tcPr>
            <w:tcW w:w="18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19,739</w:t>
            </w:r>
          </w:p>
        </w:tc>
        <w:tc>
          <w:tcPr>
            <w:tcW w:w="2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(411,625</w:t>
            </w:r>
          </w:p>
        </w:tc>
        <w:tc>
          <w:tcPr>
            <w:tcW w:w="160" w:type="dxa"/>
            <w:vAlign w:val="bottom"/>
          </w:tcPr>
          <w:p>
            <w:pPr>
              <w:jc w:val="right"/>
              <w:ind w:right="21"/>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296</w:t>
            </w:r>
          </w:p>
        </w:tc>
        <w:tc>
          <w:tcPr>
            <w:tcW w:w="220" w:type="dxa"/>
            <w:vAlign w:val="bottom"/>
          </w:tcPr>
          <w:p>
            <w:pPr>
              <w:spacing w:after="0"/>
              <w:rPr>
                <w:sz w:val="19"/>
                <w:szCs w:val="19"/>
                <w:color w:val="auto"/>
              </w:rPr>
            </w:pPr>
          </w:p>
        </w:tc>
        <w:tc>
          <w:tcPr>
            <w:tcW w:w="2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18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182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gridSpan w:val="4"/>
          </w:tcPr>
          <w:p>
            <w:pPr>
              <w:jc w:val="right"/>
              <w:ind w:right="1741"/>
              <w:spacing w:after="0"/>
              <w:rPr>
                <w:sz w:val="20"/>
                <w:szCs w:val="20"/>
                <w:color w:val="auto"/>
              </w:rPr>
            </w:pPr>
            <w:r>
              <w:rPr>
                <w:rFonts w:ascii="Arial" w:cs="Arial" w:eastAsia="Arial" w:hAnsi="Arial"/>
                <w:sz w:val="18"/>
                <w:szCs w:val="18"/>
                <w:b w:val="1"/>
                <w:bCs w:val="1"/>
                <w:color w:val="auto"/>
              </w:rPr>
              <w:t>December 31, 2019</w:t>
            </w:r>
          </w:p>
        </w:tc>
        <w:tc>
          <w:tcPr>
            <w:tcW w:w="21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05"/>
        </w:trPr>
        <w:tc>
          <w:tcPr>
            <w:tcW w:w="18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120" w:type="dxa"/>
            <w:vAlign w:val="bottom"/>
            <w:gridSpan w:val="2"/>
          </w:tcPr>
          <w:p>
            <w:pPr>
              <w:jc w:val="center"/>
              <w:ind w:right="120"/>
              <w:spacing w:after="0" w:line="205" w:lineRule="exact"/>
              <w:rPr>
                <w:sz w:val="20"/>
                <w:szCs w:val="20"/>
                <w:color w:val="auto"/>
              </w:rPr>
            </w:pPr>
            <w:r>
              <w:rPr>
                <w:rFonts w:ascii="Arial" w:cs="Arial" w:eastAsia="Arial" w:hAnsi="Arial"/>
                <w:sz w:val="18"/>
                <w:szCs w:val="18"/>
                <w:b w:val="1"/>
                <w:bCs w:val="1"/>
                <w:color w:val="auto"/>
                <w:w w:val="89"/>
              </w:rPr>
              <w:t>Line in the consolidated</w:t>
            </w:r>
          </w:p>
        </w:tc>
        <w:tc>
          <w:tcPr>
            <w:tcW w:w="2340" w:type="dxa"/>
            <w:vAlign w:val="bottom"/>
            <w:gridSpan w:val="2"/>
          </w:tcPr>
          <w:p>
            <w:pPr>
              <w:jc w:val="center"/>
              <w:ind w:right="141"/>
              <w:spacing w:after="0" w:line="205" w:lineRule="exact"/>
              <w:rPr>
                <w:sz w:val="20"/>
                <w:szCs w:val="20"/>
                <w:color w:val="auto"/>
              </w:rPr>
            </w:pPr>
            <w:r>
              <w:rPr>
                <w:rFonts w:ascii="Arial" w:cs="Arial" w:eastAsia="Arial" w:hAnsi="Arial"/>
                <w:sz w:val="18"/>
                <w:szCs w:val="18"/>
                <w:b w:val="1"/>
                <w:bCs w:val="1"/>
                <w:color w:val="auto"/>
                <w:w w:val="89"/>
              </w:rPr>
              <w:t>Accumulated amount of</w:t>
            </w:r>
          </w:p>
        </w:tc>
        <w:tc>
          <w:tcPr>
            <w:tcW w:w="21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18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fair value hedge</w:t>
            </w:r>
          </w:p>
        </w:tc>
        <w:tc>
          <w:tcPr>
            <w:tcW w:w="22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Change in fair value of</w:t>
            </w:r>
          </w:p>
        </w:tc>
      </w:tr>
      <w:tr>
        <w:trPr>
          <w:trHeight w:val="216"/>
        </w:trPr>
        <w:tc>
          <w:tcPr>
            <w:tcW w:w="1820" w:type="dxa"/>
            <w:vAlign w:val="bottom"/>
          </w:tcPr>
          <w:p>
            <w:pPr>
              <w:spacing w:after="0"/>
              <w:rPr>
                <w:sz w:val="18"/>
                <w:szCs w:val="18"/>
                <w:color w:val="auto"/>
              </w:rPr>
            </w:pPr>
          </w:p>
        </w:tc>
        <w:tc>
          <w:tcPr>
            <w:tcW w:w="2660" w:type="dxa"/>
            <w:vAlign w:val="bottom"/>
            <w:gridSpan w:val="4"/>
          </w:tcPr>
          <w:p>
            <w:pPr>
              <w:jc w:val="center"/>
              <w:ind w:right="81"/>
              <w:spacing w:after="0"/>
              <w:rPr>
                <w:sz w:val="20"/>
                <w:szCs w:val="20"/>
                <w:color w:val="auto"/>
              </w:rPr>
            </w:pPr>
            <w:r>
              <w:rPr>
                <w:rFonts w:ascii="Arial" w:cs="Arial" w:eastAsia="Arial" w:hAnsi="Arial"/>
                <w:sz w:val="18"/>
                <w:szCs w:val="18"/>
                <w:b w:val="1"/>
                <w:bCs w:val="1"/>
                <w:color w:val="auto"/>
                <w:w w:val="92"/>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 that includes the</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adjustments included in</w:t>
            </w:r>
          </w:p>
        </w:tc>
        <w:tc>
          <w:tcPr>
            <w:tcW w:w="22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the hedged items used</w:t>
            </w:r>
          </w:p>
        </w:tc>
      </w:tr>
      <w:tr>
        <w:trPr>
          <w:trHeight w:val="234"/>
        </w:trPr>
        <w:tc>
          <w:tcPr>
            <w:tcW w:w="1820" w:type="dxa"/>
            <w:vAlign w:val="bottom"/>
          </w:tcPr>
          <w:p>
            <w:pPr>
              <w:spacing w:after="0"/>
              <w:rPr>
                <w:sz w:val="20"/>
                <w:szCs w:val="20"/>
                <w:color w:val="auto"/>
              </w:rPr>
            </w:pPr>
          </w:p>
        </w:tc>
        <w:tc>
          <w:tcPr>
            <w:tcW w:w="25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6"/>
              </w:rPr>
              <w:t>hedged items</w:t>
            </w:r>
          </w:p>
        </w:tc>
        <w:tc>
          <w:tcPr>
            <w:tcW w:w="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the carrying amount of the</w:t>
            </w:r>
          </w:p>
        </w:tc>
        <w:tc>
          <w:tcPr>
            <w:tcW w:w="22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7"/>
              </w:rPr>
              <w:t>to calculate hedge</w:t>
            </w:r>
          </w:p>
        </w:tc>
      </w:tr>
      <w:tr>
        <w:trPr>
          <w:trHeight w:val="237"/>
        </w:trPr>
        <w:tc>
          <w:tcPr>
            <w:tcW w:w="1820" w:type="dxa"/>
            <w:vAlign w:val="bottom"/>
          </w:tcPr>
          <w:p>
            <w:pPr>
              <w:spacing w:after="0"/>
              <w:rPr>
                <w:sz w:val="20"/>
                <w:szCs w:val="20"/>
                <w:color w:val="auto"/>
              </w:rPr>
            </w:pPr>
          </w:p>
        </w:tc>
        <w:tc>
          <w:tcPr>
            <w:tcW w:w="1380" w:type="dxa"/>
            <w:vAlign w:val="bottom"/>
            <w:gridSpan w:val="2"/>
          </w:tcPr>
          <w:p>
            <w:pPr>
              <w:ind w:left="360"/>
              <w:spacing w:after="0"/>
              <w:rPr>
                <w:sz w:val="20"/>
                <w:szCs w:val="20"/>
                <w:color w:val="auto"/>
              </w:rPr>
            </w:pPr>
            <w:r>
              <w:rPr>
                <w:rFonts w:ascii="Arial" w:cs="Arial" w:eastAsia="Arial" w:hAnsi="Arial"/>
                <w:sz w:val="18"/>
                <w:szCs w:val="18"/>
                <w:b w:val="1"/>
                <w:bCs w:val="1"/>
                <w:color w:val="auto"/>
              </w:rPr>
              <w:t>Asset</w:t>
            </w:r>
          </w:p>
        </w:tc>
        <w:tc>
          <w:tcPr>
            <w:tcW w:w="1280" w:type="dxa"/>
            <w:vAlign w:val="bottom"/>
            <w:gridSpan w:val="2"/>
          </w:tcPr>
          <w:p>
            <w:pPr>
              <w:jc w:val="right"/>
              <w:ind w:right="301"/>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20"/>
                <w:szCs w:val="20"/>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hedged items</w:t>
            </w:r>
          </w:p>
        </w:tc>
        <w:tc>
          <w:tcPr>
            <w:tcW w:w="23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hedged items</w:t>
            </w:r>
          </w:p>
        </w:tc>
        <w:tc>
          <w:tcPr>
            <w:tcW w:w="2220" w:type="dxa"/>
            <w:vAlign w:val="bottom"/>
            <w:gridSpan w:val="3"/>
          </w:tcPr>
          <w:p>
            <w:pPr>
              <w:jc w:val="center"/>
              <w:ind w:right="100"/>
              <w:spacing w:after="0" w:line="236" w:lineRule="exact"/>
              <w:rPr>
                <w:sz w:val="20"/>
                <w:szCs w:val="20"/>
                <w:color w:val="auto"/>
              </w:rPr>
            </w:pPr>
            <w:r>
              <w:rPr>
                <w:rFonts w:ascii="Arial" w:cs="Arial" w:eastAsia="Arial" w:hAnsi="Arial"/>
                <w:sz w:val="17"/>
                <w:szCs w:val="17"/>
                <w:b w:val="1"/>
                <w:bCs w:val="1"/>
                <w:color w:val="auto"/>
                <w:w w:val="88"/>
              </w:rPr>
              <w:t>ineffectiveness</w:t>
            </w:r>
            <w:r>
              <w:rPr>
                <w:rFonts w:ascii="Arial" w:cs="Arial" w:eastAsia="Arial" w:hAnsi="Arial"/>
                <w:sz w:val="27"/>
                <w:szCs w:val="27"/>
                <w:b w:val="1"/>
                <w:bCs w:val="1"/>
                <w:color w:val="auto"/>
                <w:w w:val="88"/>
                <w:vertAlign w:val="superscript"/>
              </w:rPr>
              <w:t>(1)</w:t>
            </w:r>
          </w:p>
        </w:tc>
      </w:tr>
      <w:tr>
        <w:trPr>
          <w:trHeight w:val="209"/>
        </w:trPr>
        <w:tc>
          <w:tcPr>
            <w:tcW w:w="1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1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2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1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rPr>
              <w:t>Loans</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13,583</w:t>
            </w: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Loans, net</w:t>
            </w:r>
          </w:p>
        </w:tc>
        <w:tc>
          <w:tcPr>
            <w:tcW w:w="2340" w:type="dxa"/>
            <w:vAlign w:val="bottom"/>
            <w:gridSpan w:val="2"/>
          </w:tcPr>
          <w:p>
            <w:pPr>
              <w:jc w:val="right"/>
              <w:ind w:right="141"/>
              <w:spacing w:after="0"/>
              <w:rPr>
                <w:sz w:val="20"/>
                <w:szCs w:val="20"/>
                <w:color w:val="auto"/>
              </w:rPr>
            </w:pPr>
            <w:r>
              <w:rPr>
                <w:rFonts w:ascii="Arial" w:cs="Arial" w:eastAsia="Arial" w:hAnsi="Arial"/>
                <w:sz w:val="18"/>
                <w:szCs w:val="18"/>
                <w:color w:val="auto"/>
              </w:rPr>
              <w:t>158</w:t>
            </w:r>
          </w:p>
        </w:tc>
        <w:tc>
          <w:tcPr>
            <w:tcW w:w="2140" w:type="dxa"/>
            <w:vAlign w:val="bottom"/>
            <w:gridSpan w:val="2"/>
          </w:tcPr>
          <w:p>
            <w:pPr>
              <w:jc w:val="right"/>
              <w:spacing w:after="0"/>
              <w:rPr>
                <w:sz w:val="20"/>
                <w:szCs w:val="20"/>
                <w:color w:val="auto"/>
              </w:rPr>
            </w:pPr>
            <w:r>
              <w:rPr>
                <w:rFonts w:ascii="Arial" w:cs="Arial" w:eastAsia="Arial" w:hAnsi="Arial"/>
                <w:sz w:val="18"/>
                <w:szCs w:val="18"/>
                <w:color w:val="auto"/>
              </w:rPr>
              <w:t>118</w:t>
            </w:r>
          </w:p>
        </w:tc>
        <w:tc>
          <w:tcPr>
            <w:tcW w:w="80" w:type="dxa"/>
            <w:vAlign w:val="bottom"/>
          </w:tcPr>
          <w:p>
            <w:pPr>
              <w:spacing w:after="0"/>
              <w:rPr>
                <w:sz w:val="18"/>
                <w:szCs w:val="18"/>
                <w:color w:val="auto"/>
              </w:rPr>
            </w:pPr>
          </w:p>
        </w:tc>
      </w:tr>
      <w:tr>
        <w:trPr>
          <w:trHeight w:val="202"/>
        </w:trPr>
        <w:tc>
          <w:tcPr>
            <w:tcW w:w="18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0" w:type="dxa"/>
            <w:vAlign w:val="bottom"/>
            <w:gridSpan w:val="3"/>
            <w:shd w:val="clear" w:color="auto" w:fill="CCEEFF"/>
          </w:tcPr>
          <w:p>
            <w:pPr>
              <w:ind w:left="80"/>
              <w:spacing w:after="0" w:line="201" w:lineRule="exact"/>
              <w:rPr>
                <w:sz w:val="20"/>
                <w:szCs w:val="20"/>
                <w:color w:val="auto"/>
              </w:rPr>
            </w:pPr>
            <w:r>
              <w:rPr>
                <w:rFonts w:ascii="Arial" w:cs="Arial" w:eastAsia="Arial" w:hAnsi="Arial"/>
                <w:sz w:val="18"/>
                <w:szCs w:val="18"/>
                <w:color w:val="auto"/>
              </w:rPr>
              <w:t>Securities and other</w:t>
            </w:r>
          </w:p>
        </w:tc>
        <w:tc>
          <w:tcPr>
            <w:tcW w:w="2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18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Securities at FVOCI</w:t>
            </w: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5,142</w:t>
            </w:r>
          </w:p>
        </w:tc>
        <w:tc>
          <w:tcPr>
            <w:tcW w:w="128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w:t>
            </w:r>
          </w:p>
        </w:tc>
        <w:tc>
          <w:tcPr>
            <w:tcW w:w="22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financial assets, net</w:t>
            </w:r>
          </w:p>
        </w:tc>
        <w:tc>
          <w:tcPr>
            <w:tcW w:w="23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94</w:t>
            </w:r>
          </w:p>
        </w:tc>
        <w:tc>
          <w:tcPr>
            <w:tcW w:w="2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80</w:t>
            </w:r>
          </w:p>
        </w:tc>
        <w:tc>
          <w:tcPr>
            <w:tcW w:w="80" w:type="dxa"/>
            <w:vAlign w:val="bottom"/>
            <w:shd w:val="clear" w:color="auto" w:fill="CCEEFF"/>
          </w:tcPr>
          <w:p>
            <w:pPr>
              <w:spacing w:after="0"/>
              <w:rPr>
                <w:sz w:val="20"/>
                <w:szCs w:val="20"/>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w w:val="98"/>
              </w:rPr>
              <w:t>Borrowings and debt</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21"/>
              <w:spacing w:after="0"/>
              <w:rPr>
                <w:sz w:val="20"/>
                <w:szCs w:val="20"/>
                <w:color w:val="auto"/>
              </w:rPr>
            </w:pPr>
            <w:r>
              <w:rPr>
                <w:rFonts w:ascii="Arial" w:cs="Arial" w:eastAsia="Arial" w:hAnsi="Arial"/>
                <w:sz w:val="18"/>
                <w:szCs w:val="18"/>
                <w:color w:val="auto"/>
              </w:rPr>
              <w:t>(381,587)</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tcPr>
          <w:p>
            <w:pPr>
              <w:jc w:val="right"/>
              <w:ind w:right="141"/>
              <w:spacing w:after="0"/>
              <w:rPr>
                <w:sz w:val="20"/>
                <w:szCs w:val="20"/>
                <w:color w:val="auto"/>
              </w:rPr>
            </w:pPr>
            <w:r>
              <w:rPr>
                <w:rFonts w:ascii="Arial" w:cs="Arial" w:eastAsia="Arial" w:hAnsi="Arial"/>
                <w:sz w:val="18"/>
                <w:szCs w:val="18"/>
                <w:color w:val="auto"/>
              </w:rPr>
              <w:t>18</w:t>
            </w:r>
          </w:p>
        </w:tc>
        <w:tc>
          <w:tcPr>
            <w:tcW w:w="2220" w:type="dxa"/>
            <w:vAlign w:val="bottom"/>
            <w:gridSpan w:val="3"/>
          </w:tcPr>
          <w:p>
            <w:pPr>
              <w:jc w:val="right"/>
              <w:ind w:right="40"/>
              <w:spacing w:after="0"/>
              <w:rPr>
                <w:sz w:val="20"/>
                <w:szCs w:val="20"/>
                <w:color w:val="auto"/>
              </w:rPr>
            </w:pPr>
            <w:r>
              <w:rPr>
                <w:rFonts w:ascii="Arial" w:cs="Arial" w:eastAsia="Arial" w:hAnsi="Arial"/>
                <w:sz w:val="18"/>
                <w:szCs w:val="18"/>
                <w:color w:val="auto"/>
              </w:rPr>
              <w:t>(5,268)</w:t>
            </w:r>
          </w:p>
        </w:tc>
      </w:tr>
      <w:tr>
        <w:trPr>
          <w:trHeight w:val="198"/>
        </w:trPr>
        <w:tc>
          <w:tcPr>
            <w:tcW w:w="182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w:t>
            </w:r>
          </w:p>
        </w:tc>
        <w:tc>
          <w:tcPr>
            <w:tcW w:w="11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1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6"/>
              </w:rPr>
              <w:t>foreign exchange risk</w:t>
            </w:r>
          </w:p>
        </w:tc>
        <w:tc>
          <w:tcPr>
            <w:tcW w:w="114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21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212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1820" w:type="dxa"/>
            <w:vAlign w:val="bottom"/>
          </w:tcPr>
          <w:p>
            <w:pPr>
              <w:ind w:left="180"/>
              <w:spacing w:after="0"/>
              <w:rPr>
                <w:sz w:val="20"/>
                <w:szCs w:val="20"/>
                <w:color w:val="auto"/>
              </w:rPr>
            </w:pPr>
            <w:r>
              <w:rPr>
                <w:rFonts w:ascii="Arial" w:cs="Arial" w:eastAsia="Arial" w:hAnsi="Arial"/>
                <w:sz w:val="18"/>
                <w:szCs w:val="18"/>
                <w:color w:val="auto"/>
              </w:rPr>
              <w:t>Loans</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color w:val="auto"/>
              </w:rPr>
              <w:t>6,202</w:t>
            </w: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Loans, net</w:t>
            </w:r>
          </w:p>
        </w:tc>
        <w:tc>
          <w:tcPr>
            <w:tcW w:w="2340" w:type="dxa"/>
            <w:vAlign w:val="bottom"/>
            <w:gridSpan w:val="2"/>
          </w:tcPr>
          <w:p>
            <w:pPr>
              <w:jc w:val="right"/>
              <w:ind w:right="81"/>
              <w:spacing w:after="0"/>
              <w:rPr>
                <w:sz w:val="20"/>
                <w:szCs w:val="20"/>
                <w:color w:val="auto"/>
              </w:rPr>
            </w:pPr>
            <w:r>
              <w:rPr>
                <w:rFonts w:ascii="Arial" w:cs="Arial" w:eastAsia="Arial" w:hAnsi="Arial"/>
                <w:sz w:val="18"/>
                <w:szCs w:val="18"/>
                <w:color w:val="auto"/>
              </w:rPr>
              <w:t>(495)</w:t>
            </w:r>
          </w:p>
        </w:tc>
        <w:tc>
          <w:tcPr>
            <w:tcW w:w="2140" w:type="dxa"/>
            <w:vAlign w:val="bottom"/>
            <w:gridSpan w:val="2"/>
          </w:tcPr>
          <w:p>
            <w:pPr>
              <w:jc w:val="right"/>
              <w:spacing w:after="0"/>
              <w:rPr>
                <w:sz w:val="20"/>
                <w:szCs w:val="20"/>
                <w:color w:val="auto"/>
              </w:rPr>
            </w:pPr>
            <w:r>
              <w:rPr>
                <w:rFonts w:ascii="Arial" w:cs="Arial" w:eastAsia="Arial" w:hAnsi="Arial"/>
                <w:sz w:val="18"/>
                <w:szCs w:val="18"/>
                <w:color w:val="auto"/>
              </w:rPr>
              <w:t>268</w:t>
            </w:r>
          </w:p>
        </w:tc>
        <w:tc>
          <w:tcPr>
            <w:tcW w:w="80" w:type="dxa"/>
            <w:vAlign w:val="bottom"/>
          </w:tcPr>
          <w:p>
            <w:pPr>
              <w:spacing w:after="0"/>
              <w:rPr>
                <w:sz w:val="18"/>
                <w:szCs w:val="18"/>
                <w:color w:val="auto"/>
              </w:rPr>
            </w:pPr>
          </w:p>
        </w:tc>
      </w:tr>
      <w:tr>
        <w:trPr>
          <w:trHeight w:val="230"/>
        </w:trPr>
        <w:tc>
          <w:tcPr>
            <w:tcW w:w="182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8"/>
              </w:rPr>
              <w:t>Borrowings and debt</w:t>
            </w:r>
          </w:p>
        </w:tc>
        <w:tc>
          <w:tcPr>
            <w:tcW w:w="13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(336,117)</w:t>
            </w:r>
          </w:p>
        </w:tc>
        <w:tc>
          <w:tcPr>
            <w:tcW w:w="2200" w:type="dxa"/>
            <w:vAlign w:val="bottom"/>
            <w:gridSpan w:val="3"/>
            <w:shd w:val="clear" w:color="auto" w:fill="CCEEFF"/>
          </w:tcPr>
          <w:p>
            <w:pPr>
              <w:ind w:left="80"/>
              <w:spacing w:after="0"/>
              <w:rPr>
                <w:sz w:val="20"/>
                <w:szCs w:val="20"/>
                <w:color w:val="auto"/>
              </w:rPr>
            </w:pPr>
            <w:r>
              <w:rPr>
                <w:rFonts w:ascii="Arial" w:cs="Arial" w:eastAsia="Arial" w:hAnsi="Arial"/>
                <w:sz w:val="18"/>
                <w:szCs w:val="18"/>
                <w:color w:val="auto"/>
              </w:rPr>
              <w:t>Borrowings and debt, net</w:t>
            </w:r>
          </w:p>
        </w:tc>
        <w:tc>
          <w:tcPr>
            <w:tcW w:w="23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(973)</w:t>
            </w:r>
          </w:p>
        </w:tc>
        <w:tc>
          <w:tcPr>
            <w:tcW w:w="22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(7,179)</w:t>
            </w:r>
          </w:p>
        </w:tc>
      </w:tr>
      <w:tr>
        <w:trPr>
          <w:trHeight w:val="223"/>
        </w:trPr>
        <w:tc>
          <w:tcPr>
            <w:tcW w:w="18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24,927</w:t>
            </w:r>
          </w:p>
        </w:tc>
        <w:tc>
          <w:tcPr>
            <w:tcW w:w="24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(717,704</w:t>
            </w:r>
          </w:p>
        </w:tc>
        <w:tc>
          <w:tcPr>
            <w:tcW w:w="160" w:type="dxa"/>
            <w:vAlign w:val="bottom"/>
          </w:tcPr>
          <w:p>
            <w:pPr>
              <w:jc w:val="right"/>
              <w:ind w:right="21"/>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9"/>
                <w:szCs w:val="19"/>
                <w:color w:val="auto"/>
              </w:rPr>
            </w:pPr>
          </w:p>
        </w:tc>
        <w:tc>
          <w:tcPr>
            <w:tcW w:w="2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1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(1,198</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21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(11,981</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8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1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29" w:lineRule="exact"/>
        <w:rPr>
          <w:sz w:val="20"/>
          <w:szCs w:val="20"/>
          <w:color w:val="auto"/>
        </w:rPr>
      </w:pPr>
    </w:p>
    <w:p>
      <w:pPr>
        <w:ind w:left="5460" w:right="3540" w:hanging="5452"/>
        <w:spacing w:after="0" w:line="473" w:lineRule="auto"/>
        <w:tabs>
          <w:tab w:leader="none" w:pos="226" w:val="left"/>
        </w:tabs>
        <w:numPr>
          <w:ilvl w:val="0"/>
          <w:numId w:val="254"/>
        </w:numPr>
        <w:rPr>
          <w:rFonts w:ascii="Arial" w:cs="Arial" w:eastAsia="Arial" w:hAnsi="Arial"/>
          <w:sz w:val="26"/>
          <w:szCs w:val="26"/>
          <w:color w:val="auto"/>
          <w:vertAlign w:val="superscript"/>
        </w:rPr>
      </w:pPr>
      <w:r>
        <w:rPr>
          <w:rFonts w:ascii="Arial" w:cs="Arial" w:eastAsia="Arial" w:hAnsi="Arial"/>
          <w:sz w:val="16"/>
          <w:szCs w:val="16"/>
          <w:color w:val="auto"/>
        </w:rPr>
        <w:t>Included in the consolidated statement of profit or loss under the line Loss on financial instruments, net. 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-174625</wp:posOffset>
            </wp:positionV>
            <wp:extent cx="7132320" cy="8255"/>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23" w:name="page224"/>
    <w:bookmarkEnd w:id="2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 Fair value hedges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details the maturity of the notional amount for the derivative instruments used in fair value hedges:</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70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jc w:val="right"/>
        <w:ind w:right="1620"/>
        <w:spacing w:after="0"/>
        <w:rPr>
          <w:sz w:val="20"/>
          <w:szCs w:val="20"/>
          <w:color w:val="auto"/>
        </w:rPr>
      </w:pPr>
      <w:r>
        <w:rPr>
          <w:rFonts w:ascii="Arial" w:cs="Arial" w:eastAsia="Arial" w:hAnsi="Arial"/>
          <w:sz w:val="18"/>
          <w:szCs w:val="18"/>
          <w:b w:val="1"/>
          <w:bCs w:val="1"/>
          <w:color w:val="auto"/>
        </w:rPr>
        <w:t>Fair value hedge</w:t>
      </w:r>
    </w:p>
    <w:p>
      <w:pPr>
        <w:spacing w:after="0" w:line="23" w:lineRule="exact"/>
        <w:rPr>
          <w:sz w:val="20"/>
          <w:szCs w:val="20"/>
          <w:color w:val="auto"/>
        </w:rPr>
      </w:pPr>
    </w:p>
    <w:p>
      <w:pPr>
        <w:ind w:left="170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Over 1 to 2 years</w:t>
      </w:r>
    </w:p>
    <w:p>
      <w:pPr>
        <w:spacing w:after="0" w:line="32"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Over 2 to 5 years</w:t>
      </w:r>
    </w:p>
    <w:p>
      <w:pPr>
        <w:spacing w:after="0" w:line="58"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170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jc w:val="right"/>
        <w:ind w:right="1620"/>
        <w:spacing w:after="0"/>
        <w:rPr>
          <w:sz w:val="20"/>
          <w:szCs w:val="20"/>
          <w:color w:val="auto"/>
        </w:rPr>
      </w:pPr>
      <w:r>
        <w:rPr>
          <w:rFonts w:ascii="Arial" w:cs="Arial" w:eastAsia="Arial" w:hAnsi="Arial"/>
          <w:sz w:val="18"/>
          <w:szCs w:val="18"/>
          <w:b w:val="1"/>
          <w:bCs w:val="1"/>
          <w:color w:val="auto"/>
        </w:rPr>
        <w:t>Fair value hedge</w:t>
      </w:r>
    </w:p>
    <w:p>
      <w:pPr>
        <w:spacing w:after="0" w:line="23" w:lineRule="exact"/>
        <w:rPr>
          <w:sz w:val="20"/>
          <w:szCs w:val="20"/>
          <w:color w:val="auto"/>
        </w:rPr>
      </w:pPr>
    </w:p>
    <w:p>
      <w:pPr>
        <w:ind w:left="170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Over 1 to 2 years</w:t>
      </w:r>
    </w:p>
    <w:p>
      <w:pPr>
        <w:spacing w:after="0" w:line="32"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Over 2 to 5 years</w:t>
      </w:r>
    </w:p>
    <w:p>
      <w:pPr>
        <w:spacing w:after="0" w:line="58"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Total</w:t>
      </w:r>
    </w:p>
    <w:p>
      <w:pPr>
        <w:spacing w:after="0" w:line="28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ind w:left="134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2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4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Foreign</w:t>
            </w:r>
          </w:p>
        </w:tc>
        <w:tc>
          <w:tcPr>
            <w:tcW w:w="1280" w:type="dxa"/>
            <w:vAlign w:val="bottom"/>
            <w:tcBorders>
              <w:top w:val="single" w:sz="8" w:color="auto"/>
            </w:tcBorders>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exchange and</w:t>
            </w:r>
          </w:p>
        </w:tc>
        <w:tc>
          <w:tcPr>
            <w:tcW w:w="1280" w:type="dxa"/>
            <w:vAlign w:val="bottom"/>
          </w:tcPr>
          <w:p>
            <w:pPr>
              <w:spacing w:after="0"/>
              <w:rPr>
                <w:sz w:val="18"/>
                <w:szCs w:val="18"/>
                <w:color w:val="auto"/>
              </w:rPr>
            </w:pPr>
          </w:p>
        </w:tc>
      </w:tr>
      <w:tr>
        <w:trPr>
          <w:trHeight w:val="216"/>
        </w:trPr>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Interest rate</w:t>
            </w:r>
          </w:p>
        </w:tc>
        <w:tc>
          <w:tcPr>
            <w:tcW w:w="14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280" w:type="dxa"/>
            <w:vAlign w:val="bottom"/>
          </w:tcPr>
          <w:p>
            <w:pPr>
              <w:spacing w:after="0"/>
              <w:rPr>
                <w:sz w:val="18"/>
                <w:szCs w:val="18"/>
                <w:color w:val="auto"/>
              </w:rPr>
            </w:pPr>
          </w:p>
        </w:tc>
      </w:tr>
      <w:tr>
        <w:trPr>
          <w:trHeight w:val="234"/>
        </w:trPr>
        <w:tc>
          <w:tcPr>
            <w:tcW w:w="12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swaps</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4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rate risks</w:t>
            </w:r>
          </w:p>
        </w:tc>
        <w:tc>
          <w:tcPr>
            <w:tcW w:w="180" w:type="dxa"/>
            <w:vAlign w:val="bottom"/>
          </w:tcPr>
          <w:p>
            <w:pPr>
              <w:spacing w:after="0"/>
              <w:rPr>
                <w:sz w:val="20"/>
                <w:szCs w:val="20"/>
                <w:color w:val="auto"/>
              </w:rPr>
            </w:pPr>
          </w:p>
        </w:tc>
        <w:tc>
          <w:tcPr>
            <w:tcW w:w="12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Total</w:t>
            </w:r>
          </w:p>
        </w:tc>
      </w:tr>
      <w:tr>
        <w:trPr>
          <w:trHeight w:val="411"/>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85,667</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85,667</w:t>
            </w:r>
          </w:p>
        </w:tc>
      </w:tr>
      <w:tr>
        <w:trPr>
          <w:trHeight w:val="229"/>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271,646</w:t>
            </w:r>
          </w:p>
        </w:tc>
        <w:tc>
          <w:tcPr>
            <w:tcW w:w="1280" w:type="dxa"/>
            <w:vAlign w:val="bottom"/>
          </w:tcPr>
          <w:p>
            <w:pPr>
              <w:jc w:val="right"/>
              <w:spacing w:after="0"/>
              <w:rPr>
                <w:sz w:val="20"/>
                <w:szCs w:val="20"/>
                <w:color w:val="auto"/>
              </w:rPr>
            </w:pPr>
            <w:r>
              <w:rPr>
                <w:rFonts w:ascii="Arial" w:cs="Arial" w:eastAsia="Arial" w:hAnsi="Arial"/>
                <w:sz w:val="18"/>
                <w:szCs w:val="18"/>
                <w:color w:val="auto"/>
              </w:rPr>
              <w:t>271,646</w:t>
            </w:r>
          </w:p>
        </w:tc>
      </w:tr>
      <w:tr>
        <w:trPr>
          <w:trHeight w:val="230"/>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72,843</w:t>
            </w:r>
          </w:p>
        </w:tc>
        <w:tc>
          <w:tcPr>
            <w:tcW w:w="1280" w:type="dxa"/>
            <w:vAlign w:val="bottom"/>
          </w:tcPr>
          <w:p>
            <w:pPr>
              <w:jc w:val="right"/>
              <w:spacing w:after="0"/>
              <w:rPr>
                <w:sz w:val="20"/>
                <w:szCs w:val="20"/>
                <w:color w:val="auto"/>
              </w:rPr>
            </w:pPr>
            <w:r>
              <w:rPr>
                <w:rFonts w:ascii="Arial" w:cs="Arial" w:eastAsia="Arial" w:hAnsi="Arial"/>
                <w:sz w:val="18"/>
                <w:szCs w:val="18"/>
                <w:color w:val="auto"/>
              </w:rPr>
              <w:t>72,843</w:t>
            </w:r>
          </w:p>
        </w:tc>
      </w:tr>
      <w:tr>
        <w:trPr>
          <w:trHeight w:val="20"/>
        </w:trPr>
        <w:tc>
          <w:tcPr>
            <w:tcW w:w="12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r>
      <w:tr>
        <w:trPr>
          <w:trHeight w:val="250"/>
        </w:trPr>
        <w:tc>
          <w:tcPr>
            <w:tcW w:w="12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85,667</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344,489</w:t>
            </w: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430,156</w:t>
            </w:r>
          </w:p>
        </w:tc>
      </w:tr>
      <w:tr>
        <w:trPr>
          <w:trHeight w:val="20"/>
        </w:trPr>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r>
      <w:tr>
        <w:trPr>
          <w:trHeight w:val="426"/>
        </w:trPr>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b w:val="1"/>
                <w:bCs w:val="1"/>
                <w:color w:val="auto"/>
                <w:w w:val="91"/>
              </w:rPr>
              <w:t>December 31, 2019</w:t>
            </w:r>
          </w:p>
        </w:tc>
        <w:tc>
          <w:tcPr>
            <w:tcW w:w="1280" w:type="dxa"/>
            <w:vAlign w:val="bottom"/>
            <w:tcBorders>
              <w:bottom w:val="single" w:sz="8" w:color="auto"/>
            </w:tcBorders>
          </w:tcPr>
          <w:p>
            <w:pPr>
              <w:spacing w:after="0"/>
              <w:rPr>
                <w:sz w:val="24"/>
                <w:szCs w:val="24"/>
                <w:color w:val="auto"/>
              </w:rPr>
            </w:pPr>
          </w:p>
        </w:tc>
      </w:tr>
      <w:tr>
        <w:trPr>
          <w:trHeight w:val="191"/>
        </w:trPr>
        <w:tc>
          <w:tcPr>
            <w:tcW w:w="1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2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Foreign</w:t>
            </w:r>
          </w:p>
        </w:tc>
        <w:tc>
          <w:tcPr>
            <w:tcW w:w="1280" w:type="dxa"/>
            <w:vAlign w:val="bottom"/>
          </w:tcPr>
          <w:p>
            <w:pPr>
              <w:spacing w:after="0"/>
              <w:rPr>
                <w:sz w:val="16"/>
                <w:szCs w:val="16"/>
                <w:color w:val="auto"/>
              </w:rPr>
            </w:pPr>
          </w:p>
        </w:tc>
      </w:tr>
      <w:tr>
        <w:trPr>
          <w:trHeight w:val="216"/>
        </w:trPr>
        <w:tc>
          <w:tcPr>
            <w:tcW w:w="1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exchange and</w:t>
            </w:r>
          </w:p>
        </w:tc>
        <w:tc>
          <w:tcPr>
            <w:tcW w:w="1280" w:type="dxa"/>
            <w:vAlign w:val="bottom"/>
          </w:tcPr>
          <w:p>
            <w:pPr>
              <w:spacing w:after="0"/>
              <w:rPr>
                <w:sz w:val="18"/>
                <w:szCs w:val="18"/>
                <w:color w:val="auto"/>
              </w:rPr>
            </w:pPr>
          </w:p>
        </w:tc>
      </w:tr>
      <w:tr>
        <w:trPr>
          <w:trHeight w:val="216"/>
        </w:trPr>
        <w:tc>
          <w:tcPr>
            <w:tcW w:w="12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Interest rate</w:t>
            </w:r>
          </w:p>
        </w:tc>
        <w:tc>
          <w:tcPr>
            <w:tcW w:w="14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280" w:type="dxa"/>
            <w:vAlign w:val="bottom"/>
          </w:tcPr>
          <w:p>
            <w:pPr>
              <w:spacing w:after="0"/>
              <w:rPr>
                <w:sz w:val="18"/>
                <w:szCs w:val="18"/>
                <w:color w:val="auto"/>
              </w:rPr>
            </w:pPr>
          </w:p>
        </w:tc>
      </w:tr>
      <w:tr>
        <w:trPr>
          <w:trHeight w:val="234"/>
        </w:trPr>
        <w:tc>
          <w:tcPr>
            <w:tcW w:w="12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swaps</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40" w:type="dxa"/>
            <w:vAlign w:val="bottom"/>
            <w:tcBorders>
              <w:bottom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rate risks</w:t>
            </w:r>
          </w:p>
        </w:tc>
        <w:tc>
          <w:tcPr>
            <w:tcW w:w="180" w:type="dxa"/>
            <w:vAlign w:val="bottom"/>
          </w:tcPr>
          <w:p>
            <w:pPr>
              <w:spacing w:after="0"/>
              <w:rPr>
                <w:sz w:val="20"/>
                <w:szCs w:val="20"/>
                <w:color w:val="auto"/>
              </w:rPr>
            </w:pPr>
          </w:p>
        </w:tc>
        <w:tc>
          <w:tcPr>
            <w:tcW w:w="12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Total</w:t>
            </w:r>
          </w:p>
        </w:tc>
      </w:tr>
      <w:tr>
        <w:trPr>
          <w:trHeight w:val="411"/>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350,000</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350,000</w:t>
            </w:r>
          </w:p>
        </w:tc>
      </w:tr>
      <w:tr>
        <w:trPr>
          <w:trHeight w:val="229"/>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48,333</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48,333</w:t>
            </w:r>
          </w:p>
        </w:tc>
      </w:tr>
      <w:tr>
        <w:trPr>
          <w:trHeight w:val="230"/>
        </w:trPr>
        <w:tc>
          <w:tcPr>
            <w:tcW w:w="12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color w:val="auto"/>
              </w:rPr>
              <w:t>346,844</w:t>
            </w:r>
          </w:p>
        </w:tc>
        <w:tc>
          <w:tcPr>
            <w:tcW w:w="1280" w:type="dxa"/>
            <w:vAlign w:val="bottom"/>
          </w:tcPr>
          <w:p>
            <w:pPr>
              <w:jc w:val="right"/>
              <w:spacing w:after="0"/>
              <w:rPr>
                <w:sz w:val="20"/>
                <w:szCs w:val="20"/>
                <w:color w:val="auto"/>
              </w:rPr>
            </w:pPr>
            <w:r>
              <w:rPr>
                <w:rFonts w:ascii="Arial" w:cs="Arial" w:eastAsia="Arial" w:hAnsi="Arial"/>
                <w:sz w:val="18"/>
                <w:szCs w:val="18"/>
                <w:color w:val="auto"/>
              </w:rPr>
              <w:t>346,844</w:t>
            </w:r>
          </w:p>
        </w:tc>
      </w:tr>
      <w:tr>
        <w:trPr>
          <w:trHeight w:val="20"/>
        </w:trPr>
        <w:tc>
          <w:tcPr>
            <w:tcW w:w="122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r>
      <w:tr>
        <w:trPr>
          <w:trHeight w:val="250"/>
        </w:trPr>
        <w:tc>
          <w:tcPr>
            <w:tcW w:w="128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398,333</w:t>
            </w:r>
          </w:p>
        </w:tc>
        <w:tc>
          <w:tcPr>
            <w:tcW w:w="156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346,844</w:t>
            </w: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745,177</w:t>
            </w:r>
          </w:p>
        </w:tc>
      </w:tr>
      <w:tr>
        <w:trPr>
          <w:trHeight w:val="20"/>
        </w:trPr>
        <w:tc>
          <w:tcPr>
            <w:tcW w:w="12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-2301240</wp:posOffset>
            </wp:positionH>
            <wp:positionV relativeFrom="paragraph">
              <wp:posOffset>-2082165</wp:posOffset>
            </wp:positionV>
            <wp:extent cx="4989195" cy="13716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6">
                      <a:extLst>
                        <a:ext uri="{28A0092B-C50C-407E-A947-70E740481C1C}"/>
                      </a:extLst>
                    </a:blip>
                    <a:srcRect/>
                    <a:stretch>
                      <a:fillRect/>
                    </a:stretch>
                  </pic:blipFill>
                  <pic:spPr bwMode="auto">
                    <a:xfrm>
                      <a:off x="0" y="0"/>
                      <a:ext cx="4989195" cy="137160"/>
                    </a:xfrm>
                    <a:prstGeom prst="rect">
                      <a:avLst/>
                    </a:prstGeom>
                    <a:noFill/>
                  </pic:spPr>
                </pic:pic>
              </a:graphicData>
            </a:graphic>
          </wp:anchor>
        </w:drawing>
        <w:drawing>
          <wp:anchor simplePos="0" relativeHeight="251657728" behindDoc="1" locked="0" layoutInCell="0" allowOverlap="1">
            <wp:simplePos x="0" y="0"/>
            <wp:positionH relativeFrom="column">
              <wp:posOffset>-2301240</wp:posOffset>
            </wp:positionH>
            <wp:positionV relativeFrom="paragraph">
              <wp:posOffset>-1799590</wp:posOffset>
            </wp:positionV>
            <wp:extent cx="4989195" cy="179705"/>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7">
                      <a:extLst>
                        <a:ext uri="{28A0092B-C50C-407E-A947-70E740481C1C}"/>
                      </a:extLst>
                    </a:blip>
                    <a:srcRect/>
                    <a:stretch>
                      <a:fillRect/>
                    </a:stretch>
                  </pic:blipFill>
                  <pic:spPr bwMode="auto">
                    <a:xfrm>
                      <a:off x="0" y="0"/>
                      <a:ext cx="4989195" cy="179705"/>
                    </a:xfrm>
                    <a:prstGeom prst="rect">
                      <a:avLst/>
                    </a:prstGeom>
                    <a:noFill/>
                  </pic:spPr>
                </pic:pic>
              </a:graphicData>
            </a:graphic>
          </wp:anchor>
        </w:drawing>
        <w:drawing>
          <wp:anchor simplePos="0" relativeHeight="251657728" behindDoc="1" locked="0" layoutInCell="0" allowOverlap="1">
            <wp:simplePos x="0" y="0"/>
            <wp:positionH relativeFrom="column">
              <wp:posOffset>-2301240</wp:posOffset>
            </wp:positionH>
            <wp:positionV relativeFrom="paragraph">
              <wp:posOffset>-2365375</wp:posOffset>
            </wp:positionV>
            <wp:extent cx="4989195" cy="14605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8">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-2301240</wp:posOffset>
            </wp:positionH>
            <wp:positionV relativeFrom="paragraph">
              <wp:posOffset>-479425</wp:posOffset>
            </wp:positionV>
            <wp:extent cx="4989195" cy="13716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9">
                      <a:extLst>
                        <a:ext uri="{28A0092B-C50C-407E-A947-70E740481C1C}"/>
                      </a:extLst>
                    </a:blip>
                    <a:srcRect/>
                    <a:stretch>
                      <a:fillRect/>
                    </a:stretch>
                  </pic:blipFill>
                  <pic:spPr bwMode="auto">
                    <a:xfrm>
                      <a:off x="0" y="0"/>
                      <a:ext cx="4989195" cy="137160"/>
                    </a:xfrm>
                    <a:prstGeom prst="rect">
                      <a:avLst/>
                    </a:prstGeom>
                    <a:noFill/>
                  </pic:spPr>
                </pic:pic>
              </a:graphicData>
            </a:graphic>
          </wp:anchor>
        </w:drawing>
        <w:drawing>
          <wp:anchor simplePos="0" relativeHeight="251657728" behindDoc="1" locked="0" layoutInCell="0" allowOverlap="1">
            <wp:simplePos x="0" y="0"/>
            <wp:positionH relativeFrom="column">
              <wp:posOffset>-2301240</wp:posOffset>
            </wp:positionH>
            <wp:positionV relativeFrom="paragraph">
              <wp:posOffset>-196215</wp:posOffset>
            </wp:positionV>
            <wp:extent cx="4989195" cy="179705"/>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0">
                      <a:extLst>
                        <a:ext uri="{28A0092B-C50C-407E-A947-70E740481C1C}"/>
                      </a:extLst>
                    </a:blip>
                    <a:srcRect/>
                    <a:stretch>
                      <a:fillRect/>
                    </a:stretch>
                  </pic:blipFill>
                  <pic:spPr bwMode="auto">
                    <a:xfrm>
                      <a:off x="0" y="0"/>
                      <a:ext cx="4989195" cy="179705"/>
                    </a:xfrm>
                    <a:prstGeom prst="rect">
                      <a:avLst/>
                    </a:prstGeom>
                    <a:noFill/>
                  </pic:spPr>
                </pic:pic>
              </a:graphicData>
            </a:graphic>
          </wp:anchor>
        </w:drawing>
        <w:drawing>
          <wp:anchor simplePos="0" relativeHeight="251657728" behindDoc="1" locked="0" layoutInCell="0" allowOverlap="1">
            <wp:simplePos x="0" y="0"/>
            <wp:positionH relativeFrom="column">
              <wp:posOffset>-2301240</wp:posOffset>
            </wp:positionH>
            <wp:positionV relativeFrom="paragraph">
              <wp:posOffset>-762000</wp:posOffset>
            </wp:positionV>
            <wp:extent cx="4989195" cy="145415"/>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1">
                      <a:extLst>
                        <a:ext uri="{28A0092B-C50C-407E-A947-70E740481C1C}"/>
                      </a:extLst>
                    </a:blip>
                    <a:srcRect/>
                    <a:stretch>
                      <a:fillRect/>
                    </a:stretch>
                  </pic:blipFill>
                  <pic:spPr bwMode="auto">
                    <a:xfrm>
                      <a:off x="0" y="0"/>
                      <a:ext cx="4989195" cy="145415"/>
                    </a:xfrm>
                    <a:prstGeom prst="rect">
                      <a:avLst/>
                    </a:prstGeom>
                    <a:noFill/>
                  </pic:spPr>
                </pic:pic>
              </a:graphicData>
            </a:graphic>
          </wp:anchor>
        </w:drawing>
      </w:r>
    </w:p>
    <w:p>
      <w:pPr>
        <w:spacing w:after="0" w:line="604" w:lineRule="exact"/>
        <w:rPr>
          <w:sz w:val="20"/>
          <w:szCs w:val="20"/>
          <w:color w:val="auto"/>
        </w:rPr>
      </w:pPr>
    </w:p>
    <w:p>
      <w:pPr>
        <w:sectPr>
          <w:pgSz w:w="11900" w:h="16838" w:orient="portrait"/>
          <w:cols w:equalWidth="0" w:num="2">
            <w:col w:w="4600" w:space="720"/>
            <w:col w:w="5920"/>
          </w:cols>
          <w:pgMar w:left="320" w:top="688" w:right="339" w:bottom="1440" w:gutter="0" w:footer="0" w:header="0"/>
          <w:type w:val="continuous"/>
        </w:sectPr>
      </w:pPr>
    </w:p>
    <w:p>
      <w:pPr>
        <w:spacing w:after="0" w:line="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88"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Bank’s exposure to market risk is disclosed in Note 5 (C) (ii) and (iii).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 fair value hedges.</w:t>
      </w:r>
    </w:p>
    <w:p>
      <w:pPr>
        <w:spacing w:after="0" w:line="16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24" w:name="page225"/>
    <w:bookmarkEnd w:id="2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hedges (continued)</w:t>
      </w:r>
    </w:p>
    <w:p>
      <w:pPr>
        <w:spacing w:after="0" w:line="229" w:lineRule="exact"/>
        <w:rPr>
          <w:sz w:val="20"/>
          <w:szCs w:val="20"/>
          <w:color w:val="auto"/>
        </w:rPr>
      </w:pPr>
    </w:p>
    <w:p>
      <w:pPr>
        <w:jc w:val="both"/>
        <w:ind w:left="340"/>
        <w:spacing w:after="0" w:line="270" w:lineRule="auto"/>
        <w:rPr>
          <w:sz w:val="20"/>
          <w:szCs w:val="20"/>
          <w:color w:val="auto"/>
        </w:rPr>
      </w:pPr>
      <w:r>
        <w:rPr>
          <w:rFonts w:ascii="Arial" w:cs="Arial" w:eastAsia="Arial" w:hAnsi="Arial"/>
          <w:sz w:val="17"/>
          <w:szCs w:val="17"/>
          <w:color w:val="auto"/>
        </w:rPr>
        <w:t>The Bank determines whether an economic relationship exists between the cash flows of the hedged item and the hedging instrument based on an assessment of the qualitative characteristics of these items and the hedged risk that is supported by quantitative analysis. The Bank considers whether the critical terms of the hedged item and the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7 years.</w:t>
      </w:r>
    </w:p>
    <w:p>
      <w:pPr>
        <w:spacing w:after="0" w:line="248"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$508 thousand are expected to be reclassified into profit or loss during the period of 12 months ending </w:t>
      </w:r>
      <w:r>
        <w:rPr>
          <w:rFonts w:ascii="Arial" w:cs="Arial" w:eastAsia="Arial" w:hAnsi="Arial"/>
          <w:sz w:val="16"/>
          <w:szCs w:val="16"/>
          <w:color w:val="222222"/>
        </w:rPr>
        <w:t>December 31</w:t>
      </w:r>
      <w:r>
        <w:rPr>
          <w:rFonts w:ascii="Arial" w:cs="Arial" w:eastAsia="Arial" w:hAnsi="Arial"/>
          <w:sz w:val="16"/>
          <w:szCs w:val="16"/>
          <w:color w:val="auto"/>
        </w:rPr>
        <w:t>, 2021.</w:t>
      </w:r>
    </w:p>
    <w:p>
      <w:pPr>
        <w:spacing w:after="0" w:line="149"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recognized the associated costs for the forward foreign exchange contracts where the hedged item is an asset, as an integral part interest income (expense) of the underlying transaction, presented in the consolidated statement of profit or loss and as an accumulated reserve in Other comprehensive income in the consolidated statement of financial position, which at maturity of the transaction is reclassified to profit or loss.</w:t>
      </w:r>
    </w:p>
    <w:p>
      <w:pPr>
        <w:spacing w:after="0" w:line="149"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recognized the associated costs for the forward foreign exchange contracts where the hedged item is a liability, as an integral part interest expense (expense) of the underlying transaction, presented in the consolidated statement of profit or loss and as an accumulated reserve in Other comprehensive income in the consolidated statement of financial position, which at maturity of the transaction is reclassified to profit or loss.</w:t>
      </w:r>
    </w:p>
    <w:p>
      <w:pPr>
        <w:spacing w:after="0" w:line="1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25" w:name="page226"/>
    <w:bookmarkEnd w:id="2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left="500" w:hanging="161"/>
        <w:spacing w:after="0" w:line="289"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2" w:lineRule="exact"/>
        <w:rPr>
          <w:sz w:val="20"/>
          <w:szCs w:val="20"/>
          <w:color w:val="auto"/>
        </w:rPr>
      </w:pPr>
    </w:p>
    <w:p>
      <w:pPr>
        <w:jc w:val="both"/>
        <w:ind w:left="340"/>
        <w:spacing w:after="0" w:line="250" w:lineRule="auto"/>
        <w:rPr>
          <w:sz w:val="20"/>
          <w:szCs w:val="20"/>
          <w:color w:val="auto"/>
        </w:rPr>
      </w:pPr>
      <w:r>
        <w:rPr>
          <w:rFonts w:ascii="Arial" w:cs="Arial" w:eastAsia="Arial" w:hAnsi="Arial"/>
          <w:sz w:val="18"/>
          <w:szCs w:val="18"/>
          <w:b w:val="1"/>
          <w:bCs w:val="1"/>
          <w:color w:val="auto"/>
        </w:rPr>
        <w:t>Interest rate and foreign exchange risk</w:t>
      </w:r>
    </w:p>
    <w:p>
      <w:pPr>
        <w:spacing w:after="0" w:line="1" w:lineRule="exact"/>
        <w:rPr>
          <w:sz w:val="20"/>
          <w:szCs w:val="20"/>
          <w:color w:val="auto"/>
        </w:rPr>
      </w:pPr>
    </w:p>
    <w:p>
      <w:pPr>
        <w:ind w:left="500"/>
        <w:spacing w:after="0" w:line="250" w:lineRule="auto"/>
        <w:rPr>
          <w:sz w:val="20"/>
          <w:szCs w:val="20"/>
          <w:color w:val="auto"/>
        </w:rPr>
      </w:pPr>
      <w:r>
        <w:rPr>
          <w:rFonts w:ascii="Arial" w:cs="Arial" w:eastAsia="Arial" w:hAnsi="Arial"/>
          <w:sz w:val="18"/>
          <w:szCs w:val="18"/>
          <w:color w:val="auto"/>
        </w:rPr>
        <w:t>Borrowings and debt</w:t>
      </w:r>
    </w:p>
    <w:p>
      <w:pPr>
        <w:spacing w:after="0" w:line="1" w:lineRule="exact"/>
        <w:rPr>
          <w:sz w:val="20"/>
          <w:szCs w:val="20"/>
          <w:color w:val="auto"/>
        </w:rPr>
      </w:pPr>
    </w:p>
    <w:p>
      <w:pPr>
        <w:ind w:left="340" w:right="260"/>
        <w:spacing w:after="0" w:line="300" w:lineRule="auto"/>
        <w:rPr>
          <w:sz w:val="20"/>
          <w:szCs w:val="20"/>
          <w:color w:val="auto"/>
        </w:rPr>
      </w:pPr>
      <w:r>
        <w:rPr>
          <w:rFonts w:ascii="Arial" w:cs="Arial" w:eastAsia="Arial" w:hAnsi="Arial"/>
          <w:sz w:val="15"/>
          <w:szCs w:val="15"/>
          <w:b w:val="1"/>
          <w:bCs w:val="1"/>
          <w:color w:val="auto"/>
        </w:rPr>
        <w:t>Foreign exchange risk</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Loans</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both"/>
        <w:ind w:left="500" w:hanging="161"/>
        <w:spacing w:after="0" w:line="289" w:lineRule="auto"/>
        <w:rPr>
          <w:sz w:val="20"/>
          <w:szCs w:val="20"/>
          <w:color w:val="auto"/>
        </w:rPr>
      </w:pPr>
      <w:r>
        <w:rPr>
          <w:rFonts w:ascii="Arial" w:cs="Arial" w:eastAsia="Arial" w:hAnsi="Arial"/>
          <w:sz w:val="16"/>
          <w:szCs w:val="16"/>
          <w:b w:val="1"/>
          <w:bCs w:val="1"/>
          <w:color w:val="auto"/>
        </w:rPr>
        <w:t xml:space="preserve">Interest rate risk </w:t>
      </w:r>
      <w:r>
        <w:rPr>
          <w:rFonts w:ascii="Arial" w:cs="Arial" w:eastAsia="Arial" w:hAnsi="Arial"/>
          <w:sz w:val="16"/>
          <w:szCs w:val="16"/>
          <w:color w:val="auto"/>
        </w:rPr>
        <w:t>Borrowings and debt</w:t>
      </w:r>
    </w:p>
    <w:p>
      <w:pPr>
        <w:spacing w:after="0" w:line="2" w:lineRule="exact"/>
        <w:rPr>
          <w:sz w:val="20"/>
          <w:szCs w:val="20"/>
          <w:color w:val="auto"/>
        </w:rPr>
      </w:pPr>
    </w:p>
    <w:p>
      <w:pPr>
        <w:jc w:val="both"/>
        <w:ind w:left="340"/>
        <w:spacing w:after="0" w:line="250" w:lineRule="auto"/>
        <w:rPr>
          <w:sz w:val="20"/>
          <w:szCs w:val="20"/>
          <w:color w:val="auto"/>
        </w:rPr>
      </w:pPr>
      <w:r>
        <w:rPr>
          <w:rFonts w:ascii="Arial" w:cs="Arial" w:eastAsia="Arial" w:hAnsi="Arial"/>
          <w:sz w:val="18"/>
          <w:szCs w:val="18"/>
          <w:b w:val="1"/>
          <w:bCs w:val="1"/>
          <w:color w:val="auto"/>
        </w:rPr>
        <w:t>Interest rate and foreign exchange risk</w:t>
      </w:r>
    </w:p>
    <w:p>
      <w:pPr>
        <w:spacing w:after="0" w:line="1" w:lineRule="exact"/>
        <w:rPr>
          <w:sz w:val="20"/>
          <w:szCs w:val="20"/>
          <w:color w:val="auto"/>
        </w:rPr>
      </w:pPr>
    </w:p>
    <w:p>
      <w:pPr>
        <w:ind w:left="500"/>
        <w:spacing w:after="0" w:line="250" w:lineRule="auto"/>
        <w:rPr>
          <w:sz w:val="20"/>
          <w:szCs w:val="20"/>
          <w:color w:val="auto"/>
        </w:rPr>
      </w:pPr>
      <w:r>
        <w:rPr>
          <w:rFonts w:ascii="Arial" w:cs="Arial" w:eastAsia="Arial" w:hAnsi="Arial"/>
          <w:sz w:val="18"/>
          <w:szCs w:val="18"/>
          <w:color w:val="auto"/>
        </w:rPr>
        <w:t>Borrowings and debt</w:t>
      </w:r>
    </w:p>
    <w:p>
      <w:pPr>
        <w:spacing w:after="0" w:line="1" w:lineRule="exact"/>
        <w:rPr>
          <w:sz w:val="20"/>
          <w:szCs w:val="20"/>
          <w:color w:val="auto"/>
        </w:rPr>
      </w:pPr>
    </w:p>
    <w:p>
      <w:pPr>
        <w:ind w:left="340" w:right="260"/>
        <w:spacing w:after="0" w:line="300" w:lineRule="auto"/>
        <w:rPr>
          <w:sz w:val="20"/>
          <w:szCs w:val="20"/>
          <w:color w:val="auto"/>
        </w:rPr>
      </w:pPr>
      <w:r>
        <w:rPr>
          <w:rFonts w:ascii="Arial" w:cs="Arial" w:eastAsia="Arial" w:hAnsi="Arial"/>
          <w:sz w:val="15"/>
          <w:szCs w:val="15"/>
          <w:b w:val="1"/>
          <w:bCs w:val="1"/>
          <w:color w:val="auto"/>
        </w:rPr>
        <w:t>Foreign exchange risk</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Loans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Borrowings and</w:t>
      </w:r>
    </w:p>
    <w:p>
      <w:pPr>
        <w:spacing w:after="0" w:line="3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debt</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ind w:right="14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0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Changes in the</w:t>
            </w:r>
          </w:p>
        </w:tc>
        <w:tc>
          <w:tcPr>
            <w:tcW w:w="12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3"/>
              </w:rPr>
              <w:t>Change in fair</w:t>
            </w: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fair value of the</w:t>
            </w: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Amount</w:t>
            </w:r>
          </w:p>
        </w:tc>
      </w:tr>
      <w:tr>
        <w:trPr>
          <w:trHeight w:val="216"/>
        </w:trPr>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value used for</w:t>
            </w: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5"/>
              </w:rPr>
              <w:t>hedging</w:t>
            </w:r>
          </w:p>
        </w:tc>
        <w:tc>
          <w:tcPr>
            <w:tcW w:w="14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Ineffectiveness</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reclassified</w:t>
            </w:r>
          </w:p>
        </w:tc>
      </w:tr>
      <w:tr>
        <w:trPr>
          <w:trHeight w:val="216"/>
        </w:trPr>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20" w:type="dxa"/>
            <w:vAlign w:val="bottom"/>
            <w:gridSpan w:val="4"/>
          </w:tcPr>
          <w:p>
            <w:pPr>
              <w:ind w:left="320"/>
              <w:spacing w:after="0"/>
              <w:rPr>
                <w:sz w:val="20"/>
                <w:szCs w:val="20"/>
                <w:color w:val="auto"/>
              </w:rPr>
            </w:pPr>
            <w:r>
              <w:rPr>
                <w:rFonts w:ascii="Arial" w:cs="Arial" w:eastAsia="Arial" w:hAnsi="Arial"/>
                <w:sz w:val="18"/>
                <w:szCs w:val="18"/>
                <w:b w:val="1"/>
                <w:bCs w:val="1"/>
                <w:color w:val="auto"/>
              </w:rPr>
              <w:t>Carrying amount of</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calculating</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recognized in</w:t>
            </w:r>
          </w:p>
        </w:tc>
        <w:tc>
          <w:tcPr>
            <w:tcW w:w="13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from the hedge</w:t>
            </w:r>
          </w:p>
        </w:tc>
      </w:tr>
      <w:tr>
        <w:trPr>
          <w:trHeight w:val="234"/>
        </w:trPr>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Nominal</w:t>
            </w:r>
          </w:p>
        </w:tc>
        <w:tc>
          <w:tcPr>
            <w:tcW w:w="2420" w:type="dxa"/>
            <w:vAlign w:val="bottom"/>
            <w:gridSpan w:val="4"/>
          </w:tcPr>
          <w:p>
            <w:pPr>
              <w:ind w:left="320"/>
              <w:spacing w:after="0"/>
              <w:rPr>
                <w:sz w:val="20"/>
                <w:szCs w:val="20"/>
                <w:color w:val="auto"/>
              </w:rPr>
            </w:pPr>
            <w:r>
              <w:rPr>
                <w:rFonts w:ascii="Arial" w:cs="Arial" w:eastAsia="Arial" w:hAnsi="Arial"/>
                <w:sz w:val="18"/>
                <w:szCs w:val="18"/>
                <w:b w:val="1"/>
                <w:bCs w:val="1"/>
                <w:color w:val="auto"/>
              </w:rPr>
              <w:t>hedging instruments</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2"/>
              </w:rPr>
              <w:t>hedge</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recognized in</w:t>
            </w: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profit or loss</w:t>
            </w:r>
          </w:p>
        </w:tc>
        <w:tc>
          <w:tcPr>
            <w:tcW w:w="13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90"/>
              </w:rPr>
              <w:t>reserve to profit</w:t>
            </w:r>
          </w:p>
        </w:tc>
      </w:tr>
      <w:tr>
        <w:trPr>
          <w:trHeight w:val="250"/>
        </w:trPr>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2"/>
              </w:rPr>
              <w:t>amount</w:t>
            </w:r>
          </w:p>
        </w:tc>
        <w:tc>
          <w:tcPr>
            <w:tcW w:w="220" w:type="dxa"/>
            <w:vAlign w:val="bottom"/>
          </w:tcPr>
          <w:p>
            <w:pPr>
              <w:spacing w:after="0"/>
              <w:rPr>
                <w:sz w:val="21"/>
                <w:szCs w:val="21"/>
                <w:color w:val="auto"/>
              </w:rPr>
            </w:pPr>
          </w:p>
        </w:tc>
        <w:tc>
          <w:tcPr>
            <w:tcW w:w="1000" w:type="dxa"/>
            <w:vAlign w:val="bottom"/>
            <w:tcBorders>
              <w:top w:val="single" w:sz="8" w:color="auto"/>
              <w:bottom w:val="single" w:sz="8" w:color="auto"/>
            </w:tcBorders>
          </w:tcPr>
          <w:p>
            <w:pPr>
              <w:ind w:left="18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220" w:type="dxa"/>
            <w:vAlign w:val="bottom"/>
            <w:tcBorders>
              <w:top w:val="single" w:sz="8" w:color="auto"/>
            </w:tcBorders>
          </w:tcPr>
          <w:p>
            <w:pPr>
              <w:spacing w:after="0"/>
              <w:rPr>
                <w:sz w:val="21"/>
                <w:szCs w:val="21"/>
                <w:color w:val="auto"/>
              </w:rPr>
            </w:pPr>
          </w:p>
        </w:tc>
        <w:tc>
          <w:tcPr>
            <w:tcW w:w="1000" w:type="dxa"/>
            <w:vAlign w:val="bottom"/>
            <w:tcBorders>
              <w:top w:val="single" w:sz="8" w:color="auto"/>
              <w:bottom w:val="single" w:sz="8" w:color="auto"/>
            </w:tcBorders>
          </w:tcPr>
          <w:p>
            <w:pPr>
              <w:ind w:left="6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200" w:type="dxa"/>
            <w:vAlign w:val="bottom"/>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220" w:type="dxa"/>
            <w:vAlign w:val="bottom"/>
          </w:tcPr>
          <w:p>
            <w:pPr>
              <w:spacing w:after="0"/>
              <w:rPr>
                <w:sz w:val="21"/>
                <w:szCs w:val="21"/>
                <w:color w:val="auto"/>
              </w:rPr>
            </w:pPr>
          </w:p>
        </w:tc>
        <w:tc>
          <w:tcPr>
            <w:tcW w:w="1280" w:type="dxa"/>
            <w:vAlign w:val="bottom"/>
            <w:tcBorders>
              <w:bottom w:val="single" w:sz="8" w:color="auto"/>
            </w:tcBorders>
          </w:tcPr>
          <w:p>
            <w:pPr>
              <w:jc w:val="center"/>
              <w:spacing w:after="0" w:line="250" w:lineRule="exact"/>
              <w:rPr>
                <w:sz w:val="20"/>
                <w:szCs w:val="20"/>
                <w:color w:val="auto"/>
              </w:rPr>
            </w:pPr>
            <w:r>
              <w:rPr>
                <w:rFonts w:ascii="Arial" w:cs="Arial" w:eastAsia="Arial" w:hAnsi="Arial"/>
                <w:sz w:val="17"/>
                <w:szCs w:val="17"/>
                <w:b w:val="1"/>
                <w:bCs w:val="1"/>
                <w:color w:val="auto"/>
                <w:w w:val="96"/>
              </w:rPr>
              <w:t xml:space="preserve">OCI </w:t>
            </w:r>
            <w:r>
              <w:rPr>
                <w:rFonts w:ascii="Arial" w:cs="Arial" w:eastAsia="Arial" w:hAnsi="Arial"/>
                <w:sz w:val="28"/>
                <w:szCs w:val="28"/>
                <w:b w:val="1"/>
                <w:bCs w:val="1"/>
                <w:color w:val="auto"/>
                <w:w w:val="96"/>
                <w:vertAlign w:val="superscript"/>
              </w:rPr>
              <w:t>(3)</w:t>
            </w:r>
          </w:p>
        </w:tc>
        <w:tc>
          <w:tcPr>
            <w:tcW w:w="220" w:type="dxa"/>
            <w:vAlign w:val="bottom"/>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(4)</w:t>
            </w:r>
          </w:p>
        </w:tc>
        <w:tc>
          <w:tcPr>
            <w:tcW w:w="200" w:type="dxa"/>
            <w:vAlign w:val="bottom"/>
          </w:tcPr>
          <w:p>
            <w:pPr>
              <w:spacing w:after="0"/>
              <w:rPr>
                <w:sz w:val="21"/>
                <w:szCs w:val="21"/>
                <w:color w:val="auto"/>
              </w:rPr>
            </w:pPr>
          </w:p>
        </w:tc>
        <w:tc>
          <w:tcPr>
            <w:tcW w:w="13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or loss (4)</w:t>
            </w:r>
          </w:p>
        </w:tc>
        <w:tc>
          <w:tcPr>
            <w:tcW w:w="60" w:type="dxa"/>
            <w:vAlign w:val="bottom"/>
          </w:tcPr>
          <w:p>
            <w:pPr>
              <w:spacing w:after="0"/>
              <w:rPr>
                <w:sz w:val="21"/>
                <w:szCs w:val="21"/>
                <w:color w:val="auto"/>
              </w:rPr>
            </w:pPr>
          </w:p>
        </w:tc>
      </w:tr>
      <w:tr>
        <w:trPr>
          <w:trHeight w:val="642"/>
        </w:trPr>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60,000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140"/>
              <w:spacing w:after="0"/>
              <w:rPr>
                <w:sz w:val="20"/>
                <w:szCs w:val="20"/>
                <w:color w:val="auto"/>
              </w:rPr>
            </w:pPr>
            <w:r>
              <w:rPr>
                <w:rFonts w:ascii="Arial" w:cs="Arial" w:eastAsia="Arial" w:hAnsi="Arial"/>
                <w:sz w:val="18"/>
                <w:szCs w:val="18"/>
                <w:color w:val="auto"/>
              </w:rPr>
              <w:t>(1,541)</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(443)</w:t>
            </w:r>
          </w:p>
        </w:tc>
        <w:tc>
          <w:tcPr>
            <w:tcW w:w="1500" w:type="dxa"/>
            <w:vAlign w:val="bottom"/>
            <w:gridSpan w:val="2"/>
          </w:tcPr>
          <w:p>
            <w:pPr>
              <w:jc w:val="right"/>
              <w:ind w:right="160"/>
              <w:spacing w:after="0"/>
              <w:rPr>
                <w:sz w:val="20"/>
                <w:szCs w:val="20"/>
                <w:color w:val="auto"/>
              </w:rPr>
            </w:pPr>
            <w:r>
              <w:rPr>
                <w:rFonts w:ascii="Arial" w:cs="Arial" w:eastAsia="Arial" w:hAnsi="Arial"/>
                <w:sz w:val="18"/>
                <w:szCs w:val="18"/>
                <w:color w:val="auto"/>
              </w:rPr>
              <w:t>(442)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(75)</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-906145</wp:posOffset>
            </wp:positionH>
            <wp:positionV relativeFrom="paragraph">
              <wp:posOffset>-419735</wp:posOffset>
            </wp:positionV>
            <wp:extent cx="6917690" cy="145415"/>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6">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-906145</wp:posOffset>
            </wp:positionH>
            <wp:positionV relativeFrom="paragraph">
              <wp:posOffset>0</wp:posOffset>
            </wp:positionV>
            <wp:extent cx="6917690" cy="41148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7">
                      <a:extLst>
                        <a:ext uri="{28A0092B-C50C-407E-A947-70E740481C1C}"/>
                      </a:extLst>
                    </a:blip>
                    <a:srcRect/>
                    <a:stretch>
                      <a:fillRect/>
                    </a:stretch>
                  </pic:blipFill>
                  <pic:spPr bwMode="auto">
                    <a:xfrm>
                      <a:off x="0" y="0"/>
                      <a:ext cx="6917690" cy="411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020" w:type="dxa"/>
            <w:vAlign w:val="bottom"/>
            <w:gridSpan w:val="3"/>
          </w:tcPr>
          <w:p>
            <w:pPr>
              <w:jc w:val="right"/>
              <w:ind w:right="20"/>
              <w:spacing w:after="0"/>
              <w:rPr>
                <w:sz w:val="20"/>
                <w:szCs w:val="20"/>
                <w:color w:val="auto"/>
              </w:rPr>
            </w:pPr>
            <w:r>
              <w:rPr>
                <w:rFonts w:ascii="Arial" w:cs="Arial" w:eastAsia="Arial" w:hAnsi="Arial"/>
                <w:sz w:val="18"/>
                <w:szCs w:val="18"/>
                <w:color w:val="auto"/>
              </w:rPr>
              <w:t>221,508</w:t>
            </w:r>
          </w:p>
        </w:tc>
        <w:tc>
          <w:tcPr>
            <w:tcW w:w="220" w:type="dxa"/>
            <w:vAlign w:val="bottom"/>
          </w:tcPr>
          <w:p>
            <w:pPr>
              <w:spacing w:after="0"/>
              <w:rPr>
                <w:sz w:val="20"/>
                <w:szCs w:val="20"/>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23,091</w:t>
            </w:r>
          </w:p>
        </w:tc>
        <w:tc>
          <w:tcPr>
            <w:tcW w:w="200" w:type="dxa"/>
            <w:vAlign w:val="bottom"/>
          </w:tcPr>
          <w:p>
            <w:pPr>
              <w:spacing w:after="0"/>
              <w:rPr>
                <w:sz w:val="20"/>
                <w:szCs w:val="20"/>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23,380</w:t>
            </w:r>
          </w:p>
        </w:tc>
        <w:tc>
          <w:tcPr>
            <w:tcW w:w="220" w:type="dxa"/>
            <w:vAlign w:val="bottom"/>
          </w:tcPr>
          <w:p>
            <w:pPr>
              <w:spacing w:after="0"/>
              <w:rPr>
                <w:sz w:val="20"/>
                <w:szCs w:val="20"/>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23,481</w:t>
            </w:r>
          </w:p>
        </w:tc>
        <w:tc>
          <w:tcPr>
            <w:tcW w:w="1240" w:type="dxa"/>
            <w:vAlign w:val="bottom"/>
          </w:tcPr>
          <w:p>
            <w:pPr>
              <w:jc w:val="right"/>
              <w:spacing w:after="0"/>
              <w:rPr>
                <w:sz w:val="20"/>
                <w:szCs w:val="20"/>
                <w:color w:val="auto"/>
              </w:rPr>
            </w:pPr>
            <w:r>
              <w:rPr>
                <w:rFonts w:ascii="Arial" w:cs="Arial" w:eastAsia="Arial" w:hAnsi="Arial"/>
                <w:sz w:val="18"/>
                <w:szCs w:val="18"/>
                <w:color w:val="auto"/>
              </w:rPr>
              <w:t>101</w:t>
            </w:r>
          </w:p>
        </w:tc>
        <w:tc>
          <w:tcPr>
            <w:tcW w:w="220" w:type="dxa"/>
            <w:vAlign w:val="bottom"/>
          </w:tcPr>
          <w:p>
            <w:pPr>
              <w:spacing w:after="0"/>
              <w:rPr>
                <w:sz w:val="20"/>
                <w:szCs w:val="20"/>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(1,697)</w:t>
            </w:r>
          </w:p>
        </w:tc>
        <w:tc>
          <w:tcPr>
            <w:tcW w:w="0" w:type="dxa"/>
            <w:vAlign w:val="bottom"/>
          </w:tcPr>
          <w:p>
            <w:pPr>
              <w:spacing w:after="0"/>
              <w:rPr>
                <w:sz w:val="1"/>
                <w:szCs w:val="1"/>
                <w:color w:val="auto"/>
              </w:rPr>
            </w:pPr>
          </w:p>
        </w:tc>
      </w:tr>
      <w:tr>
        <w:trPr>
          <w:trHeight w:val="662"/>
        </w:trPr>
        <w:tc>
          <w:tcPr>
            <w:tcW w:w="1020" w:type="dxa"/>
            <w:vAlign w:val="bottom"/>
            <w:gridSpan w:val="3"/>
          </w:tcPr>
          <w:p>
            <w:pPr>
              <w:jc w:val="right"/>
              <w:ind w:right="20"/>
              <w:spacing w:after="0"/>
              <w:rPr>
                <w:sz w:val="20"/>
                <w:szCs w:val="20"/>
                <w:color w:val="auto"/>
              </w:rPr>
            </w:pPr>
            <w:r>
              <w:rPr>
                <w:rFonts w:ascii="Arial" w:cs="Arial" w:eastAsia="Arial" w:hAnsi="Arial"/>
                <w:sz w:val="18"/>
                <w:szCs w:val="18"/>
                <w:color w:val="auto"/>
              </w:rPr>
              <w:t>71,353</w:t>
            </w:r>
          </w:p>
        </w:tc>
        <w:tc>
          <w:tcPr>
            <w:tcW w:w="220" w:type="dxa"/>
            <w:vAlign w:val="bottom"/>
          </w:tcPr>
          <w:p>
            <w:pPr>
              <w:spacing w:after="0"/>
              <w:rPr>
                <w:sz w:val="24"/>
                <w:szCs w:val="24"/>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200" w:type="dxa"/>
            <w:vAlign w:val="bottom"/>
            <w:gridSpan w:val="3"/>
          </w:tcPr>
          <w:p>
            <w:pPr>
              <w:jc w:val="right"/>
              <w:ind w:right="140"/>
              <w:spacing w:after="0"/>
              <w:rPr>
                <w:sz w:val="20"/>
                <w:szCs w:val="20"/>
                <w:color w:val="auto"/>
              </w:rPr>
            </w:pPr>
            <w:r>
              <w:rPr>
                <w:rFonts w:ascii="Arial" w:cs="Arial" w:eastAsia="Arial" w:hAnsi="Arial"/>
                <w:sz w:val="18"/>
                <w:szCs w:val="18"/>
                <w:color w:val="auto"/>
              </w:rPr>
              <w:t>(3,589)</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(3,466)</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(3,465)</w:t>
            </w:r>
          </w:p>
        </w:tc>
        <w:tc>
          <w:tcPr>
            <w:tcW w:w="1240" w:type="dxa"/>
            <w:vAlign w:val="bottom"/>
          </w:tcPr>
          <w:p>
            <w:pPr>
              <w:jc w:val="right"/>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24"/>
                <w:szCs w:val="24"/>
                <w:color w:val="auto"/>
              </w:rPr>
            </w:pP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(1,927)</w:t>
            </w: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gridSpan w:val="2"/>
            <w:vMerge w:val="restart"/>
          </w:tcPr>
          <w:p>
            <w:pPr>
              <w:jc w:val="right"/>
              <w:ind w:right="140"/>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left w:val="single" w:sz="8" w:color="auto"/>
            </w:tcBorders>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1260" w:type="dxa"/>
            <w:vAlign w:val="bottom"/>
            <w:tcBorders>
              <w:right w:val="single" w:sz="8" w:color="auto"/>
            </w:tcBorders>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20" w:type="dxa"/>
            <w:vAlign w:val="bottom"/>
            <w:tcBorders>
              <w:right w:val="single" w:sz="8" w:color="auto"/>
            </w:tcBorders>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6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102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rPr>
              <w:t>352,861</w:t>
            </w:r>
          </w:p>
        </w:tc>
        <w:tc>
          <w:tcPr>
            <w:tcW w:w="220" w:type="dxa"/>
            <w:vAlign w:val="bottom"/>
          </w:tcPr>
          <w:p>
            <w:pPr>
              <w:spacing w:after="0"/>
              <w:rPr>
                <w:sz w:val="21"/>
                <w:szCs w:val="21"/>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23,091</w:t>
            </w:r>
          </w:p>
        </w:tc>
        <w:tc>
          <w:tcPr>
            <w:tcW w:w="20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(5,130</w:t>
            </w:r>
          </w:p>
        </w:tc>
        <w:tc>
          <w:tcPr>
            <w:tcW w:w="200" w:type="dxa"/>
            <w:vAlign w:val="bottom"/>
            <w:gridSpan w:val="2"/>
            <w:vMerge w:val="continue"/>
          </w:tcPr>
          <w:p>
            <w:pPr>
              <w:spacing w:after="0"/>
              <w:rPr>
                <w:sz w:val="21"/>
                <w:szCs w:val="21"/>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19,471</w:t>
            </w:r>
          </w:p>
        </w:tc>
        <w:tc>
          <w:tcPr>
            <w:tcW w:w="220" w:type="dxa"/>
            <w:vAlign w:val="bottom"/>
          </w:tcPr>
          <w:p>
            <w:pPr>
              <w:spacing w:after="0"/>
              <w:rPr>
                <w:sz w:val="21"/>
                <w:szCs w:val="21"/>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19,574</w:t>
            </w: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103</w:t>
            </w:r>
          </w:p>
        </w:tc>
        <w:tc>
          <w:tcPr>
            <w:tcW w:w="220" w:type="dxa"/>
            <w:vAlign w:val="bottom"/>
          </w:tcPr>
          <w:p>
            <w:pPr>
              <w:spacing w:after="0"/>
              <w:rPr>
                <w:sz w:val="21"/>
                <w:szCs w:val="21"/>
                <w:color w:val="auto"/>
              </w:rPr>
            </w:pP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(3,699</w:t>
            </w:r>
          </w:p>
        </w:tc>
        <w:tc>
          <w:tcPr>
            <w:tcW w:w="6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960" w:type="dxa"/>
            <w:vAlign w:val="bottom"/>
            <w:tcBorders>
              <w:bottom w:val="single" w:sz="8" w:color="auto"/>
            </w:tcBorders>
            <w:gridSpan w:val="5"/>
          </w:tcPr>
          <w:p>
            <w:pPr>
              <w:jc w:val="right"/>
              <w:ind w:right="1200"/>
              <w:spacing w:after="0"/>
              <w:rPr>
                <w:sz w:val="20"/>
                <w:szCs w:val="20"/>
                <w:color w:val="auto"/>
              </w:rPr>
            </w:pPr>
            <w:r>
              <w:rPr>
                <w:rFonts w:ascii="Arial" w:cs="Arial" w:eastAsia="Arial" w:hAnsi="Arial"/>
                <w:sz w:val="18"/>
                <w:szCs w:val="18"/>
                <w:b w:val="1"/>
                <w:bCs w:val="1"/>
                <w:color w:val="auto"/>
              </w:rPr>
              <w:t>December 31, 2019</w:t>
            </w: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6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Changes in the</w:t>
            </w: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91"/>
              </w:rPr>
              <w:t>Change in fair</w:t>
            </w: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fair value of the</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b w:val="1"/>
                <w:bCs w:val="1"/>
                <w:color w:val="auto"/>
                <w:w w:val="94"/>
              </w:rPr>
              <w:t>Amount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88"/>
              </w:rPr>
              <w:t>value used for</w:t>
            </w:r>
          </w:p>
        </w:tc>
        <w:tc>
          <w:tcPr>
            <w:tcW w:w="14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hedging</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40" w:type="dxa"/>
            <w:vAlign w:val="bottom"/>
            <w:gridSpan w:val="2"/>
          </w:tcPr>
          <w:p>
            <w:pPr>
              <w:jc w:val="center"/>
              <w:ind w:right="21"/>
              <w:spacing w:after="0"/>
              <w:rPr>
                <w:sz w:val="20"/>
                <w:szCs w:val="20"/>
                <w:color w:val="auto"/>
              </w:rPr>
            </w:pPr>
            <w:r>
              <w:rPr>
                <w:rFonts w:ascii="Arial" w:cs="Arial" w:eastAsia="Arial" w:hAnsi="Arial"/>
                <w:sz w:val="18"/>
                <w:szCs w:val="18"/>
                <w:b w:val="1"/>
                <w:bCs w:val="1"/>
                <w:color w:val="auto"/>
                <w:w w:val="84"/>
              </w:rPr>
              <w:t>reclassified</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0" w:type="dxa"/>
            <w:vAlign w:val="bottom"/>
            <w:gridSpan w:val="6"/>
          </w:tcPr>
          <w:p>
            <w:pPr>
              <w:ind w:left="320"/>
              <w:spacing w:after="0"/>
              <w:rPr>
                <w:sz w:val="20"/>
                <w:szCs w:val="20"/>
                <w:color w:val="auto"/>
              </w:rPr>
            </w:pPr>
            <w:r>
              <w:rPr>
                <w:rFonts w:ascii="Arial" w:cs="Arial" w:eastAsia="Arial" w:hAnsi="Arial"/>
                <w:sz w:val="18"/>
                <w:szCs w:val="18"/>
                <w:b w:val="1"/>
                <w:bCs w:val="1"/>
                <w:color w:val="auto"/>
              </w:rPr>
              <w:t>Carrying amount of</w:t>
            </w:r>
          </w:p>
        </w:tc>
        <w:tc>
          <w:tcPr>
            <w:tcW w:w="15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calculating</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Ineffectiveness</w:t>
            </w:r>
          </w:p>
        </w:tc>
        <w:tc>
          <w:tcPr>
            <w:tcW w:w="13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from the hedge</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220" w:type="dxa"/>
            <w:vAlign w:val="bottom"/>
            <w:gridSpan w:val="3"/>
          </w:tcPr>
          <w:p>
            <w:pPr>
              <w:ind w:left="160"/>
              <w:spacing w:after="0"/>
              <w:rPr>
                <w:sz w:val="20"/>
                <w:szCs w:val="20"/>
                <w:color w:val="auto"/>
              </w:rPr>
            </w:pPr>
            <w:r>
              <w:rPr>
                <w:rFonts w:ascii="Arial" w:cs="Arial" w:eastAsia="Arial" w:hAnsi="Arial"/>
                <w:sz w:val="18"/>
                <w:szCs w:val="18"/>
                <w:b w:val="1"/>
                <w:bCs w:val="1"/>
                <w:color w:val="auto"/>
              </w:rPr>
              <w:t>Nominal</w:t>
            </w:r>
          </w:p>
        </w:tc>
        <w:tc>
          <w:tcPr>
            <w:tcW w:w="2400" w:type="dxa"/>
            <w:vAlign w:val="bottom"/>
            <w:gridSpan w:val="6"/>
          </w:tcPr>
          <w:p>
            <w:pPr>
              <w:ind w:left="320"/>
              <w:spacing w:after="0"/>
              <w:rPr>
                <w:sz w:val="20"/>
                <w:szCs w:val="20"/>
                <w:color w:val="auto"/>
              </w:rPr>
            </w:pPr>
            <w:r>
              <w:rPr>
                <w:rFonts w:ascii="Arial" w:cs="Arial" w:eastAsia="Arial" w:hAnsi="Arial"/>
                <w:sz w:val="18"/>
                <w:szCs w:val="18"/>
                <w:b w:val="1"/>
                <w:bCs w:val="1"/>
                <w:color w:val="auto"/>
              </w:rPr>
              <w:t>hedging instruments</w:t>
            </w:r>
          </w:p>
        </w:tc>
        <w:tc>
          <w:tcPr>
            <w:tcW w:w="15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2"/>
              </w:rPr>
              <w:t>hedge</w:t>
            </w: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recognized in</w:t>
            </w: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recognized in</w:t>
            </w:r>
          </w:p>
        </w:tc>
        <w:tc>
          <w:tcPr>
            <w:tcW w:w="134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reserve to profit</w:t>
            </w: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1000" w:type="dxa"/>
            <w:vAlign w:val="bottom"/>
            <w:tcBorders>
              <w:bottom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1"/>
                <w:szCs w:val="21"/>
                <w:color w:val="auto"/>
              </w:rPr>
            </w:pPr>
          </w:p>
        </w:tc>
        <w:tc>
          <w:tcPr>
            <w:tcW w:w="1000" w:type="dxa"/>
            <w:vAlign w:val="bottom"/>
            <w:tcBorders>
              <w:top w:val="single" w:sz="8" w:color="auto"/>
              <w:bottom w:val="single" w:sz="8" w:color="auto"/>
            </w:tcBorders>
            <w:gridSpan w:val="2"/>
          </w:tcPr>
          <w:p>
            <w:pPr>
              <w:ind w:left="18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200" w:type="dxa"/>
            <w:vAlign w:val="bottom"/>
            <w:tcBorders>
              <w:top w:val="single" w:sz="8" w:color="auto"/>
            </w:tcBorders>
          </w:tcPr>
          <w:p>
            <w:pPr>
              <w:spacing w:after="0"/>
              <w:rPr>
                <w:sz w:val="21"/>
                <w:szCs w:val="21"/>
                <w:color w:val="auto"/>
              </w:rPr>
            </w:pPr>
          </w:p>
        </w:tc>
        <w:tc>
          <w:tcPr>
            <w:tcW w:w="1020" w:type="dxa"/>
            <w:vAlign w:val="bottom"/>
            <w:tcBorders>
              <w:top w:val="single" w:sz="8" w:color="auto"/>
              <w:bottom w:val="single" w:sz="8" w:color="auto"/>
            </w:tcBorders>
            <w:gridSpan w:val="2"/>
          </w:tcPr>
          <w:p>
            <w:pPr>
              <w:ind w:left="8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80" w:type="dxa"/>
            <w:vAlign w:val="bottom"/>
          </w:tcPr>
          <w:p>
            <w:pPr>
              <w:spacing w:after="0"/>
              <w:rPr>
                <w:sz w:val="21"/>
                <w:szCs w:val="21"/>
                <w:color w:val="auto"/>
              </w:rPr>
            </w:pPr>
          </w:p>
        </w:tc>
        <w:tc>
          <w:tcPr>
            <w:tcW w:w="128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6"/>
              </w:rPr>
              <w:t>ineffectiveness</w:t>
            </w:r>
          </w:p>
        </w:tc>
        <w:tc>
          <w:tcPr>
            <w:tcW w:w="220" w:type="dxa"/>
            <w:vAlign w:val="bottom"/>
          </w:tcPr>
          <w:p>
            <w:pPr>
              <w:spacing w:after="0"/>
              <w:rPr>
                <w:sz w:val="21"/>
                <w:szCs w:val="21"/>
                <w:color w:val="auto"/>
              </w:rPr>
            </w:pPr>
          </w:p>
        </w:tc>
        <w:tc>
          <w:tcPr>
            <w:tcW w:w="1260" w:type="dxa"/>
            <w:vAlign w:val="bottom"/>
            <w:tcBorders>
              <w:bottom w:val="single" w:sz="8" w:color="auto"/>
            </w:tcBorders>
          </w:tcPr>
          <w:p>
            <w:pPr>
              <w:jc w:val="center"/>
              <w:spacing w:after="0" w:line="250" w:lineRule="exact"/>
              <w:rPr>
                <w:sz w:val="20"/>
                <w:szCs w:val="20"/>
                <w:color w:val="auto"/>
              </w:rPr>
            </w:pPr>
            <w:r>
              <w:rPr>
                <w:rFonts w:ascii="Arial" w:cs="Arial" w:eastAsia="Arial" w:hAnsi="Arial"/>
                <w:sz w:val="17"/>
                <w:szCs w:val="17"/>
                <w:b w:val="1"/>
                <w:bCs w:val="1"/>
                <w:color w:val="auto"/>
                <w:w w:val="96"/>
              </w:rPr>
              <w:t xml:space="preserve">OCI </w:t>
            </w:r>
            <w:r>
              <w:rPr>
                <w:rFonts w:ascii="Arial" w:cs="Arial" w:eastAsia="Arial" w:hAnsi="Arial"/>
                <w:sz w:val="28"/>
                <w:szCs w:val="28"/>
                <w:b w:val="1"/>
                <w:bCs w:val="1"/>
                <w:color w:val="auto"/>
                <w:w w:val="96"/>
                <w:vertAlign w:val="superscript"/>
              </w:rPr>
              <w:t>(3)</w:t>
            </w:r>
          </w:p>
        </w:tc>
        <w:tc>
          <w:tcPr>
            <w:tcW w:w="200" w:type="dxa"/>
            <w:vAlign w:val="bottom"/>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profit or loss (4)</w:t>
            </w:r>
          </w:p>
        </w:tc>
        <w:tc>
          <w:tcPr>
            <w:tcW w:w="220" w:type="dxa"/>
            <w:vAlign w:val="bottom"/>
          </w:tcPr>
          <w:p>
            <w:pPr>
              <w:spacing w:after="0"/>
              <w:rPr>
                <w:sz w:val="21"/>
                <w:szCs w:val="21"/>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8"/>
              </w:rPr>
              <w:t>or loss (4)</w:t>
            </w: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642"/>
        </w:trPr>
        <w:tc>
          <w:tcPr>
            <w:tcW w:w="1240" w:type="dxa"/>
            <w:vAlign w:val="bottom"/>
            <w:gridSpan w:val="4"/>
          </w:tcPr>
          <w:p>
            <w:pPr>
              <w:jc w:val="right"/>
              <w:ind w:right="220"/>
              <w:spacing w:after="0"/>
              <w:rPr>
                <w:sz w:val="20"/>
                <w:szCs w:val="20"/>
                <w:color w:val="auto"/>
              </w:rPr>
            </w:pPr>
            <w:r>
              <w:rPr>
                <w:rFonts w:ascii="Arial" w:cs="Arial" w:eastAsia="Arial" w:hAnsi="Arial"/>
                <w:sz w:val="18"/>
                <w:szCs w:val="18"/>
                <w:color w:val="auto"/>
              </w:rPr>
              <w:t>123,000</w:t>
            </w:r>
          </w:p>
        </w:tc>
        <w:tc>
          <w:tcPr>
            <w:tcW w:w="12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3"/>
          </w:tcPr>
          <w:p>
            <w:pPr>
              <w:jc w:val="right"/>
              <w:ind w:right="120"/>
              <w:spacing w:after="0"/>
              <w:rPr>
                <w:sz w:val="20"/>
                <w:szCs w:val="20"/>
                <w:color w:val="auto"/>
              </w:rPr>
            </w:pPr>
            <w:r>
              <w:rPr>
                <w:rFonts w:ascii="Arial" w:cs="Arial" w:eastAsia="Arial" w:hAnsi="Arial"/>
                <w:sz w:val="18"/>
                <w:szCs w:val="18"/>
                <w:color w:val="auto"/>
              </w:rPr>
              <w:t>(1,098)</w:t>
            </w:r>
          </w:p>
        </w:tc>
        <w:tc>
          <w:tcPr>
            <w:tcW w:w="1500" w:type="dxa"/>
            <w:vAlign w:val="bottom"/>
            <w:gridSpan w:val="3"/>
          </w:tcPr>
          <w:p>
            <w:pPr>
              <w:jc w:val="right"/>
              <w:ind w:right="160"/>
              <w:spacing w:after="0"/>
              <w:rPr>
                <w:sz w:val="20"/>
                <w:szCs w:val="20"/>
                <w:color w:val="auto"/>
              </w:rPr>
            </w:pPr>
            <w:r>
              <w:rPr>
                <w:rFonts w:ascii="Arial" w:cs="Arial" w:eastAsia="Arial" w:hAnsi="Arial"/>
                <w:sz w:val="18"/>
                <w:szCs w:val="18"/>
                <w:color w:val="auto"/>
              </w:rPr>
              <w:t>(1,459)</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(1,458)</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280" w:type="dxa"/>
            <w:vAlign w:val="bottom"/>
          </w:tcPr>
          <w:p>
            <w:pPr>
              <w:jc w:val="right"/>
              <w:spacing w:after="0"/>
              <w:rPr>
                <w:sz w:val="20"/>
                <w:szCs w:val="20"/>
                <w:color w:val="auto"/>
              </w:rPr>
            </w:pPr>
            <w:r>
              <w:rPr>
                <w:rFonts w:ascii="Arial" w:cs="Arial" w:eastAsia="Arial" w:hAnsi="Arial"/>
                <w:sz w:val="18"/>
                <w:szCs w:val="18"/>
                <w:color w:val="auto"/>
              </w:rPr>
              <w:t>39</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-906145</wp:posOffset>
            </wp:positionH>
            <wp:positionV relativeFrom="paragraph">
              <wp:posOffset>-2185670</wp:posOffset>
            </wp:positionV>
            <wp:extent cx="6917690" cy="27432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8">
                      <a:extLst>
                        <a:ext uri="{28A0092B-C50C-407E-A947-70E740481C1C}"/>
                      </a:extLst>
                    </a:blip>
                    <a:srcRect/>
                    <a:stretch>
                      <a:fillRect/>
                    </a:stretch>
                  </pic:blipFill>
                  <pic:spPr bwMode="auto">
                    <a:xfrm>
                      <a:off x="0" y="0"/>
                      <a:ext cx="6917690" cy="274320"/>
                    </a:xfrm>
                    <a:prstGeom prst="rect">
                      <a:avLst/>
                    </a:prstGeom>
                    <a:noFill/>
                  </pic:spPr>
                </pic:pic>
              </a:graphicData>
            </a:graphic>
          </wp:anchor>
        </w:drawing>
        <w:drawing>
          <wp:anchor simplePos="0" relativeHeight="251657728" behindDoc="1" locked="0" layoutInCell="0" allowOverlap="1">
            <wp:simplePos x="0" y="0"/>
            <wp:positionH relativeFrom="column">
              <wp:posOffset>-906145</wp:posOffset>
            </wp:positionH>
            <wp:positionV relativeFrom="paragraph">
              <wp:posOffset>-1765300</wp:posOffset>
            </wp:positionV>
            <wp:extent cx="6917690" cy="179705"/>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9">
                      <a:extLst>
                        <a:ext uri="{28A0092B-C50C-407E-A947-70E740481C1C}"/>
                      </a:extLst>
                    </a:blip>
                    <a:srcRect/>
                    <a:stretch>
                      <a:fillRect/>
                    </a:stretch>
                  </pic:blipFill>
                  <pic:spPr bwMode="auto">
                    <a:xfrm>
                      <a:off x="0" y="0"/>
                      <a:ext cx="6917690" cy="179705"/>
                    </a:xfrm>
                    <a:prstGeom prst="rect">
                      <a:avLst/>
                    </a:prstGeom>
                    <a:noFill/>
                  </pic:spPr>
                </pic:pic>
              </a:graphicData>
            </a:graphic>
          </wp:anchor>
        </w:drawing>
        <w:drawing>
          <wp:anchor simplePos="0" relativeHeight="251657728" behindDoc="1" locked="0" layoutInCell="0" allowOverlap="1">
            <wp:simplePos x="0" y="0"/>
            <wp:positionH relativeFrom="column">
              <wp:posOffset>-906145</wp:posOffset>
            </wp:positionH>
            <wp:positionV relativeFrom="paragraph">
              <wp:posOffset>-419735</wp:posOffset>
            </wp:positionV>
            <wp:extent cx="6917690" cy="14605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0">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-906145</wp:posOffset>
            </wp:positionH>
            <wp:positionV relativeFrom="paragraph">
              <wp:posOffset>0</wp:posOffset>
            </wp:positionV>
            <wp:extent cx="6917690" cy="41148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1">
                      <a:extLst>
                        <a:ext uri="{28A0092B-C50C-407E-A947-70E740481C1C}"/>
                      </a:extLst>
                    </a:blip>
                    <a:srcRect/>
                    <a:stretch>
                      <a:fillRect/>
                    </a:stretch>
                  </pic:blipFill>
                  <pic:spPr bwMode="auto">
                    <a:xfrm>
                      <a:off x="0" y="0"/>
                      <a:ext cx="6917690" cy="411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tbl>
      <w:tblPr>
        <w:tblLayout w:type="fixed"/>
        <w:tblInd w:w="20" w:type="dxa"/>
        <w:tblCellMar>
          <w:top w:w="0" w:type="dxa"/>
          <w:left w:w="0" w:type="dxa"/>
          <w:bottom w:w="0" w:type="dxa"/>
          <w:right w:w="0" w:type="dxa"/>
        </w:tblCellMar>
      </w:tblPr>
      <w:tr>
        <w:trPr>
          <w:trHeight w:val="230"/>
        </w:trPr>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23,025</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81"/>
              <w:spacing w:after="0"/>
              <w:rPr>
                <w:sz w:val="20"/>
                <w:szCs w:val="20"/>
                <w:color w:val="auto"/>
              </w:rPr>
            </w:pPr>
            <w:r>
              <w:rPr>
                <w:rFonts w:ascii="Arial" w:cs="Arial" w:eastAsia="Arial" w:hAnsi="Arial"/>
                <w:sz w:val="18"/>
                <w:szCs w:val="18"/>
                <w:color w:val="auto"/>
              </w:rPr>
              <w:t>(1,670)</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(284)</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(283)</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648"/>
        </w:trPr>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72,391</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625</w:t>
            </w:r>
          </w:p>
        </w:tc>
        <w:tc>
          <w:tcPr>
            <w:tcW w:w="1240" w:type="dxa"/>
            <w:vAlign w:val="bottom"/>
            <w:gridSpan w:val="2"/>
          </w:tcPr>
          <w:p>
            <w:pPr>
              <w:jc w:val="right"/>
              <w:ind w:right="81"/>
              <w:spacing w:after="0"/>
              <w:rPr>
                <w:sz w:val="20"/>
                <w:szCs w:val="20"/>
                <w:color w:val="auto"/>
              </w:rPr>
            </w:pPr>
            <w:r>
              <w:rPr>
                <w:rFonts w:ascii="Arial" w:cs="Arial" w:eastAsia="Arial" w:hAnsi="Arial"/>
                <w:sz w:val="18"/>
                <w:szCs w:val="18"/>
                <w:color w:val="auto"/>
              </w:rPr>
              <w:t>(2,552)</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(2,346)</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(2,344)</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(1,070)</w:t>
            </w:r>
          </w:p>
        </w:tc>
        <w:tc>
          <w:tcPr>
            <w:tcW w:w="0" w:type="dxa"/>
            <w:vAlign w:val="bottom"/>
          </w:tcPr>
          <w:p>
            <w:pPr>
              <w:spacing w:after="0"/>
              <w:rPr>
                <w:sz w:val="1"/>
                <w:szCs w:val="1"/>
                <w:color w:val="auto"/>
              </w:rPr>
            </w:pPr>
          </w:p>
        </w:tc>
      </w:tr>
      <w:tr>
        <w:trPr>
          <w:trHeight w:val="446"/>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4"/>
                <w:szCs w:val="24"/>
                <w:color w:val="auto"/>
              </w:rPr>
            </w:pPr>
          </w:p>
        </w:tc>
        <w:tc>
          <w:tcPr>
            <w:tcW w:w="10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(5,545)</w:t>
            </w:r>
          </w:p>
        </w:tc>
        <w:tc>
          <w:tcPr>
            <w:tcW w:w="0" w:type="dxa"/>
            <w:vAlign w:val="bottom"/>
          </w:tcPr>
          <w:p>
            <w:pPr>
              <w:spacing w:after="0"/>
              <w:rPr>
                <w:sz w:val="1"/>
                <w:szCs w:val="1"/>
                <w:color w:val="auto"/>
              </w:rPr>
            </w:pPr>
          </w:p>
        </w:tc>
      </w:tr>
      <w:tr>
        <w:trPr>
          <w:trHeight w:val="20"/>
        </w:trPr>
        <w:tc>
          <w:tcPr>
            <w:tcW w:w="10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shd w:val="clear" w:color="auto" w:fill="000000"/>
          </w:tcPr>
          <w:p>
            <w:pPr>
              <w:spacing w:after="0" w:line="20" w:lineRule="exact"/>
              <w:rPr>
                <w:sz w:val="1"/>
                <w:szCs w:val="1"/>
                <w:color w:val="auto"/>
              </w:rPr>
            </w:pPr>
          </w:p>
        </w:tc>
        <w:tc>
          <w:tcPr>
            <w:tcW w:w="220" w:type="dxa"/>
            <w:vAlign w:val="bottom"/>
            <w:vMerge w:val="restart"/>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6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218,416</w:t>
            </w:r>
          </w:p>
        </w:tc>
        <w:tc>
          <w:tcPr>
            <w:tcW w:w="22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Arial" w:cs="Arial" w:eastAsia="Arial" w:hAnsi="Arial"/>
                <w:sz w:val="18"/>
                <w:szCs w:val="18"/>
                <w:b w:val="1"/>
                <w:bCs w:val="1"/>
                <w:color w:val="auto"/>
              </w:rPr>
              <w:t>625</w:t>
            </w:r>
          </w:p>
        </w:tc>
        <w:tc>
          <w:tcPr>
            <w:tcW w:w="2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Arial" w:cs="Arial" w:eastAsia="Arial" w:hAnsi="Arial"/>
                <w:sz w:val="18"/>
                <w:szCs w:val="18"/>
                <w:b w:val="1"/>
                <w:bCs w:val="1"/>
                <w:color w:val="auto"/>
              </w:rPr>
              <w:t>(5,320</w:t>
            </w:r>
          </w:p>
        </w:tc>
        <w:tc>
          <w:tcPr>
            <w:tcW w:w="220" w:type="dxa"/>
            <w:vAlign w:val="bottom"/>
            <w:vMerge w:val="continue"/>
          </w:tcPr>
          <w:p>
            <w:pPr>
              <w:spacing w:after="0"/>
              <w:rPr>
                <w:sz w:val="21"/>
                <w:szCs w:val="21"/>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(4,089</w:t>
            </w:r>
          </w:p>
        </w:tc>
        <w:tc>
          <w:tcPr>
            <w:tcW w:w="220" w:type="dxa"/>
            <w:vAlign w:val="bottom"/>
            <w:vMerge w:val="continue"/>
          </w:tcPr>
          <w:p>
            <w:pPr>
              <w:spacing w:after="0"/>
              <w:rPr>
                <w:sz w:val="21"/>
                <w:szCs w:val="21"/>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(4,085</w:t>
            </w:r>
          </w:p>
        </w:tc>
        <w:tc>
          <w:tcPr>
            <w:tcW w:w="220" w:type="dxa"/>
            <w:vAlign w:val="bottom"/>
            <w:vMerge w:val="continue"/>
          </w:tcPr>
          <w:p>
            <w:pPr>
              <w:spacing w:after="0"/>
              <w:rPr>
                <w:sz w:val="21"/>
                <w:szCs w:val="21"/>
                <w:color w:val="auto"/>
              </w:rPr>
            </w:pPr>
          </w:p>
        </w:tc>
        <w:tc>
          <w:tcPr>
            <w:tcW w:w="14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w:t>
            </w: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(6,576</w:t>
            </w:r>
          </w:p>
        </w:tc>
        <w:tc>
          <w:tcPr>
            <w:tcW w:w="6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-906145</wp:posOffset>
            </wp:positionH>
            <wp:positionV relativeFrom="paragraph">
              <wp:posOffset>-890905</wp:posOffset>
            </wp:positionV>
            <wp:extent cx="6917690" cy="27432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2">
                      <a:extLst>
                        <a:ext uri="{28A0092B-C50C-407E-A947-70E740481C1C}"/>
                      </a:extLst>
                    </a:blip>
                    <a:srcRect/>
                    <a:stretch>
                      <a:fillRect/>
                    </a:stretch>
                  </pic:blipFill>
                  <pic:spPr bwMode="auto">
                    <a:xfrm>
                      <a:off x="0" y="0"/>
                      <a:ext cx="6917690" cy="274320"/>
                    </a:xfrm>
                    <a:prstGeom prst="rect">
                      <a:avLst/>
                    </a:prstGeom>
                    <a:noFill/>
                  </pic:spPr>
                </pic:pic>
              </a:graphicData>
            </a:graphic>
          </wp:anchor>
        </w:drawing>
        <w:drawing>
          <wp:anchor simplePos="0" relativeHeight="251657728" behindDoc="1" locked="0" layoutInCell="0" allowOverlap="1">
            <wp:simplePos x="0" y="0"/>
            <wp:positionH relativeFrom="column">
              <wp:posOffset>-906145</wp:posOffset>
            </wp:positionH>
            <wp:positionV relativeFrom="paragraph">
              <wp:posOffset>-479425</wp:posOffset>
            </wp:positionV>
            <wp:extent cx="6917690" cy="28321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3">
                      <a:extLst>
                        <a:ext uri="{28A0092B-C50C-407E-A947-70E740481C1C}"/>
                      </a:extLst>
                    </a:blip>
                    <a:srcRect/>
                    <a:stretch>
                      <a:fillRect/>
                    </a:stretch>
                  </pic:blipFill>
                  <pic:spPr bwMode="auto">
                    <a:xfrm>
                      <a:off x="0" y="0"/>
                      <a:ext cx="6917690" cy="283210"/>
                    </a:xfrm>
                    <a:prstGeom prst="rect">
                      <a:avLst/>
                    </a:prstGeom>
                    <a:noFill/>
                  </pic:spPr>
                </pic:pic>
              </a:graphicData>
            </a:graphic>
          </wp:anchor>
        </w:drawing>
      </w:r>
    </w:p>
    <w:p>
      <w:pPr>
        <w:spacing w:after="0" w:line="185" w:lineRule="exact"/>
        <w:rPr>
          <w:sz w:val="20"/>
          <w:szCs w:val="20"/>
          <w:color w:val="auto"/>
        </w:rPr>
      </w:pPr>
    </w:p>
    <w:p>
      <w:pPr>
        <w:sectPr>
          <w:pgSz w:w="11900" w:h="16838" w:orient="portrait"/>
          <w:cols w:equalWidth="0" w:num="2">
            <w:col w:w="1640" w:space="120"/>
            <w:col w:w="9480"/>
          </w:cols>
          <w:pgMar w:left="320" w:top="688" w:right="339" w:bottom="1440" w:gutter="0" w:footer="0" w:header="0"/>
          <w:type w:val="continuous"/>
        </w:sectPr>
      </w:pPr>
    </w:p>
    <w:p>
      <w:pPr>
        <w:ind w:left="540" w:hanging="208"/>
        <w:spacing w:after="0"/>
        <w:tabs>
          <w:tab w:leader="none" w:pos="540" w:val="left"/>
        </w:tabs>
        <w:numPr>
          <w:ilvl w:val="0"/>
          <w:numId w:val="255"/>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55"/>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55"/>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consolidated statement of financial position under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55"/>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Loss on financial instruments, net.</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26" w:name="page227"/>
    <w:bookmarkEnd w:id="2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hedges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78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500" w:type="dxa"/>
            <w:vAlign w:val="bottom"/>
            <w:tcBorders>
              <w:bottom w:val="single" w:sz="8" w:color="auto"/>
            </w:tcBorders>
            <w:gridSpan w:val="4"/>
          </w:tcPr>
          <w:p>
            <w:pPr>
              <w:jc w:val="right"/>
              <w:ind w:right="2101"/>
              <w:spacing w:after="0"/>
              <w:rPr>
                <w:sz w:val="20"/>
                <w:szCs w:val="20"/>
                <w:color w:val="auto"/>
              </w:rPr>
            </w:pPr>
            <w:r>
              <w:rPr>
                <w:rFonts w:ascii="Arial" w:cs="Arial" w:eastAsia="Arial" w:hAnsi="Arial"/>
                <w:sz w:val="18"/>
                <w:szCs w:val="18"/>
                <w:b w:val="1"/>
                <w:bCs w:val="1"/>
                <w:color w:val="auto"/>
              </w:rPr>
              <w:t>December 31, 2020</w:t>
            </w:r>
          </w:p>
        </w:tc>
        <w:tc>
          <w:tcPr>
            <w:tcW w:w="15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7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12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Line in the consolidated</w:t>
            </w:r>
          </w:p>
        </w:tc>
        <w:tc>
          <w:tcPr>
            <w:tcW w:w="2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statement of financial</w:t>
            </w:r>
          </w:p>
        </w:tc>
        <w:tc>
          <w:tcPr>
            <w:tcW w:w="238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Change in the fair value</w:t>
            </w:r>
          </w:p>
        </w:tc>
        <w:tc>
          <w:tcPr>
            <w:tcW w:w="1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2820" w:type="dxa"/>
            <w:vAlign w:val="bottom"/>
            <w:gridSpan w:val="4"/>
          </w:tcPr>
          <w:p>
            <w:pPr>
              <w:jc w:val="right"/>
              <w:ind w:right="641"/>
              <w:spacing w:after="0"/>
              <w:rPr>
                <w:sz w:val="20"/>
                <w:szCs w:val="20"/>
                <w:color w:val="auto"/>
              </w:rPr>
            </w:pPr>
            <w:r>
              <w:rPr>
                <w:rFonts w:ascii="Arial" w:cs="Arial" w:eastAsia="Arial" w:hAnsi="Arial"/>
                <w:sz w:val="18"/>
                <w:szCs w:val="18"/>
                <w:b w:val="1"/>
                <w:bCs w:val="1"/>
                <w:color w:val="auto"/>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 that includes</w:t>
            </w:r>
          </w:p>
        </w:tc>
        <w:tc>
          <w:tcPr>
            <w:tcW w:w="238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of the hedged items used</w:t>
            </w:r>
          </w:p>
        </w:tc>
        <w:tc>
          <w:tcPr>
            <w:tcW w:w="1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80" w:type="dxa"/>
            <w:vAlign w:val="bottom"/>
          </w:tcPr>
          <w:p>
            <w:pPr>
              <w:spacing w:after="0"/>
              <w:rPr>
                <w:sz w:val="20"/>
                <w:szCs w:val="20"/>
                <w:color w:val="auto"/>
              </w:rPr>
            </w:pPr>
          </w:p>
        </w:tc>
        <w:tc>
          <w:tcPr>
            <w:tcW w:w="2680" w:type="dxa"/>
            <w:vAlign w:val="bottom"/>
            <w:tcBorders>
              <w:bottom w:val="single" w:sz="8" w:color="auto"/>
            </w:tcBorders>
            <w:gridSpan w:val="3"/>
          </w:tcPr>
          <w:p>
            <w:pPr>
              <w:jc w:val="right"/>
              <w:ind w:right="750"/>
              <w:spacing w:after="0"/>
              <w:rPr>
                <w:sz w:val="20"/>
                <w:szCs w:val="20"/>
                <w:color w:val="auto"/>
              </w:rPr>
            </w:pPr>
            <w:r>
              <w:rPr>
                <w:rFonts w:ascii="Arial" w:cs="Arial" w:eastAsia="Arial" w:hAnsi="Arial"/>
                <w:sz w:val="18"/>
                <w:szCs w:val="18"/>
                <w:b w:val="1"/>
                <w:bCs w:val="1"/>
                <w:color w:val="auto"/>
              </w:rPr>
              <w:t>hedged items</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the carrying amount of</w:t>
            </w:r>
          </w:p>
        </w:tc>
        <w:tc>
          <w:tcPr>
            <w:tcW w:w="238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to calculate the hedge</w:t>
            </w:r>
          </w:p>
        </w:tc>
        <w:tc>
          <w:tcPr>
            <w:tcW w:w="17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Cash flow</w:t>
            </w:r>
          </w:p>
        </w:tc>
        <w:tc>
          <w:tcPr>
            <w:tcW w:w="0" w:type="dxa"/>
            <w:vAlign w:val="bottom"/>
          </w:tcPr>
          <w:p>
            <w:pPr>
              <w:spacing w:after="0"/>
              <w:rPr>
                <w:sz w:val="1"/>
                <w:szCs w:val="1"/>
                <w:color w:val="auto"/>
              </w:rPr>
            </w:pPr>
          </w:p>
        </w:tc>
      </w:tr>
      <w:tr>
        <w:trPr>
          <w:trHeight w:val="237"/>
        </w:trPr>
        <w:tc>
          <w:tcPr>
            <w:tcW w:w="1780" w:type="dxa"/>
            <w:vAlign w:val="bottom"/>
          </w:tcPr>
          <w:p>
            <w:pPr>
              <w:spacing w:after="0"/>
              <w:rPr>
                <w:sz w:val="20"/>
                <w:szCs w:val="20"/>
                <w:color w:val="auto"/>
              </w:rPr>
            </w:pPr>
          </w:p>
        </w:tc>
        <w:tc>
          <w:tcPr>
            <w:tcW w:w="1460" w:type="dxa"/>
            <w:vAlign w:val="bottom"/>
            <w:gridSpan w:val="2"/>
          </w:tcPr>
          <w:p>
            <w:pPr>
              <w:ind w:left="420"/>
              <w:spacing w:after="0"/>
              <w:rPr>
                <w:sz w:val="20"/>
                <w:szCs w:val="20"/>
                <w:color w:val="auto"/>
              </w:rPr>
            </w:pPr>
            <w:r>
              <w:rPr>
                <w:rFonts w:ascii="Arial" w:cs="Arial" w:eastAsia="Arial" w:hAnsi="Arial"/>
                <w:sz w:val="18"/>
                <w:szCs w:val="18"/>
                <w:b w:val="1"/>
                <w:bCs w:val="1"/>
                <w:color w:val="auto"/>
              </w:rPr>
              <w:t>Asset</w:t>
            </w:r>
          </w:p>
        </w:tc>
        <w:tc>
          <w:tcPr>
            <w:tcW w:w="136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the hedged items</w:t>
            </w:r>
          </w:p>
        </w:tc>
        <w:tc>
          <w:tcPr>
            <w:tcW w:w="2380" w:type="dxa"/>
            <w:vAlign w:val="bottom"/>
            <w:gridSpan w:val="2"/>
          </w:tcPr>
          <w:p>
            <w:pPr>
              <w:jc w:val="center"/>
              <w:ind w:right="141"/>
              <w:spacing w:after="0" w:line="236" w:lineRule="exact"/>
              <w:rPr>
                <w:sz w:val="20"/>
                <w:szCs w:val="20"/>
                <w:color w:val="auto"/>
              </w:rPr>
            </w:pPr>
            <w:r>
              <w:rPr>
                <w:rFonts w:ascii="Arial" w:cs="Arial" w:eastAsia="Arial" w:hAnsi="Arial"/>
                <w:sz w:val="17"/>
                <w:szCs w:val="17"/>
                <w:b w:val="1"/>
                <w:bCs w:val="1"/>
                <w:color w:val="auto"/>
                <w:w w:val="88"/>
              </w:rPr>
              <w:t xml:space="preserve">ineffectiveness </w:t>
            </w:r>
            <w:r>
              <w:rPr>
                <w:rFonts w:ascii="Arial" w:cs="Arial" w:eastAsia="Arial" w:hAnsi="Arial"/>
                <w:sz w:val="27"/>
                <w:szCs w:val="27"/>
                <w:b w:val="1"/>
                <w:bCs w:val="1"/>
                <w:color w:val="auto"/>
                <w:w w:val="88"/>
                <w:vertAlign w:val="superscript"/>
              </w:rPr>
              <w:t>(1)</w:t>
            </w:r>
          </w:p>
        </w:tc>
        <w:tc>
          <w:tcPr>
            <w:tcW w:w="17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hedge reserve</w:t>
            </w:r>
          </w:p>
        </w:tc>
        <w:tc>
          <w:tcPr>
            <w:tcW w:w="0" w:type="dxa"/>
            <w:vAlign w:val="bottom"/>
          </w:tcPr>
          <w:p>
            <w:pPr>
              <w:spacing w:after="0"/>
              <w:rPr>
                <w:sz w:val="1"/>
                <w:szCs w:val="1"/>
                <w:color w:val="auto"/>
              </w:rPr>
            </w:pPr>
          </w:p>
        </w:tc>
      </w:tr>
      <w:tr>
        <w:trPr>
          <w:trHeight w:val="210"/>
        </w:trPr>
        <w:tc>
          <w:tcPr>
            <w:tcW w:w="1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ind w:left="160"/>
              <w:spacing w:after="0"/>
              <w:rPr>
                <w:sz w:val="20"/>
                <w:szCs w:val="20"/>
                <w:color w:val="auto"/>
              </w:rPr>
            </w:pPr>
            <w:r>
              <w:rPr>
                <w:rFonts w:ascii="Arial" w:cs="Arial" w:eastAsia="Arial" w:hAnsi="Arial"/>
                <w:sz w:val="18"/>
                <w:szCs w:val="18"/>
                <w:color w:val="auto"/>
                <w:w w:val="96"/>
              </w:rPr>
              <w:t>Borrowings and debt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
              <w:spacing w:after="0"/>
              <w:rPr>
                <w:sz w:val="20"/>
                <w:szCs w:val="20"/>
                <w:color w:val="auto"/>
              </w:rPr>
            </w:pPr>
            <w:r>
              <w:rPr>
                <w:rFonts w:ascii="Arial" w:cs="Arial" w:eastAsia="Arial" w:hAnsi="Arial"/>
                <w:sz w:val="18"/>
                <w:szCs w:val="18"/>
                <w:color w:val="auto"/>
              </w:rPr>
              <w:t>(20,045)</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80" w:type="dxa"/>
            <w:vAlign w:val="bottom"/>
            <w:gridSpan w:val="2"/>
          </w:tcPr>
          <w:p>
            <w:pPr>
              <w:jc w:val="right"/>
              <w:ind w:right="141"/>
              <w:spacing w:after="0"/>
              <w:rPr>
                <w:sz w:val="20"/>
                <w:szCs w:val="20"/>
                <w:color w:val="auto"/>
              </w:rPr>
            </w:pPr>
            <w:r>
              <w:rPr>
                <w:rFonts w:ascii="Arial" w:cs="Arial" w:eastAsia="Arial" w:hAnsi="Arial"/>
                <w:sz w:val="18"/>
                <w:szCs w:val="18"/>
                <w:color w:val="auto"/>
              </w:rPr>
              <w:t>442</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1,440</w:t>
            </w:r>
          </w:p>
        </w:tc>
        <w:tc>
          <w:tcPr>
            <w:tcW w:w="0" w:type="dxa"/>
            <w:vAlign w:val="bottom"/>
          </w:tcPr>
          <w:p>
            <w:pPr>
              <w:spacing w:after="0"/>
              <w:rPr>
                <w:sz w:val="1"/>
                <w:szCs w:val="1"/>
                <w:color w:val="auto"/>
              </w:rPr>
            </w:pPr>
          </w:p>
        </w:tc>
      </w:tr>
      <w:tr>
        <w:trPr>
          <w:trHeight w:val="198"/>
        </w:trPr>
        <w:tc>
          <w:tcPr>
            <w:tcW w:w="1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w:t>
            </w: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4"/>
              </w:rPr>
              <w:t>foreign exchange risk</w:t>
            </w: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80" w:type="dxa"/>
            <w:vAlign w:val="bottom"/>
          </w:tcPr>
          <w:p>
            <w:pPr>
              <w:ind w:left="160"/>
              <w:spacing w:after="0"/>
              <w:rPr>
                <w:sz w:val="20"/>
                <w:szCs w:val="20"/>
                <w:color w:val="auto"/>
              </w:rPr>
            </w:pPr>
            <w:r>
              <w:rPr>
                <w:rFonts w:ascii="Arial" w:cs="Arial" w:eastAsia="Arial" w:hAnsi="Arial"/>
                <w:sz w:val="18"/>
                <w:szCs w:val="18"/>
                <w:color w:val="auto"/>
                <w:w w:val="96"/>
              </w:rPr>
              <w:t>Borrowings and debt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
              <w:spacing w:after="0"/>
              <w:rPr>
                <w:sz w:val="20"/>
                <w:szCs w:val="20"/>
                <w:color w:val="auto"/>
              </w:rPr>
            </w:pPr>
            <w:r>
              <w:rPr>
                <w:rFonts w:ascii="Arial" w:cs="Arial" w:eastAsia="Arial" w:hAnsi="Arial"/>
                <w:sz w:val="18"/>
                <w:szCs w:val="18"/>
                <w:color w:val="auto"/>
              </w:rPr>
              <w:t>(243,817)</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80" w:type="dxa"/>
            <w:vAlign w:val="bottom"/>
            <w:gridSpan w:val="2"/>
          </w:tcPr>
          <w:p>
            <w:pPr>
              <w:jc w:val="right"/>
              <w:ind w:right="81"/>
              <w:spacing w:after="0"/>
              <w:rPr>
                <w:sz w:val="20"/>
                <w:szCs w:val="20"/>
                <w:color w:val="auto"/>
              </w:rPr>
            </w:pPr>
            <w:r>
              <w:rPr>
                <w:rFonts w:ascii="Arial" w:cs="Arial" w:eastAsia="Arial" w:hAnsi="Arial"/>
                <w:sz w:val="18"/>
                <w:szCs w:val="18"/>
                <w:color w:val="auto"/>
              </w:rPr>
              <w:t>(23,481)</w:t>
            </w:r>
          </w:p>
        </w:tc>
        <w:tc>
          <w:tcPr>
            <w:tcW w:w="1700" w:type="dxa"/>
            <w:vAlign w:val="bottom"/>
            <w:gridSpan w:val="2"/>
          </w:tcPr>
          <w:p>
            <w:pPr>
              <w:jc w:val="right"/>
              <w:ind w:right="60"/>
              <w:spacing w:after="0"/>
              <w:rPr>
                <w:sz w:val="20"/>
                <w:szCs w:val="20"/>
                <w:color w:val="auto"/>
              </w:rPr>
            </w:pPr>
            <w:r>
              <w:rPr>
                <w:rFonts w:ascii="Arial" w:cs="Arial" w:eastAsia="Arial" w:hAnsi="Arial"/>
                <w:sz w:val="18"/>
                <w:szCs w:val="18"/>
                <w:color w:val="auto"/>
              </w:rPr>
              <w:t>(1,980)</w:t>
            </w:r>
          </w:p>
        </w:tc>
        <w:tc>
          <w:tcPr>
            <w:tcW w:w="0" w:type="dxa"/>
            <w:vAlign w:val="bottom"/>
          </w:tcPr>
          <w:p>
            <w:pPr>
              <w:spacing w:after="0"/>
              <w:rPr>
                <w:sz w:val="1"/>
                <w:szCs w:val="1"/>
                <w:color w:val="auto"/>
              </w:rPr>
            </w:pPr>
          </w:p>
        </w:tc>
      </w:tr>
      <w:tr>
        <w:trPr>
          <w:trHeight w:val="198"/>
        </w:trPr>
        <w:tc>
          <w:tcPr>
            <w:tcW w:w="1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Foreign exchange</w:t>
            </w: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780" w:type="dxa"/>
            <w:vAlign w:val="bottom"/>
          </w:tcPr>
          <w:p>
            <w:pPr>
              <w:ind w:left="160"/>
              <w:spacing w:after="0"/>
              <w:rPr>
                <w:sz w:val="20"/>
                <w:szCs w:val="20"/>
                <w:color w:val="auto"/>
              </w:rPr>
            </w:pPr>
            <w:r>
              <w:rPr>
                <w:rFonts w:ascii="Arial" w:cs="Arial" w:eastAsia="Arial" w:hAnsi="Arial"/>
                <w:sz w:val="18"/>
                <w:szCs w:val="18"/>
                <w:color w:val="auto"/>
              </w:rPr>
              <w:t>Loans</w:t>
            </w:r>
          </w:p>
        </w:tc>
        <w:tc>
          <w:tcPr>
            <w:tcW w:w="1240" w:type="dxa"/>
            <w:vAlign w:val="bottom"/>
          </w:tcPr>
          <w:p>
            <w:pPr>
              <w:jc w:val="right"/>
              <w:spacing w:after="0"/>
              <w:rPr>
                <w:sz w:val="20"/>
                <w:szCs w:val="20"/>
                <w:color w:val="auto"/>
              </w:rPr>
            </w:pPr>
            <w:r>
              <w:rPr>
                <w:rFonts w:ascii="Arial" w:cs="Arial" w:eastAsia="Arial" w:hAnsi="Arial"/>
                <w:sz w:val="18"/>
                <w:szCs w:val="18"/>
                <w:color w:val="auto"/>
              </w:rPr>
              <w:t>74,509</w:t>
            </w:r>
          </w:p>
        </w:tc>
        <w:tc>
          <w:tcPr>
            <w:tcW w:w="220" w:type="dxa"/>
            <w:vAlign w:val="bottom"/>
          </w:tcPr>
          <w:p>
            <w:pPr>
              <w:spacing w:after="0"/>
              <w:rPr>
                <w:sz w:val="19"/>
                <w:szCs w:val="19"/>
                <w:color w:val="auto"/>
              </w:rPr>
            </w:pPr>
          </w:p>
        </w:tc>
        <w:tc>
          <w:tcPr>
            <w:tcW w:w="136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Loans, net</w:t>
            </w:r>
          </w:p>
        </w:tc>
        <w:tc>
          <w:tcPr>
            <w:tcW w:w="2380" w:type="dxa"/>
            <w:vAlign w:val="bottom"/>
            <w:gridSpan w:val="2"/>
          </w:tcPr>
          <w:p>
            <w:pPr>
              <w:jc w:val="right"/>
              <w:ind w:right="141"/>
              <w:spacing w:after="0"/>
              <w:rPr>
                <w:sz w:val="20"/>
                <w:szCs w:val="20"/>
                <w:color w:val="auto"/>
              </w:rPr>
            </w:pPr>
            <w:r>
              <w:rPr>
                <w:rFonts w:ascii="Arial" w:cs="Arial" w:eastAsia="Arial" w:hAnsi="Arial"/>
                <w:sz w:val="18"/>
                <w:szCs w:val="18"/>
                <w:color w:val="auto"/>
              </w:rPr>
              <w:t>3,465</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562</w:t>
            </w:r>
          </w:p>
        </w:tc>
        <w:tc>
          <w:tcPr>
            <w:tcW w:w="0" w:type="dxa"/>
            <w:vAlign w:val="bottom"/>
          </w:tcPr>
          <w:p>
            <w:pPr>
              <w:spacing w:after="0"/>
              <w:rPr>
                <w:sz w:val="1"/>
                <w:szCs w:val="1"/>
                <w:color w:val="auto"/>
              </w:rPr>
            </w:pPr>
          </w:p>
        </w:tc>
      </w:tr>
      <w:tr>
        <w:trPr>
          <w:trHeight w:val="20"/>
        </w:trPr>
        <w:tc>
          <w:tcPr>
            <w:tcW w:w="17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40" w:type="dxa"/>
            <w:vAlign w:val="bottom"/>
            <w:vMerge w:val="restart"/>
            <w:shd w:val="clear" w:color="auto" w:fill="CCEEFF"/>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80" w:type="dxa"/>
            <w:vAlign w:val="bottom"/>
            <w:shd w:val="clear" w:color="auto" w:fill="CCEEFF"/>
          </w:tcPr>
          <w:p>
            <w:pPr>
              <w:spacing w:after="0" w:line="20" w:lineRule="exact"/>
              <w:rPr>
                <w:sz w:val="1"/>
                <w:szCs w:val="1"/>
                <w:color w:val="auto"/>
              </w:rPr>
            </w:pPr>
          </w:p>
        </w:tc>
        <w:tc>
          <w:tcPr>
            <w:tcW w:w="20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16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5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780" w:type="dxa"/>
            <w:vAlign w:val="bottom"/>
            <w:vMerge w:val="continue"/>
            <w:shd w:val="clear" w:color="auto" w:fill="CCEEFF"/>
          </w:tcPr>
          <w:p>
            <w:pPr>
              <w:spacing w:after="0"/>
              <w:rPr>
                <w:sz w:val="21"/>
                <w:szCs w:val="21"/>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74,509</w:t>
            </w: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(263,862</w:t>
            </w:r>
          </w:p>
        </w:tc>
        <w:tc>
          <w:tcPr>
            <w:tcW w:w="140" w:type="dxa"/>
            <w:vAlign w:val="bottom"/>
            <w:vMerge w:val="continue"/>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(19,574</w:t>
            </w:r>
          </w:p>
        </w:tc>
        <w:tc>
          <w:tcPr>
            <w:tcW w:w="220" w:type="dxa"/>
            <w:vAlign w:val="bottom"/>
            <w:vMerge w:val="continue"/>
            <w:shd w:val="clear" w:color="auto" w:fill="CCEEFF"/>
          </w:tcPr>
          <w:p>
            <w:pPr>
              <w:spacing w:after="0"/>
              <w:rPr>
                <w:sz w:val="21"/>
                <w:szCs w:val="21"/>
                <w:color w:val="auto"/>
              </w:rPr>
            </w:pPr>
          </w:p>
        </w:tc>
        <w:tc>
          <w:tcPr>
            <w:tcW w:w="1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22</w:t>
            </w:r>
          </w:p>
        </w:tc>
        <w:tc>
          <w:tcPr>
            <w:tcW w:w="0" w:type="dxa"/>
            <w:vAlign w:val="bottom"/>
          </w:tcPr>
          <w:p>
            <w:pPr>
              <w:spacing w:after="0"/>
              <w:rPr>
                <w:sz w:val="1"/>
                <w:szCs w:val="1"/>
                <w:color w:val="auto"/>
              </w:rPr>
            </w:pPr>
          </w:p>
        </w:tc>
      </w:tr>
      <w:tr>
        <w:trPr>
          <w:trHeight w:val="20"/>
        </w:trPr>
        <w:tc>
          <w:tcPr>
            <w:tcW w:w="17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5" w:lineRule="exact"/>
        <w:rPr>
          <w:sz w:val="20"/>
          <w:szCs w:val="20"/>
          <w:color w:val="auto"/>
        </w:rPr>
      </w:pPr>
    </w:p>
    <w:p>
      <w:pPr>
        <w:ind w:left="540" w:hanging="208"/>
        <w:spacing w:after="0"/>
        <w:tabs>
          <w:tab w:leader="none" w:pos="540" w:val="left"/>
        </w:tabs>
        <w:numPr>
          <w:ilvl w:val="0"/>
          <w:numId w:val="256"/>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profit or loss under the line Loss on financial instruments, net.</w:t>
      </w:r>
    </w:p>
    <w:p>
      <w:pPr>
        <w:spacing w:after="0" w:line="211"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78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500" w:type="dxa"/>
            <w:vAlign w:val="bottom"/>
            <w:tcBorders>
              <w:bottom w:val="single" w:sz="8" w:color="auto"/>
            </w:tcBorders>
            <w:gridSpan w:val="4"/>
          </w:tcPr>
          <w:p>
            <w:pPr>
              <w:ind w:left="860"/>
              <w:spacing w:after="0"/>
              <w:rPr>
                <w:sz w:val="20"/>
                <w:szCs w:val="20"/>
                <w:color w:val="auto"/>
              </w:rPr>
            </w:pPr>
            <w:r>
              <w:rPr>
                <w:rFonts w:ascii="Arial" w:cs="Arial" w:eastAsia="Arial" w:hAnsi="Arial"/>
                <w:sz w:val="18"/>
                <w:szCs w:val="18"/>
                <w:b w:val="1"/>
                <w:bCs w:val="1"/>
                <w:color w:val="auto"/>
              </w:rPr>
              <w:t>December 31, 2019</w:t>
            </w:r>
          </w:p>
        </w:tc>
        <w:tc>
          <w:tcPr>
            <w:tcW w:w="15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7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120" w:type="dxa"/>
            <w:vAlign w:val="bottom"/>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89"/>
              </w:rPr>
              <w:t>Line in the consolidated</w:t>
            </w:r>
          </w:p>
        </w:tc>
        <w:tc>
          <w:tcPr>
            <w:tcW w:w="2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statement of financial</w:t>
            </w:r>
          </w:p>
        </w:tc>
        <w:tc>
          <w:tcPr>
            <w:tcW w:w="2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Change in the fair value</w:t>
            </w:r>
          </w:p>
        </w:tc>
        <w:tc>
          <w:tcPr>
            <w:tcW w:w="1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2820" w:type="dxa"/>
            <w:vAlign w:val="bottom"/>
            <w:gridSpan w:val="4"/>
          </w:tcPr>
          <w:p>
            <w:pPr>
              <w:jc w:val="right"/>
              <w:ind w:right="641"/>
              <w:spacing w:after="0"/>
              <w:rPr>
                <w:sz w:val="20"/>
                <w:szCs w:val="20"/>
                <w:color w:val="auto"/>
              </w:rPr>
            </w:pPr>
            <w:r>
              <w:rPr>
                <w:rFonts w:ascii="Arial" w:cs="Arial" w:eastAsia="Arial" w:hAnsi="Arial"/>
                <w:sz w:val="18"/>
                <w:szCs w:val="18"/>
                <w:b w:val="1"/>
                <w:bCs w:val="1"/>
                <w:color w:val="auto"/>
              </w:rPr>
              <w:t>Carrying amount of</w:t>
            </w:r>
          </w:p>
        </w:tc>
        <w:tc>
          <w:tcPr>
            <w:tcW w:w="80" w:type="dxa"/>
            <w:vAlign w:val="bottom"/>
          </w:tcPr>
          <w:p>
            <w:pPr>
              <w:spacing w:after="0"/>
              <w:rPr>
                <w:sz w:val="18"/>
                <w:szCs w:val="18"/>
                <w:color w:val="auto"/>
              </w:rPr>
            </w:pPr>
          </w:p>
        </w:tc>
        <w:tc>
          <w:tcPr>
            <w:tcW w:w="21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position that includes</w:t>
            </w:r>
          </w:p>
        </w:tc>
        <w:tc>
          <w:tcPr>
            <w:tcW w:w="2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of the hedged items used</w:t>
            </w:r>
          </w:p>
        </w:tc>
        <w:tc>
          <w:tcPr>
            <w:tcW w:w="1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80" w:type="dxa"/>
            <w:vAlign w:val="bottom"/>
          </w:tcPr>
          <w:p>
            <w:pPr>
              <w:spacing w:after="0"/>
              <w:rPr>
                <w:sz w:val="20"/>
                <w:szCs w:val="20"/>
                <w:color w:val="auto"/>
              </w:rPr>
            </w:pPr>
          </w:p>
        </w:tc>
        <w:tc>
          <w:tcPr>
            <w:tcW w:w="2680" w:type="dxa"/>
            <w:vAlign w:val="bottom"/>
            <w:tcBorders>
              <w:bottom w:val="single" w:sz="8" w:color="auto"/>
            </w:tcBorders>
            <w:gridSpan w:val="3"/>
          </w:tcPr>
          <w:p>
            <w:pPr>
              <w:jc w:val="right"/>
              <w:ind w:right="750"/>
              <w:spacing w:after="0"/>
              <w:rPr>
                <w:sz w:val="20"/>
                <w:szCs w:val="20"/>
                <w:color w:val="auto"/>
              </w:rPr>
            </w:pPr>
            <w:r>
              <w:rPr>
                <w:rFonts w:ascii="Arial" w:cs="Arial" w:eastAsia="Arial" w:hAnsi="Arial"/>
                <w:sz w:val="18"/>
                <w:szCs w:val="18"/>
                <w:b w:val="1"/>
                <w:bCs w:val="1"/>
                <w:color w:val="auto"/>
              </w:rPr>
              <w:t>hedged items</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the carrying amount of</w:t>
            </w:r>
          </w:p>
        </w:tc>
        <w:tc>
          <w:tcPr>
            <w:tcW w:w="2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to calculate the hedge</w:t>
            </w:r>
          </w:p>
        </w:tc>
        <w:tc>
          <w:tcPr>
            <w:tcW w:w="17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Cash flow</w:t>
            </w:r>
          </w:p>
        </w:tc>
        <w:tc>
          <w:tcPr>
            <w:tcW w:w="0" w:type="dxa"/>
            <w:vAlign w:val="bottom"/>
          </w:tcPr>
          <w:p>
            <w:pPr>
              <w:spacing w:after="0"/>
              <w:rPr>
                <w:sz w:val="1"/>
                <w:szCs w:val="1"/>
                <w:color w:val="auto"/>
              </w:rPr>
            </w:pPr>
          </w:p>
        </w:tc>
      </w:tr>
      <w:tr>
        <w:trPr>
          <w:trHeight w:val="237"/>
        </w:trPr>
        <w:tc>
          <w:tcPr>
            <w:tcW w:w="1780" w:type="dxa"/>
            <w:vAlign w:val="bottom"/>
          </w:tcPr>
          <w:p>
            <w:pPr>
              <w:spacing w:after="0"/>
              <w:rPr>
                <w:sz w:val="20"/>
                <w:szCs w:val="20"/>
                <w:color w:val="auto"/>
              </w:rPr>
            </w:pPr>
          </w:p>
        </w:tc>
        <w:tc>
          <w:tcPr>
            <w:tcW w:w="1460" w:type="dxa"/>
            <w:vAlign w:val="bottom"/>
            <w:gridSpan w:val="2"/>
          </w:tcPr>
          <w:p>
            <w:pPr>
              <w:ind w:left="420"/>
              <w:spacing w:after="0"/>
              <w:rPr>
                <w:sz w:val="20"/>
                <w:szCs w:val="20"/>
                <w:color w:val="auto"/>
              </w:rPr>
            </w:pPr>
            <w:r>
              <w:rPr>
                <w:rFonts w:ascii="Arial" w:cs="Arial" w:eastAsia="Arial" w:hAnsi="Arial"/>
                <w:sz w:val="18"/>
                <w:szCs w:val="18"/>
                <w:b w:val="1"/>
                <w:bCs w:val="1"/>
                <w:color w:val="auto"/>
              </w:rPr>
              <w:t>Asset</w:t>
            </w:r>
          </w:p>
        </w:tc>
        <w:tc>
          <w:tcPr>
            <w:tcW w:w="136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20"/>
                <w:szCs w:val="20"/>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the hedged items</w:t>
            </w:r>
          </w:p>
        </w:tc>
        <w:tc>
          <w:tcPr>
            <w:tcW w:w="2380" w:type="dxa"/>
            <w:vAlign w:val="bottom"/>
            <w:gridSpan w:val="2"/>
          </w:tcPr>
          <w:p>
            <w:pPr>
              <w:jc w:val="center"/>
              <w:ind w:right="220"/>
              <w:spacing w:after="0" w:line="236" w:lineRule="exact"/>
              <w:rPr>
                <w:sz w:val="20"/>
                <w:szCs w:val="20"/>
                <w:color w:val="auto"/>
              </w:rPr>
            </w:pPr>
            <w:r>
              <w:rPr>
                <w:rFonts w:ascii="Arial" w:cs="Arial" w:eastAsia="Arial" w:hAnsi="Arial"/>
                <w:sz w:val="17"/>
                <w:szCs w:val="17"/>
                <w:b w:val="1"/>
                <w:bCs w:val="1"/>
                <w:color w:val="auto"/>
                <w:w w:val="88"/>
              </w:rPr>
              <w:t xml:space="preserve">ineffectiveness </w:t>
            </w:r>
            <w:r>
              <w:rPr>
                <w:rFonts w:ascii="Arial" w:cs="Arial" w:eastAsia="Arial" w:hAnsi="Arial"/>
                <w:sz w:val="27"/>
                <w:szCs w:val="27"/>
                <w:b w:val="1"/>
                <w:bCs w:val="1"/>
                <w:color w:val="auto"/>
                <w:w w:val="88"/>
                <w:vertAlign w:val="superscript"/>
              </w:rPr>
              <w:t>(1)</w:t>
            </w:r>
          </w:p>
        </w:tc>
        <w:tc>
          <w:tcPr>
            <w:tcW w:w="17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hedge reserve</w:t>
            </w:r>
          </w:p>
        </w:tc>
        <w:tc>
          <w:tcPr>
            <w:tcW w:w="0" w:type="dxa"/>
            <w:vAlign w:val="bottom"/>
          </w:tcPr>
          <w:p>
            <w:pPr>
              <w:spacing w:after="0"/>
              <w:rPr>
                <w:sz w:val="1"/>
                <w:szCs w:val="1"/>
                <w:color w:val="auto"/>
              </w:rPr>
            </w:pPr>
          </w:p>
        </w:tc>
      </w:tr>
      <w:tr>
        <w:trPr>
          <w:trHeight w:val="210"/>
        </w:trPr>
        <w:tc>
          <w:tcPr>
            <w:tcW w:w="1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ind w:left="160"/>
              <w:spacing w:after="0"/>
              <w:rPr>
                <w:sz w:val="20"/>
                <w:szCs w:val="20"/>
                <w:color w:val="auto"/>
              </w:rPr>
            </w:pPr>
            <w:r>
              <w:rPr>
                <w:rFonts w:ascii="Arial" w:cs="Arial" w:eastAsia="Arial" w:hAnsi="Arial"/>
                <w:sz w:val="18"/>
                <w:szCs w:val="18"/>
                <w:color w:val="auto"/>
                <w:w w:val="96"/>
              </w:rPr>
              <w:t>Borrowings and debt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
              <w:spacing w:after="0"/>
              <w:rPr>
                <w:sz w:val="20"/>
                <w:szCs w:val="20"/>
                <w:color w:val="auto"/>
              </w:rPr>
            </w:pPr>
            <w:r>
              <w:rPr>
                <w:rFonts w:ascii="Arial" w:cs="Arial" w:eastAsia="Arial" w:hAnsi="Arial"/>
                <w:sz w:val="18"/>
                <w:szCs w:val="18"/>
                <w:color w:val="auto"/>
              </w:rPr>
              <w:t>(70,110)</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80" w:type="dxa"/>
            <w:vAlign w:val="bottom"/>
            <w:gridSpan w:val="2"/>
          </w:tcPr>
          <w:p>
            <w:pPr>
              <w:jc w:val="right"/>
              <w:ind w:right="220"/>
              <w:spacing w:after="0"/>
              <w:rPr>
                <w:sz w:val="20"/>
                <w:szCs w:val="20"/>
                <w:color w:val="auto"/>
              </w:rPr>
            </w:pPr>
            <w:r>
              <w:rPr>
                <w:rFonts w:ascii="Arial" w:cs="Arial" w:eastAsia="Arial" w:hAnsi="Arial"/>
                <w:sz w:val="18"/>
                <w:szCs w:val="18"/>
                <w:color w:val="auto"/>
              </w:rPr>
              <w:t>1,458</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1,072</w:t>
            </w:r>
          </w:p>
        </w:tc>
        <w:tc>
          <w:tcPr>
            <w:tcW w:w="0" w:type="dxa"/>
            <w:vAlign w:val="bottom"/>
          </w:tcPr>
          <w:p>
            <w:pPr>
              <w:spacing w:after="0"/>
              <w:rPr>
                <w:sz w:val="1"/>
                <w:szCs w:val="1"/>
                <w:color w:val="auto"/>
              </w:rPr>
            </w:pPr>
          </w:p>
        </w:tc>
      </w:tr>
      <w:tr>
        <w:trPr>
          <w:trHeight w:val="198"/>
        </w:trPr>
        <w:tc>
          <w:tcPr>
            <w:tcW w:w="1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w:t>
            </w: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4"/>
              </w:rPr>
              <w:t>foreign exchange risk</w:t>
            </w: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80" w:type="dxa"/>
            <w:vAlign w:val="bottom"/>
          </w:tcPr>
          <w:p>
            <w:pPr>
              <w:ind w:left="160"/>
              <w:spacing w:after="0"/>
              <w:rPr>
                <w:sz w:val="20"/>
                <w:szCs w:val="20"/>
                <w:color w:val="auto"/>
              </w:rPr>
            </w:pPr>
            <w:r>
              <w:rPr>
                <w:rFonts w:ascii="Arial" w:cs="Arial" w:eastAsia="Arial" w:hAnsi="Arial"/>
                <w:sz w:val="18"/>
                <w:szCs w:val="18"/>
                <w:color w:val="auto"/>
                <w:w w:val="96"/>
              </w:rPr>
              <w:t>Borrowings and debt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
              <w:spacing w:after="0"/>
              <w:rPr>
                <w:sz w:val="20"/>
                <w:szCs w:val="20"/>
                <w:color w:val="auto"/>
              </w:rPr>
            </w:pPr>
            <w:r>
              <w:rPr>
                <w:rFonts w:ascii="Arial" w:cs="Arial" w:eastAsia="Arial" w:hAnsi="Arial"/>
                <w:sz w:val="18"/>
                <w:szCs w:val="18"/>
                <w:color w:val="auto"/>
              </w:rPr>
              <w:t>(21,234)</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Borrowings and debt, net</w:t>
            </w:r>
          </w:p>
        </w:tc>
        <w:tc>
          <w:tcPr>
            <w:tcW w:w="2380" w:type="dxa"/>
            <w:vAlign w:val="bottom"/>
            <w:gridSpan w:val="2"/>
          </w:tcPr>
          <w:p>
            <w:pPr>
              <w:jc w:val="right"/>
              <w:ind w:right="220"/>
              <w:spacing w:after="0"/>
              <w:rPr>
                <w:sz w:val="20"/>
                <w:szCs w:val="20"/>
                <w:color w:val="auto"/>
              </w:rPr>
            </w:pPr>
            <w:r>
              <w:rPr>
                <w:rFonts w:ascii="Arial" w:cs="Arial" w:eastAsia="Arial" w:hAnsi="Arial"/>
                <w:sz w:val="18"/>
                <w:szCs w:val="18"/>
                <w:color w:val="auto"/>
              </w:rPr>
              <w:t>283</w:t>
            </w:r>
          </w:p>
        </w:tc>
        <w:tc>
          <w:tcPr>
            <w:tcW w:w="1700" w:type="dxa"/>
            <w:vAlign w:val="bottom"/>
            <w:gridSpan w:val="2"/>
          </w:tcPr>
          <w:p>
            <w:pPr>
              <w:jc w:val="right"/>
              <w:ind w:right="6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198"/>
        </w:trPr>
        <w:tc>
          <w:tcPr>
            <w:tcW w:w="1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Foreign exchange</w:t>
            </w:r>
          </w:p>
        </w:tc>
        <w:tc>
          <w:tcPr>
            <w:tcW w:w="12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5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2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780" w:type="dxa"/>
            <w:vAlign w:val="bottom"/>
          </w:tcPr>
          <w:p>
            <w:pPr>
              <w:ind w:left="160"/>
              <w:spacing w:after="0"/>
              <w:rPr>
                <w:sz w:val="20"/>
                <w:szCs w:val="20"/>
                <w:color w:val="auto"/>
              </w:rPr>
            </w:pPr>
            <w:r>
              <w:rPr>
                <w:rFonts w:ascii="Arial" w:cs="Arial" w:eastAsia="Arial" w:hAnsi="Arial"/>
                <w:sz w:val="18"/>
                <w:szCs w:val="18"/>
                <w:color w:val="auto"/>
              </w:rPr>
              <w:t>Loans</w:t>
            </w:r>
          </w:p>
        </w:tc>
        <w:tc>
          <w:tcPr>
            <w:tcW w:w="1240" w:type="dxa"/>
            <w:vAlign w:val="bottom"/>
          </w:tcPr>
          <w:p>
            <w:pPr>
              <w:jc w:val="right"/>
              <w:spacing w:after="0"/>
              <w:rPr>
                <w:sz w:val="20"/>
                <w:szCs w:val="20"/>
                <w:color w:val="auto"/>
              </w:rPr>
            </w:pPr>
            <w:r>
              <w:rPr>
                <w:rFonts w:ascii="Arial" w:cs="Arial" w:eastAsia="Arial" w:hAnsi="Arial"/>
                <w:sz w:val="18"/>
                <w:szCs w:val="18"/>
                <w:color w:val="auto"/>
              </w:rPr>
              <w:t>73,861</w:t>
            </w:r>
          </w:p>
        </w:tc>
        <w:tc>
          <w:tcPr>
            <w:tcW w:w="220" w:type="dxa"/>
            <w:vAlign w:val="bottom"/>
          </w:tcPr>
          <w:p>
            <w:pPr>
              <w:spacing w:after="0"/>
              <w:rPr>
                <w:sz w:val="19"/>
                <w:szCs w:val="19"/>
                <w:color w:val="auto"/>
              </w:rPr>
            </w:pPr>
          </w:p>
        </w:tc>
        <w:tc>
          <w:tcPr>
            <w:tcW w:w="136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200" w:type="dxa"/>
            <w:vAlign w:val="bottom"/>
            <w:gridSpan w:val="3"/>
          </w:tcPr>
          <w:p>
            <w:pPr>
              <w:ind w:left="80"/>
              <w:spacing w:after="0"/>
              <w:rPr>
                <w:sz w:val="20"/>
                <w:szCs w:val="20"/>
                <w:color w:val="auto"/>
              </w:rPr>
            </w:pPr>
            <w:r>
              <w:rPr>
                <w:rFonts w:ascii="Arial" w:cs="Arial" w:eastAsia="Arial" w:hAnsi="Arial"/>
                <w:sz w:val="18"/>
                <w:szCs w:val="18"/>
                <w:color w:val="auto"/>
              </w:rPr>
              <w:t>Loans, net</w:t>
            </w:r>
          </w:p>
        </w:tc>
        <w:tc>
          <w:tcPr>
            <w:tcW w:w="2380" w:type="dxa"/>
            <w:vAlign w:val="bottom"/>
            <w:gridSpan w:val="2"/>
          </w:tcPr>
          <w:p>
            <w:pPr>
              <w:jc w:val="right"/>
              <w:ind w:right="220"/>
              <w:spacing w:after="0"/>
              <w:rPr>
                <w:sz w:val="20"/>
                <w:szCs w:val="20"/>
                <w:color w:val="auto"/>
              </w:rPr>
            </w:pPr>
            <w:r>
              <w:rPr>
                <w:rFonts w:ascii="Arial" w:cs="Arial" w:eastAsia="Arial" w:hAnsi="Arial"/>
                <w:sz w:val="18"/>
                <w:szCs w:val="18"/>
                <w:color w:val="auto"/>
              </w:rPr>
              <w:t>2,344</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263</w:t>
            </w:r>
          </w:p>
        </w:tc>
        <w:tc>
          <w:tcPr>
            <w:tcW w:w="0" w:type="dxa"/>
            <w:vAlign w:val="bottom"/>
          </w:tcPr>
          <w:p>
            <w:pPr>
              <w:spacing w:after="0"/>
              <w:rPr>
                <w:sz w:val="1"/>
                <w:szCs w:val="1"/>
                <w:color w:val="auto"/>
              </w:rPr>
            </w:pPr>
          </w:p>
        </w:tc>
      </w:tr>
      <w:tr>
        <w:trPr>
          <w:trHeight w:val="20"/>
        </w:trPr>
        <w:tc>
          <w:tcPr>
            <w:tcW w:w="17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40" w:type="dxa"/>
            <w:vAlign w:val="bottom"/>
            <w:vMerge w:val="restart"/>
            <w:shd w:val="clear" w:color="auto" w:fill="CCEEFF"/>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80" w:type="dxa"/>
            <w:vAlign w:val="bottom"/>
            <w:shd w:val="clear" w:color="auto" w:fill="CCEEFF"/>
          </w:tcPr>
          <w:p>
            <w:pPr>
              <w:spacing w:after="0" w:line="20" w:lineRule="exact"/>
              <w:rPr>
                <w:sz w:val="1"/>
                <w:szCs w:val="1"/>
                <w:color w:val="auto"/>
              </w:rPr>
            </w:pPr>
          </w:p>
        </w:tc>
        <w:tc>
          <w:tcPr>
            <w:tcW w:w="20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1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5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780" w:type="dxa"/>
            <w:vAlign w:val="bottom"/>
            <w:vMerge w:val="continue"/>
            <w:shd w:val="clear" w:color="auto" w:fill="CCEEFF"/>
          </w:tcPr>
          <w:p>
            <w:pPr>
              <w:spacing w:after="0"/>
              <w:rPr>
                <w:sz w:val="21"/>
                <w:szCs w:val="21"/>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73,861</w:t>
            </w:r>
          </w:p>
        </w:tc>
        <w:tc>
          <w:tcPr>
            <w:tcW w:w="220" w:type="dxa"/>
            <w:vAlign w:val="bottom"/>
            <w:shd w:val="clear" w:color="auto" w:fill="CCEEFF"/>
          </w:tcPr>
          <w:p>
            <w:pPr>
              <w:spacing w:after="0"/>
              <w:rPr>
                <w:sz w:val="21"/>
                <w:szCs w:val="21"/>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(91,344</w:t>
            </w:r>
          </w:p>
        </w:tc>
        <w:tc>
          <w:tcPr>
            <w:tcW w:w="140" w:type="dxa"/>
            <w:vAlign w:val="bottom"/>
            <w:vMerge w:val="continue"/>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4,085</w:t>
            </w:r>
          </w:p>
        </w:tc>
        <w:tc>
          <w:tcPr>
            <w:tcW w:w="220" w:type="dxa"/>
            <w:vAlign w:val="bottom"/>
            <w:shd w:val="clear" w:color="auto" w:fill="CCEEFF"/>
          </w:tcPr>
          <w:p>
            <w:pPr>
              <w:spacing w:after="0"/>
              <w:rPr>
                <w:sz w:val="21"/>
                <w:szCs w:val="21"/>
                <w:color w:val="auto"/>
              </w:rPr>
            </w:pPr>
          </w:p>
        </w:tc>
        <w:tc>
          <w:tcPr>
            <w:tcW w:w="17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1,330</w:t>
            </w:r>
          </w:p>
        </w:tc>
        <w:tc>
          <w:tcPr>
            <w:tcW w:w="0" w:type="dxa"/>
            <w:vAlign w:val="bottom"/>
          </w:tcPr>
          <w:p>
            <w:pPr>
              <w:spacing w:after="0"/>
              <w:rPr>
                <w:sz w:val="1"/>
                <w:szCs w:val="1"/>
                <w:color w:val="auto"/>
              </w:rPr>
            </w:pPr>
          </w:p>
        </w:tc>
      </w:tr>
      <w:tr>
        <w:trPr>
          <w:trHeight w:val="20"/>
        </w:trPr>
        <w:tc>
          <w:tcPr>
            <w:tcW w:w="17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5460" w:right="3200" w:hanging="5128"/>
        <w:spacing w:after="0" w:line="473" w:lineRule="auto"/>
        <w:tabs>
          <w:tab w:leader="none" w:pos="550" w:val="left"/>
        </w:tabs>
        <w:numPr>
          <w:ilvl w:val="0"/>
          <w:numId w:val="257"/>
        </w:numPr>
        <w:rPr>
          <w:rFonts w:ascii="Arial" w:cs="Arial" w:eastAsia="Arial" w:hAnsi="Arial"/>
          <w:sz w:val="26"/>
          <w:szCs w:val="26"/>
          <w:color w:val="auto"/>
          <w:vertAlign w:val="superscript"/>
        </w:rPr>
      </w:pPr>
      <w:r>
        <w:rPr>
          <w:rFonts w:ascii="Arial" w:cs="Arial" w:eastAsia="Arial" w:hAnsi="Arial"/>
          <w:sz w:val="16"/>
          <w:szCs w:val="16"/>
          <w:color w:val="auto"/>
        </w:rPr>
        <w:t>Included in the consolidated statement of profit or loss under the line Loss on financial instruments, net. 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-174625</wp:posOffset>
            </wp:positionV>
            <wp:extent cx="7132320" cy="8255"/>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sectPr>
      </w:pPr>
    </w:p>
    <w:bookmarkStart w:id="227" w:name="page228"/>
    <w:bookmarkEnd w:id="2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Cash flow hedge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details the maturity of the derivative instruments used in cash flow hedges:</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6"/>
          <w:szCs w:val="16"/>
          <w:b w:val="1"/>
          <w:bCs w:val="1"/>
          <w:color w:val="auto"/>
        </w:rPr>
        <w:t>Cash flow hedge</w:t>
      </w:r>
    </w:p>
    <w:p>
      <w:pPr>
        <w:spacing w:after="0" w:line="4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More than 5 years</w:t>
      </w:r>
    </w:p>
    <w:p>
      <w:pPr>
        <w:spacing w:after="0" w:line="58"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6"/>
          <w:szCs w:val="16"/>
          <w:b w:val="1"/>
          <w:bCs w:val="1"/>
          <w:color w:val="auto"/>
        </w:rPr>
        <w:t>Cash flow hedge</w:t>
      </w:r>
    </w:p>
    <w:p>
      <w:pPr>
        <w:spacing w:after="0" w:line="4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1 to 2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58"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305" w:lineRule="exact"/>
        <w:rPr>
          <w:sz w:val="20"/>
          <w:szCs w:val="20"/>
          <w:color w:val="auto"/>
        </w:rPr>
      </w:pPr>
    </w:p>
    <w:p>
      <w:pPr>
        <w:ind w:left="340"/>
        <w:spacing w:after="0"/>
        <w:rPr>
          <w:sz w:val="20"/>
          <w:szCs w:val="20"/>
          <w:color w:val="auto"/>
        </w:rPr>
      </w:pPr>
      <w:r>
        <w:rPr>
          <w:rFonts w:ascii="Arial" w:cs="Arial" w:eastAsia="Arial" w:hAnsi="Arial"/>
          <w:sz w:val="17"/>
          <w:szCs w:val="17"/>
          <w:b w:val="1"/>
          <w:bCs w:val="1"/>
          <w:color w:val="auto"/>
        </w:rPr>
        <w:t>C. Net investment hedge</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ind w:left="206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90"/>
              </w:rPr>
              <w:t>Foreign</w:t>
            </w:r>
          </w:p>
        </w:tc>
        <w:tc>
          <w:tcPr>
            <w:tcW w:w="1280" w:type="dxa"/>
            <w:vAlign w:val="bottom"/>
            <w:tcBorders>
              <w:top w:val="single" w:sz="8" w:color="auto"/>
            </w:tcBorders>
          </w:tcPr>
          <w:p>
            <w:pPr>
              <w:spacing w:after="0"/>
              <w:rPr>
                <w:sz w:val="16"/>
                <w:szCs w:val="16"/>
                <w:color w:val="auto"/>
              </w:rPr>
            </w:pPr>
          </w:p>
        </w:tc>
      </w:tr>
      <w:tr>
        <w:trPr>
          <w:trHeight w:val="216"/>
        </w:trPr>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exchange and</w:t>
            </w:r>
          </w:p>
        </w:tc>
        <w:tc>
          <w:tcPr>
            <w:tcW w:w="1280" w:type="dxa"/>
            <w:vAlign w:val="bottom"/>
          </w:tcPr>
          <w:p>
            <w:pPr>
              <w:spacing w:after="0"/>
              <w:rPr>
                <w:sz w:val="18"/>
                <w:szCs w:val="18"/>
                <w:color w:val="auto"/>
              </w:rPr>
            </w:pPr>
          </w:p>
        </w:tc>
      </w:tr>
      <w:tr>
        <w:trPr>
          <w:trHeight w:val="216"/>
        </w:trPr>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Foreign</w:t>
            </w:r>
          </w:p>
        </w:tc>
        <w:tc>
          <w:tcPr>
            <w:tcW w:w="1420" w:type="dxa"/>
            <w:vAlign w:val="bottom"/>
            <w:gridSpan w:val="2"/>
          </w:tcPr>
          <w:p>
            <w:pPr>
              <w:ind w:left="100"/>
              <w:spacing w:after="0"/>
              <w:rPr>
                <w:sz w:val="20"/>
                <w:szCs w:val="20"/>
                <w:color w:val="auto"/>
              </w:rPr>
            </w:pPr>
            <w:r>
              <w:rPr>
                <w:rFonts w:ascii="Arial" w:cs="Arial" w:eastAsia="Arial" w:hAnsi="Arial"/>
                <w:sz w:val="18"/>
                <w:szCs w:val="18"/>
                <w:b w:val="1"/>
                <w:bCs w:val="1"/>
                <w:color w:val="auto"/>
              </w:rPr>
              <w:t>Interest rate</w:t>
            </w:r>
          </w:p>
        </w:tc>
        <w:tc>
          <w:tcPr>
            <w:tcW w:w="14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interest</w:t>
            </w:r>
          </w:p>
        </w:tc>
        <w:tc>
          <w:tcPr>
            <w:tcW w:w="1280" w:type="dxa"/>
            <w:vAlign w:val="bottom"/>
          </w:tcPr>
          <w:p>
            <w:pPr>
              <w:spacing w:after="0"/>
              <w:rPr>
                <w:sz w:val="18"/>
                <w:szCs w:val="18"/>
                <w:color w:val="auto"/>
              </w:rPr>
            </w:pPr>
          </w:p>
        </w:tc>
      </w:tr>
      <w:tr>
        <w:trPr>
          <w:trHeight w:val="234"/>
        </w:trPr>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exchange risk</w:t>
            </w:r>
          </w:p>
        </w:tc>
        <w:tc>
          <w:tcPr>
            <w:tcW w:w="1420" w:type="dxa"/>
            <w:vAlign w:val="bottom"/>
            <w:gridSpan w:val="2"/>
          </w:tcPr>
          <w:p>
            <w:pPr>
              <w:ind w:left="380"/>
              <w:spacing w:after="0"/>
              <w:rPr>
                <w:sz w:val="20"/>
                <w:szCs w:val="20"/>
                <w:color w:val="auto"/>
              </w:rPr>
            </w:pPr>
            <w:r>
              <w:rPr>
                <w:rFonts w:ascii="Arial" w:cs="Arial" w:eastAsia="Arial" w:hAnsi="Arial"/>
                <w:sz w:val="18"/>
                <w:szCs w:val="18"/>
                <w:b w:val="1"/>
                <w:bCs w:val="1"/>
                <w:color w:val="auto"/>
              </w:rPr>
              <w:t>swaps</w:t>
            </w:r>
          </w:p>
        </w:tc>
        <w:tc>
          <w:tcPr>
            <w:tcW w:w="1480" w:type="dxa"/>
            <w:vAlign w:val="bottom"/>
            <w:gridSpan w:val="2"/>
          </w:tcPr>
          <w:p>
            <w:pPr>
              <w:ind w:left="260"/>
              <w:spacing w:after="0"/>
              <w:rPr>
                <w:sz w:val="20"/>
                <w:szCs w:val="20"/>
                <w:color w:val="auto"/>
              </w:rPr>
            </w:pPr>
            <w:r>
              <w:rPr>
                <w:rFonts w:ascii="Arial" w:cs="Arial" w:eastAsia="Arial" w:hAnsi="Arial"/>
                <w:sz w:val="18"/>
                <w:szCs w:val="18"/>
                <w:b w:val="1"/>
                <w:bCs w:val="1"/>
                <w:color w:val="auto"/>
              </w:rPr>
              <w:t>rate risks</w:t>
            </w:r>
          </w:p>
        </w:tc>
        <w:tc>
          <w:tcPr>
            <w:tcW w:w="1280" w:type="dxa"/>
            <w:vAlign w:val="bottom"/>
          </w:tcPr>
          <w:p>
            <w:pPr>
              <w:jc w:val="right"/>
              <w:ind w:right="370"/>
              <w:spacing w:after="0"/>
              <w:rPr>
                <w:sz w:val="20"/>
                <w:szCs w:val="20"/>
                <w:color w:val="auto"/>
              </w:rPr>
            </w:pPr>
            <w:r>
              <w:rPr>
                <w:rFonts w:ascii="Arial" w:cs="Arial" w:eastAsia="Arial" w:hAnsi="Arial"/>
                <w:sz w:val="18"/>
                <w:szCs w:val="18"/>
                <w:b w:val="1"/>
                <w:bCs w:val="1"/>
                <w:color w:val="auto"/>
              </w:rPr>
              <w:t>Total</w:t>
            </w:r>
          </w:p>
        </w:tc>
      </w:tr>
      <w:tr>
        <w:trPr>
          <w:trHeight w:val="411"/>
        </w:trPr>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71,353</w:t>
            </w:r>
          </w:p>
        </w:tc>
        <w:tc>
          <w:tcPr>
            <w:tcW w:w="180" w:type="dxa"/>
            <w:vAlign w:val="bottom"/>
          </w:tcPr>
          <w:p>
            <w:pPr>
              <w:spacing w:after="0"/>
              <w:rPr>
                <w:sz w:val="24"/>
                <w:szCs w:val="24"/>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40,000</w:t>
            </w:r>
          </w:p>
        </w:tc>
        <w:tc>
          <w:tcPr>
            <w:tcW w:w="200" w:type="dxa"/>
            <w:vAlign w:val="bottom"/>
          </w:tcPr>
          <w:p>
            <w:pPr>
              <w:spacing w:after="0"/>
              <w:rPr>
                <w:sz w:val="24"/>
                <w:szCs w:val="24"/>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111,353</w:t>
            </w:r>
          </w:p>
        </w:tc>
      </w:tr>
      <w:tr>
        <w:trPr>
          <w:trHeight w:val="229"/>
        </w:trPr>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20,000</w:t>
            </w:r>
          </w:p>
        </w:tc>
        <w:tc>
          <w:tcPr>
            <w:tcW w:w="20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197,854</w:t>
            </w:r>
          </w:p>
        </w:tc>
        <w:tc>
          <w:tcPr>
            <w:tcW w:w="22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217,854</w:t>
            </w:r>
          </w:p>
        </w:tc>
      </w:tr>
      <w:tr>
        <w:trPr>
          <w:trHeight w:val="230"/>
        </w:trPr>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23,654</w:t>
            </w:r>
          </w:p>
        </w:tc>
        <w:tc>
          <w:tcPr>
            <w:tcW w:w="220" w:type="dxa"/>
            <w:vAlign w:val="bottom"/>
          </w:tcPr>
          <w:p>
            <w:pPr>
              <w:spacing w:after="0"/>
              <w:rPr>
                <w:sz w:val="20"/>
                <w:szCs w:val="20"/>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23,654</w:t>
            </w:r>
          </w:p>
        </w:tc>
      </w:tr>
      <w:tr>
        <w:trPr>
          <w:trHeight w:val="250"/>
        </w:trPr>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71,353</w:t>
            </w:r>
          </w:p>
        </w:tc>
        <w:tc>
          <w:tcPr>
            <w:tcW w:w="180" w:type="dxa"/>
            <w:vAlign w:val="bottom"/>
          </w:tcPr>
          <w:p>
            <w:pPr>
              <w:spacing w:after="0"/>
              <w:rPr>
                <w:sz w:val="21"/>
                <w:szCs w:val="21"/>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60,000</w:t>
            </w:r>
          </w:p>
        </w:tc>
        <w:tc>
          <w:tcPr>
            <w:tcW w:w="200" w:type="dxa"/>
            <w:vAlign w:val="bottom"/>
          </w:tcPr>
          <w:p>
            <w:pPr>
              <w:spacing w:after="0"/>
              <w:rPr>
                <w:sz w:val="21"/>
                <w:szCs w:val="21"/>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221,508</w:t>
            </w:r>
          </w:p>
        </w:tc>
        <w:tc>
          <w:tcPr>
            <w:tcW w:w="220" w:type="dxa"/>
            <w:vAlign w:val="bottom"/>
          </w:tcPr>
          <w:p>
            <w:pPr>
              <w:spacing w:after="0"/>
              <w:rPr>
                <w:sz w:val="21"/>
                <w:szCs w:val="21"/>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352,861</w:t>
            </w: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r>
        <w:trPr>
          <w:trHeight w:val="426"/>
        </w:trPr>
        <w:tc>
          <w:tcPr>
            <w:tcW w:w="1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2019</w:t>
            </w:r>
          </w:p>
        </w:tc>
        <w:tc>
          <w:tcPr>
            <w:tcW w:w="1280" w:type="dxa"/>
            <w:vAlign w:val="bottom"/>
            <w:tcBorders>
              <w:bottom w:val="single" w:sz="8" w:color="auto"/>
            </w:tcBorders>
          </w:tcPr>
          <w:p>
            <w:pPr>
              <w:spacing w:after="0"/>
              <w:rPr>
                <w:sz w:val="24"/>
                <w:szCs w:val="24"/>
                <w:color w:val="auto"/>
              </w:rPr>
            </w:pPr>
          </w:p>
        </w:tc>
      </w:tr>
      <w:tr>
        <w:trPr>
          <w:trHeight w:val="191"/>
        </w:trPr>
        <w:tc>
          <w:tcPr>
            <w:tcW w:w="1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8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90"/>
              </w:rPr>
              <w:t>Foreign</w:t>
            </w:r>
          </w:p>
        </w:tc>
        <w:tc>
          <w:tcPr>
            <w:tcW w:w="1280" w:type="dxa"/>
            <w:vAlign w:val="bottom"/>
          </w:tcPr>
          <w:p>
            <w:pPr>
              <w:spacing w:after="0"/>
              <w:rPr>
                <w:sz w:val="16"/>
                <w:szCs w:val="16"/>
                <w:color w:val="auto"/>
              </w:rPr>
            </w:pPr>
          </w:p>
        </w:tc>
      </w:tr>
      <w:tr>
        <w:trPr>
          <w:trHeight w:val="216"/>
        </w:trPr>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8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6"/>
              </w:rPr>
              <w:t>exchange and</w:t>
            </w:r>
          </w:p>
        </w:tc>
        <w:tc>
          <w:tcPr>
            <w:tcW w:w="1280" w:type="dxa"/>
            <w:vAlign w:val="bottom"/>
          </w:tcPr>
          <w:p>
            <w:pPr>
              <w:spacing w:after="0"/>
              <w:rPr>
                <w:sz w:val="18"/>
                <w:szCs w:val="18"/>
                <w:color w:val="auto"/>
              </w:rPr>
            </w:pPr>
          </w:p>
        </w:tc>
      </w:tr>
      <w:tr>
        <w:trPr>
          <w:trHeight w:val="216"/>
        </w:trPr>
        <w:tc>
          <w:tcPr>
            <w:tcW w:w="1420" w:type="dxa"/>
            <w:vAlign w:val="bottom"/>
            <w:gridSpan w:val="2"/>
          </w:tcPr>
          <w:p>
            <w:pPr>
              <w:ind w:left="280"/>
              <w:spacing w:after="0"/>
              <w:rPr>
                <w:sz w:val="20"/>
                <w:szCs w:val="20"/>
                <w:color w:val="auto"/>
              </w:rPr>
            </w:pPr>
            <w:r>
              <w:rPr>
                <w:rFonts w:ascii="Arial" w:cs="Arial" w:eastAsia="Arial" w:hAnsi="Arial"/>
                <w:sz w:val="18"/>
                <w:szCs w:val="18"/>
                <w:b w:val="1"/>
                <w:bCs w:val="1"/>
                <w:color w:val="auto"/>
              </w:rPr>
              <w:t>Foreign</w:t>
            </w:r>
          </w:p>
        </w:tc>
        <w:tc>
          <w:tcPr>
            <w:tcW w:w="1420" w:type="dxa"/>
            <w:vAlign w:val="bottom"/>
            <w:gridSpan w:val="2"/>
          </w:tcPr>
          <w:p>
            <w:pPr>
              <w:ind w:left="100"/>
              <w:spacing w:after="0"/>
              <w:rPr>
                <w:sz w:val="20"/>
                <w:szCs w:val="20"/>
                <w:color w:val="auto"/>
              </w:rPr>
            </w:pPr>
            <w:r>
              <w:rPr>
                <w:rFonts w:ascii="Arial" w:cs="Arial" w:eastAsia="Arial" w:hAnsi="Arial"/>
                <w:sz w:val="18"/>
                <w:szCs w:val="18"/>
                <w:b w:val="1"/>
                <w:bCs w:val="1"/>
                <w:color w:val="auto"/>
              </w:rPr>
              <w:t>Interest rate</w:t>
            </w:r>
          </w:p>
        </w:tc>
        <w:tc>
          <w:tcPr>
            <w:tcW w:w="14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interest</w:t>
            </w:r>
          </w:p>
        </w:tc>
        <w:tc>
          <w:tcPr>
            <w:tcW w:w="1280" w:type="dxa"/>
            <w:vAlign w:val="bottom"/>
          </w:tcPr>
          <w:p>
            <w:pPr>
              <w:spacing w:after="0"/>
              <w:rPr>
                <w:sz w:val="18"/>
                <w:szCs w:val="18"/>
                <w:color w:val="auto"/>
              </w:rPr>
            </w:pPr>
          </w:p>
        </w:tc>
      </w:tr>
      <w:tr>
        <w:trPr>
          <w:trHeight w:val="234"/>
        </w:trPr>
        <w:tc>
          <w:tcPr>
            <w:tcW w:w="1420" w:type="dxa"/>
            <w:vAlign w:val="bottom"/>
            <w:gridSpan w:val="2"/>
          </w:tcPr>
          <w:p>
            <w:pPr>
              <w:ind w:left="80"/>
              <w:spacing w:after="0"/>
              <w:rPr>
                <w:sz w:val="20"/>
                <w:szCs w:val="20"/>
                <w:color w:val="auto"/>
              </w:rPr>
            </w:pPr>
            <w:r>
              <w:rPr>
                <w:rFonts w:ascii="Arial" w:cs="Arial" w:eastAsia="Arial" w:hAnsi="Arial"/>
                <w:sz w:val="18"/>
                <w:szCs w:val="18"/>
                <w:b w:val="1"/>
                <w:bCs w:val="1"/>
                <w:color w:val="auto"/>
              </w:rPr>
              <w:t>exchange risk</w:t>
            </w:r>
          </w:p>
        </w:tc>
        <w:tc>
          <w:tcPr>
            <w:tcW w:w="1420" w:type="dxa"/>
            <w:vAlign w:val="bottom"/>
            <w:gridSpan w:val="2"/>
          </w:tcPr>
          <w:p>
            <w:pPr>
              <w:ind w:left="380"/>
              <w:spacing w:after="0"/>
              <w:rPr>
                <w:sz w:val="20"/>
                <w:szCs w:val="20"/>
                <w:color w:val="auto"/>
              </w:rPr>
            </w:pPr>
            <w:r>
              <w:rPr>
                <w:rFonts w:ascii="Arial" w:cs="Arial" w:eastAsia="Arial" w:hAnsi="Arial"/>
                <w:sz w:val="18"/>
                <w:szCs w:val="18"/>
                <w:b w:val="1"/>
                <w:bCs w:val="1"/>
                <w:color w:val="auto"/>
              </w:rPr>
              <w:t>swaps</w:t>
            </w:r>
          </w:p>
        </w:tc>
        <w:tc>
          <w:tcPr>
            <w:tcW w:w="1480" w:type="dxa"/>
            <w:vAlign w:val="bottom"/>
            <w:gridSpan w:val="2"/>
          </w:tcPr>
          <w:p>
            <w:pPr>
              <w:ind w:left="260"/>
              <w:spacing w:after="0"/>
              <w:rPr>
                <w:sz w:val="20"/>
                <w:szCs w:val="20"/>
                <w:color w:val="auto"/>
              </w:rPr>
            </w:pPr>
            <w:r>
              <w:rPr>
                <w:rFonts w:ascii="Arial" w:cs="Arial" w:eastAsia="Arial" w:hAnsi="Arial"/>
                <w:sz w:val="18"/>
                <w:szCs w:val="18"/>
                <w:b w:val="1"/>
                <w:bCs w:val="1"/>
                <w:color w:val="auto"/>
              </w:rPr>
              <w:t>rate risks</w:t>
            </w:r>
          </w:p>
        </w:tc>
        <w:tc>
          <w:tcPr>
            <w:tcW w:w="1280" w:type="dxa"/>
            <w:vAlign w:val="bottom"/>
          </w:tcPr>
          <w:p>
            <w:pPr>
              <w:jc w:val="right"/>
              <w:ind w:right="370"/>
              <w:spacing w:after="0"/>
              <w:rPr>
                <w:sz w:val="20"/>
                <w:szCs w:val="20"/>
                <w:color w:val="auto"/>
              </w:rPr>
            </w:pPr>
            <w:r>
              <w:rPr>
                <w:rFonts w:ascii="Arial" w:cs="Arial" w:eastAsia="Arial" w:hAnsi="Arial"/>
                <w:sz w:val="18"/>
                <w:szCs w:val="18"/>
                <w:b w:val="1"/>
                <w:bCs w:val="1"/>
                <w:color w:val="auto"/>
              </w:rPr>
              <w:t>Total</w:t>
            </w:r>
          </w:p>
        </w:tc>
      </w:tr>
      <w:tr>
        <w:trPr>
          <w:trHeight w:val="411"/>
        </w:trPr>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72,391</w:t>
            </w:r>
          </w:p>
        </w:tc>
        <w:tc>
          <w:tcPr>
            <w:tcW w:w="180" w:type="dxa"/>
            <w:vAlign w:val="bottom"/>
          </w:tcPr>
          <w:p>
            <w:pPr>
              <w:spacing w:after="0"/>
              <w:rPr>
                <w:sz w:val="24"/>
                <w:szCs w:val="24"/>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63,000</w:t>
            </w:r>
          </w:p>
        </w:tc>
        <w:tc>
          <w:tcPr>
            <w:tcW w:w="200" w:type="dxa"/>
            <w:vAlign w:val="bottom"/>
          </w:tcPr>
          <w:p>
            <w:pPr>
              <w:spacing w:after="0"/>
              <w:rPr>
                <w:sz w:val="24"/>
                <w:szCs w:val="24"/>
                <w:color w:val="auto"/>
              </w:rPr>
            </w:pPr>
          </w:p>
        </w:tc>
        <w:tc>
          <w:tcPr>
            <w:tcW w:w="12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23,025</w:t>
            </w:r>
          </w:p>
        </w:tc>
        <w:tc>
          <w:tcPr>
            <w:tcW w:w="220" w:type="dxa"/>
            <w:vAlign w:val="bottom"/>
          </w:tcPr>
          <w:p>
            <w:pPr>
              <w:spacing w:after="0"/>
              <w:rPr>
                <w:sz w:val="24"/>
                <w:szCs w:val="24"/>
                <w:color w:val="auto"/>
              </w:rPr>
            </w:pP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158,416</w:t>
            </w:r>
          </w:p>
        </w:tc>
      </w:tr>
      <w:tr>
        <w:trPr>
          <w:trHeight w:val="230"/>
        </w:trPr>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40,000</w:t>
            </w:r>
          </w:p>
        </w:tc>
        <w:tc>
          <w:tcPr>
            <w:tcW w:w="20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40,000</w:t>
            </w:r>
          </w:p>
        </w:tc>
      </w:tr>
      <w:tr>
        <w:trPr>
          <w:trHeight w:val="230"/>
        </w:trPr>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r>
      <w:tr>
        <w:trPr>
          <w:trHeight w:val="250"/>
        </w:trPr>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72,391</w:t>
            </w:r>
          </w:p>
        </w:tc>
        <w:tc>
          <w:tcPr>
            <w:tcW w:w="180" w:type="dxa"/>
            <w:vAlign w:val="bottom"/>
          </w:tcPr>
          <w:p>
            <w:pPr>
              <w:spacing w:after="0"/>
              <w:rPr>
                <w:sz w:val="21"/>
                <w:szCs w:val="21"/>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123,000</w:t>
            </w:r>
          </w:p>
        </w:tc>
        <w:tc>
          <w:tcPr>
            <w:tcW w:w="200" w:type="dxa"/>
            <w:vAlign w:val="bottom"/>
          </w:tcPr>
          <w:p>
            <w:pPr>
              <w:spacing w:after="0"/>
              <w:rPr>
                <w:sz w:val="21"/>
                <w:szCs w:val="21"/>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23,025</w:t>
            </w:r>
          </w:p>
        </w:tc>
        <w:tc>
          <w:tcPr>
            <w:tcW w:w="220" w:type="dxa"/>
            <w:vAlign w:val="bottom"/>
          </w:tcPr>
          <w:p>
            <w:pPr>
              <w:spacing w:after="0"/>
              <w:rPr>
                <w:sz w:val="21"/>
                <w:szCs w:val="21"/>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218,416</w:t>
            </w: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-2080895</wp:posOffset>
            </wp:positionH>
            <wp:positionV relativeFrom="paragraph">
              <wp:posOffset>-2082165</wp:posOffset>
            </wp:positionV>
            <wp:extent cx="5700395" cy="13716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8">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-2080895</wp:posOffset>
            </wp:positionH>
            <wp:positionV relativeFrom="paragraph">
              <wp:posOffset>-1799590</wp:posOffset>
            </wp:positionV>
            <wp:extent cx="5700395" cy="18034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9">
                      <a:extLst>
                        <a:ext uri="{28A0092B-C50C-407E-A947-70E740481C1C}"/>
                      </a:extLst>
                    </a:blip>
                    <a:srcRect/>
                    <a:stretch>
                      <a:fillRect/>
                    </a:stretch>
                  </pic:blipFill>
                  <pic:spPr bwMode="auto">
                    <a:xfrm>
                      <a:off x="0" y="0"/>
                      <a:ext cx="5700395" cy="180340"/>
                    </a:xfrm>
                    <a:prstGeom prst="rect">
                      <a:avLst/>
                    </a:prstGeom>
                    <a:noFill/>
                  </pic:spPr>
                </pic:pic>
              </a:graphicData>
            </a:graphic>
          </wp:anchor>
        </w:drawing>
        <w:drawing>
          <wp:anchor simplePos="0" relativeHeight="251657728" behindDoc="1" locked="0" layoutInCell="0" allowOverlap="1">
            <wp:simplePos x="0" y="0"/>
            <wp:positionH relativeFrom="column">
              <wp:posOffset>-2080895</wp:posOffset>
            </wp:positionH>
            <wp:positionV relativeFrom="paragraph">
              <wp:posOffset>-2365375</wp:posOffset>
            </wp:positionV>
            <wp:extent cx="5700395" cy="14605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0">
                      <a:extLst>
                        <a:ext uri="{28A0092B-C50C-407E-A947-70E740481C1C}"/>
                      </a:extLst>
                    </a:blip>
                    <a:srcRect/>
                    <a:stretch>
                      <a:fillRect/>
                    </a:stretch>
                  </pic:blipFill>
                  <pic:spPr bwMode="auto">
                    <a:xfrm>
                      <a:off x="0" y="0"/>
                      <a:ext cx="5700395" cy="146050"/>
                    </a:xfrm>
                    <a:prstGeom prst="rect">
                      <a:avLst/>
                    </a:prstGeom>
                    <a:noFill/>
                  </pic:spPr>
                </pic:pic>
              </a:graphicData>
            </a:graphic>
          </wp:anchor>
        </w:drawing>
        <w:drawing>
          <wp:anchor simplePos="0" relativeHeight="251657728" behindDoc="1" locked="0" layoutInCell="0" allowOverlap="1">
            <wp:simplePos x="0" y="0"/>
            <wp:positionH relativeFrom="column">
              <wp:posOffset>-2080895</wp:posOffset>
            </wp:positionH>
            <wp:positionV relativeFrom="paragraph">
              <wp:posOffset>-479425</wp:posOffset>
            </wp:positionV>
            <wp:extent cx="5700395" cy="13716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1">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-2080895</wp:posOffset>
            </wp:positionH>
            <wp:positionV relativeFrom="paragraph">
              <wp:posOffset>-196215</wp:posOffset>
            </wp:positionV>
            <wp:extent cx="5700395" cy="18034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2">
                      <a:extLst>
                        <a:ext uri="{28A0092B-C50C-407E-A947-70E740481C1C}"/>
                      </a:extLst>
                    </a:blip>
                    <a:srcRect/>
                    <a:stretch>
                      <a:fillRect/>
                    </a:stretch>
                  </pic:blipFill>
                  <pic:spPr bwMode="auto">
                    <a:xfrm>
                      <a:off x="0" y="0"/>
                      <a:ext cx="5700395" cy="180340"/>
                    </a:xfrm>
                    <a:prstGeom prst="rect">
                      <a:avLst/>
                    </a:prstGeom>
                    <a:noFill/>
                  </pic:spPr>
                </pic:pic>
              </a:graphicData>
            </a:graphic>
          </wp:anchor>
        </w:drawing>
        <w:drawing>
          <wp:anchor simplePos="0" relativeHeight="251657728" behindDoc="1" locked="0" layoutInCell="0" allowOverlap="1">
            <wp:simplePos x="0" y="0"/>
            <wp:positionH relativeFrom="column">
              <wp:posOffset>-2080895</wp:posOffset>
            </wp:positionH>
            <wp:positionV relativeFrom="paragraph">
              <wp:posOffset>-762000</wp:posOffset>
            </wp:positionV>
            <wp:extent cx="5700395" cy="14605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3">
                      <a:extLst>
                        <a:ext uri="{28A0092B-C50C-407E-A947-70E740481C1C}"/>
                      </a:extLst>
                    </a:blip>
                    <a:srcRect/>
                    <a:stretch>
                      <a:fillRect/>
                    </a:stretch>
                  </pic:blipFill>
                  <pic:spPr bwMode="auto">
                    <a:xfrm>
                      <a:off x="0" y="0"/>
                      <a:ext cx="5700395" cy="146050"/>
                    </a:xfrm>
                    <a:prstGeom prst="rect">
                      <a:avLst/>
                    </a:prstGeom>
                    <a:noFill/>
                  </pic:spPr>
                </pic:pic>
              </a:graphicData>
            </a:graphic>
          </wp:anchor>
        </w:drawing>
      </w:r>
    </w:p>
    <w:p>
      <w:pPr>
        <w:spacing w:after="0" w:line="809" w:lineRule="exact"/>
        <w:rPr>
          <w:sz w:val="20"/>
          <w:szCs w:val="20"/>
          <w:color w:val="auto"/>
        </w:rPr>
      </w:pPr>
    </w:p>
    <w:p>
      <w:pPr>
        <w:sectPr>
          <w:pgSz w:w="11900" w:h="16838" w:orient="portrait"/>
          <w:cols w:equalWidth="0" w:num="2">
            <w:col w:w="3700" w:space="720"/>
            <w:col w:w="6820"/>
          </w:cols>
          <w:pgMar w:left="320" w:top="688" w:right="339" w:bottom="1440" w:gutter="0" w:footer="0" w:header="0"/>
          <w:type w:val="continuous"/>
        </w:sectPr>
      </w:pPr>
    </w:p>
    <w:p>
      <w:pPr>
        <w:spacing w:after="0" w:line="41"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 foreign currency exposure arises from a net investment either in a subsidiary that has a different functional currency from that of the Bank or in a financial instrument in a foreign currency designated at FVOCI. The hedge risk in the net investment hedge is the variability of the US dollar against any other foreign currency that will result in a reduction in the carrying amount.</w:t>
      </w:r>
    </w:p>
    <w:p>
      <w:pPr>
        <w:spacing w:after="0" w:line="18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Bank’s policy is to hedge the net investment only to the extent of the debt principal; therefore, the hedge ratio is established by aligning the principal amount in foreign currency of the debt with the carrying amount of the net investment that is designated.</w:t>
      </w:r>
    </w:p>
    <w:p>
      <w:pPr>
        <w:spacing w:after="0" w:line="170"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When the hedging instrument is a forward foreign exchange contract, the Bank establishes a hedge relationship where the notional of the forward foreign exchange contract matches the carrying amount of the designated net investment. The Bank ensures that the foreign currency in which the hedging instrument is denominated is the same as the functional currency of the net investment. The only source of ineffectiveness that is expected to arise from these hedging relationships is due to the effect of the counterparty and the Bank’s own credit risk on the fair value of the derivative. As of December 30, 2020, The Bank holds no net investment hedges.</w:t>
      </w:r>
    </w:p>
    <w:p>
      <w:pPr>
        <w:spacing w:after="0" w:line="1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28" w:name="page229"/>
    <w:bookmarkEnd w:id="2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13. Derivative financial instruments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 Net investment hedge (continued)</w:t>
      </w:r>
    </w:p>
    <w:p>
      <w:pPr>
        <w:spacing w:after="0" w:line="229" w:lineRule="exact"/>
        <w:rPr>
          <w:sz w:val="20"/>
          <w:szCs w:val="20"/>
          <w:color w:val="auto"/>
        </w:rPr>
      </w:pPr>
    </w:p>
    <w:p>
      <w:pPr>
        <w:ind w:left="340"/>
        <w:spacing w:after="0" w:line="308" w:lineRule="auto"/>
        <w:rPr>
          <w:sz w:val="20"/>
          <w:szCs w:val="20"/>
          <w:color w:val="auto"/>
        </w:rPr>
      </w:pPr>
      <w:r>
        <w:rPr>
          <w:rFonts w:ascii="Arial" w:cs="Arial" w:eastAsia="Arial" w:hAnsi="Arial"/>
          <w:sz w:val="17"/>
          <w:szCs w:val="17"/>
          <w:color w:val="auto"/>
        </w:rPr>
        <w:t>The following table details the notional amount and carrying amount of the derivative instruments used as net investment hedge at December 31, 2019 by type of risk and hedged item, along with changes during the period used to determine and recognize the ineffectiveness of the hedge:</w:t>
      </w:r>
    </w:p>
    <w:p>
      <w:pPr>
        <w:spacing w:after="0" w:line="15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44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920" w:type="dxa"/>
            <w:vAlign w:val="bottom"/>
            <w:tcBorders>
              <w:bottom w:val="single" w:sz="8" w:color="auto"/>
            </w:tcBorders>
            <w:gridSpan w:val="4"/>
          </w:tcPr>
          <w:p>
            <w:pPr>
              <w:jc w:val="right"/>
              <w:ind w:right="1121"/>
              <w:spacing w:after="0"/>
              <w:rPr>
                <w:sz w:val="20"/>
                <w:szCs w:val="20"/>
                <w:color w:val="auto"/>
              </w:rPr>
            </w:pPr>
            <w:r>
              <w:rPr>
                <w:rFonts w:ascii="Arial" w:cs="Arial" w:eastAsia="Arial" w:hAnsi="Arial"/>
                <w:sz w:val="18"/>
                <w:szCs w:val="18"/>
                <w:b w:val="1"/>
                <w:bCs w:val="1"/>
                <w:color w:val="auto"/>
              </w:rPr>
              <w:t>December 31, 2019</w:t>
            </w:r>
          </w:p>
        </w:tc>
        <w:tc>
          <w:tcPr>
            <w:tcW w:w="12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1"/>
        </w:trPr>
        <w:tc>
          <w:tcPr>
            <w:tcW w:w="14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60" w:type="dxa"/>
            <w:vAlign w:val="bottom"/>
            <w:gridSpan w:val="2"/>
          </w:tcPr>
          <w:p>
            <w:pPr>
              <w:jc w:val="center"/>
              <w:ind w:right="201"/>
              <w:spacing w:after="0" w:line="191" w:lineRule="exact"/>
              <w:rPr>
                <w:sz w:val="20"/>
                <w:szCs w:val="20"/>
                <w:color w:val="auto"/>
              </w:rPr>
            </w:pPr>
            <w:r>
              <w:rPr>
                <w:rFonts w:ascii="Arial" w:cs="Arial" w:eastAsia="Arial" w:hAnsi="Arial"/>
                <w:sz w:val="18"/>
                <w:szCs w:val="18"/>
                <w:b w:val="1"/>
                <w:bCs w:val="1"/>
                <w:color w:val="auto"/>
                <w:w w:val="88"/>
              </w:rPr>
              <w:t>Changes in the</w:t>
            </w: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16"/>
        </w:trPr>
        <w:tc>
          <w:tcPr>
            <w:tcW w:w="1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center"/>
              <w:ind w:right="201"/>
              <w:spacing w:after="0"/>
              <w:rPr>
                <w:sz w:val="20"/>
                <w:szCs w:val="20"/>
                <w:color w:val="auto"/>
              </w:rPr>
            </w:pPr>
            <w:r>
              <w:rPr>
                <w:rFonts w:ascii="Arial" w:cs="Arial" w:eastAsia="Arial" w:hAnsi="Arial"/>
                <w:sz w:val="18"/>
                <w:szCs w:val="18"/>
                <w:b w:val="1"/>
                <w:bCs w:val="1"/>
                <w:color w:val="auto"/>
                <w:w w:val="91"/>
              </w:rPr>
              <w:t>Change in fair</w:t>
            </w:r>
          </w:p>
        </w:tc>
        <w:tc>
          <w:tcPr>
            <w:tcW w:w="14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1"/>
              </w:rPr>
              <w:t>fair value of the</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81"/>
              <w:spacing w:after="0"/>
              <w:rPr>
                <w:sz w:val="20"/>
                <w:szCs w:val="20"/>
                <w:color w:val="auto"/>
              </w:rPr>
            </w:pPr>
            <w:r>
              <w:rPr>
                <w:rFonts w:ascii="Arial" w:cs="Arial" w:eastAsia="Arial" w:hAnsi="Arial"/>
                <w:sz w:val="18"/>
                <w:szCs w:val="18"/>
                <w:b w:val="1"/>
                <w:bCs w:val="1"/>
                <w:color w:val="auto"/>
                <w:w w:val="94"/>
              </w:rPr>
              <w:t>Amount</w:t>
            </w:r>
          </w:p>
        </w:tc>
      </w:tr>
      <w:tr>
        <w:trPr>
          <w:trHeight w:val="216"/>
        </w:trPr>
        <w:tc>
          <w:tcPr>
            <w:tcW w:w="1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88"/>
              </w:rPr>
              <w:t>value used for</w:t>
            </w:r>
          </w:p>
        </w:tc>
        <w:tc>
          <w:tcPr>
            <w:tcW w:w="1460" w:type="dxa"/>
            <w:vAlign w:val="bottom"/>
            <w:gridSpan w:val="2"/>
          </w:tcPr>
          <w:p>
            <w:pPr>
              <w:jc w:val="center"/>
              <w:ind w:right="201"/>
              <w:spacing w:after="0"/>
              <w:rPr>
                <w:sz w:val="20"/>
                <w:szCs w:val="20"/>
                <w:color w:val="auto"/>
              </w:rPr>
            </w:pPr>
            <w:r>
              <w:rPr>
                <w:rFonts w:ascii="Arial" w:cs="Arial" w:eastAsia="Arial" w:hAnsi="Arial"/>
                <w:sz w:val="18"/>
                <w:szCs w:val="18"/>
                <w:b w:val="1"/>
                <w:bCs w:val="1"/>
                <w:color w:val="auto"/>
                <w:w w:val="88"/>
              </w:rPr>
              <w:t>hedging</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81"/>
              <w:spacing w:after="0"/>
              <w:rPr>
                <w:sz w:val="20"/>
                <w:szCs w:val="20"/>
                <w:color w:val="auto"/>
              </w:rPr>
            </w:pPr>
            <w:r>
              <w:rPr>
                <w:rFonts w:ascii="Arial" w:cs="Arial" w:eastAsia="Arial" w:hAnsi="Arial"/>
                <w:sz w:val="18"/>
                <w:szCs w:val="18"/>
                <w:b w:val="1"/>
                <w:bCs w:val="1"/>
                <w:color w:val="auto"/>
                <w:w w:val="84"/>
              </w:rPr>
              <w:t>reclassified</w:t>
            </w:r>
          </w:p>
        </w:tc>
      </w:tr>
      <w:tr>
        <w:trPr>
          <w:trHeight w:val="216"/>
        </w:trPr>
        <w:tc>
          <w:tcPr>
            <w:tcW w:w="14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40" w:type="dxa"/>
            <w:vAlign w:val="bottom"/>
            <w:gridSpan w:val="4"/>
          </w:tcPr>
          <w:p>
            <w:pPr>
              <w:ind w:left="320"/>
              <w:spacing w:after="0"/>
              <w:rPr>
                <w:sz w:val="20"/>
                <w:szCs w:val="20"/>
                <w:color w:val="auto"/>
              </w:rPr>
            </w:pPr>
            <w:r>
              <w:rPr>
                <w:rFonts w:ascii="Arial" w:cs="Arial" w:eastAsia="Arial" w:hAnsi="Arial"/>
                <w:sz w:val="18"/>
                <w:szCs w:val="18"/>
                <w:b w:val="1"/>
                <w:bCs w:val="1"/>
                <w:color w:val="auto"/>
              </w:rPr>
              <w:t>Carrying amount of</w:t>
            </w: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calculating</w:t>
            </w: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instruments</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Ineffectiveness</w:t>
            </w:r>
          </w:p>
        </w:tc>
        <w:tc>
          <w:tcPr>
            <w:tcW w:w="1400" w:type="dxa"/>
            <w:vAlign w:val="bottom"/>
            <w:gridSpan w:val="2"/>
          </w:tcPr>
          <w:p>
            <w:pPr>
              <w:jc w:val="center"/>
              <w:ind w:right="41"/>
              <w:spacing w:after="0"/>
              <w:rPr>
                <w:sz w:val="20"/>
                <w:szCs w:val="20"/>
                <w:color w:val="auto"/>
              </w:rPr>
            </w:pPr>
            <w:r>
              <w:rPr>
                <w:rFonts w:ascii="Arial" w:cs="Arial" w:eastAsia="Arial" w:hAnsi="Arial"/>
                <w:sz w:val="18"/>
                <w:szCs w:val="18"/>
                <w:b w:val="1"/>
                <w:bCs w:val="1"/>
                <w:color w:val="auto"/>
                <w:w w:val="89"/>
              </w:rPr>
              <w:t>from the hedge</w:t>
            </w:r>
          </w:p>
        </w:tc>
      </w:tr>
      <w:tr>
        <w:trPr>
          <w:trHeight w:val="234"/>
        </w:trPr>
        <w:tc>
          <w:tcPr>
            <w:tcW w:w="1440" w:type="dxa"/>
            <w:vAlign w:val="bottom"/>
          </w:tcPr>
          <w:p>
            <w:pPr>
              <w:spacing w:after="0"/>
              <w:rPr>
                <w:sz w:val="20"/>
                <w:szCs w:val="20"/>
                <w:color w:val="auto"/>
              </w:rPr>
            </w:pP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Nominal</w:t>
            </w:r>
          </w:p>
        </w:tc>
        <w:tc>
          <w:tcPr>
            <w:tcW w:w="2440" w:type="dxa"/>
            <w:vAlign w:val="bottom"/>
            <w:gridSpan w:val="4"/>
          </w:tcPr>
          <w:p>
            <w:pPr>
              <w:ind w:left="320"/>
              <w:spacing w:after="0"/>
              <w:rPr>
                <w:sz w:val="20"/>
                <w:szCs w:val="20"/>
                <w:color w:val="auto"/>
              </w:rPr>
            </w:pPr>
            <w:r>
              <w:rPr>
                <w:rFonts w:ascii="Arial" w:cs="Arial" w:eastAsia="Arial" w:hAnsi="Arial"/>
                <w:sz w:val="18"/>
                <w:szCs w:val="18"/>
                <w:b w:val="1"/>
                <w:bCs w:val="1"/>
                <w:color w:val="auto"/>
              </w:rPr>
              <w:t>hedging instruments</w:t>
            </w: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2"/>
              </w:rPr>
              <w:t>hedge</w:t>
            </w:r>
          </w:p>
        </w:tc>
        <w:tc>
          <w:tcPr>
            <w:tcW w:w="14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7"/>
              </w:rPr>
              <w:t>recognized in</w:t>
            </w:r>
          </w:p>
        </w:tc>
        <w:tc>
          <w:tcPr>
            <w:tcW w:w="14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recognized in</w:t>
            </w:r>
          </w:p>
        </w:tc>
        <w:tc>
          <w:tcPr>
            <w:tcW w:w="1400" w:type="dxa"/>
            <w:vAlign w:val="bottom"/>
            <w:gridSpan w:val="2"/>
          </w:tcPr>
          <w:p>
            <w:pPr>
              <w:jc w:val="center"/>
              <w:ind w:right="41"/>
              <w:spacing w:after="0"/>
              <w:rPr>
                <w:sz w:val="20"/>
                <w:szCs w:val="20"/>
                <w:color w:val="auto"/>
              </w:rPr>
            </w:pPr>
            <w:r>
              <w:rPr>
                <w:rFonts w:ascii="Arial" w:cs="Arial" w:eastAsia="Arial" w:hAnsi="Arial"/>
                <w:sz w:val="18"/>
                <w:szCs w:val="18"/>
                <w:b w:val="1"/>
                <w:bCs w:val="1"/>
                <w:color w:val="auto"/>
                <w:w w:val="90"/>
              </w:rPr>
              <w:t>reserve to profit</w:t>
            </w:r>
          </w:p>
        </w:tc>
      </w:tr>
      <w:tr>
        <w:trPr>
          <w:trHeight w:val="250"/>
        </w:trPr>
        <w:tc>
          <w:tcPr>
            <w:tcW w:w="1440" w:type="dxa"/>
            <w:vAlign w:val="bottom"/>
          </w:tcPr>
          <w:p>
            <w:pPr>
              <w:spacing w:after="0"/>
              <w:rPr>
                <w:sz w:val="21"/>
                <w:szCs w:val="21"/>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amount</w:t>
            </w:r>
          </w:p>
        </w:tc>
        <w:tc>
          <w:tcPr>
            <w:tcW w:w="1200" w:type="dxa"/>
            <w:vAlign w:val="bottom"/>
            <w:tcBorders>
              <w:top w:val="single" w:sz="8" w:color="auto"/>
            </w:tcBorders>
            <w:gridSpan w:val="2"/>
          </w:tcPr>
          <w:p>
            <w:pPr>
              <w:ind w:left="18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020" w:type="dxa"/>
            <w:vAlign w:val="bottom"/>
            <w:tcBorders>
              <w:top w:val="single" w:sz="8" w:color="auto"/>
            </w:tcBorders>
          </w:tcPr>
          <w:p>
            <w:pPr>
              <w:jc w:val="right"/>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220" w:type="dxa"/>
            <w:vAlign w:val="bottom"/>
          </w:tcPr>
          <w:p>
            <w:pPr>
              <w:spacing w:after="0"/>
              <w:rPr>
                <w:sz w:val="21"/>
                <w:szCs w:val="21"/>
                <w:color w:val="auto"/>
              </w:rPr>
            </w:pPr>
          </w:p>
        </w:tc>
        <w:tc>
          <w:tcPr>
            <w:tcW w:w="146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6"/>
              </w:rPr>
              <w:t>ineffectiveness</w:t>
            </w:r>
          </w:p>
        </w:tc>
        <w:tc>
          <w:tcPr>
            <w:tcW w:w="1460" w:type="dxa"/>
            <w:vAlign w:val="bottom"/>
            <w:gridSpan w:val="2"/>
          </w:tcPr>
          <w:p>
            <w:pPr>
              <w:jc w:val="center"/>
              <w:ind w:right="141"/>
              <w:spacing w:after="0" w:line="250" w:lineRule="exact"/>
              <w:rPr>
                <w:sz w:val="20"/>
                <w:szCs w:val="20"/>
                <w:color w:val="auto"/>
              </w:rPr>
            </w:pPr>
            <w:r>
              <w:rPr>
                <w:rFonts w:ascii="Arial" w:cs="Arial" w:eastAsia="Arial" w:hAnsi="Arial"/>
                <w:sz w:val="17"/>
                <w:szCs w:val="17"/>
                <w:b w:val="1"/>
                <w:bCs w:val="1"/>
                <w:color w:val="auto"/>
                <w:w w:val="96"/>
              </w:rPr>
              <w:t xml:space="preserve">OCI </w:t>
            </w:r>
            <w:r>
              <w:rPr>
                <w:rFonts w:ascii="Arial" w:cs="Arial" w:eastAsia="Arial" w:hAnsi="Arial"/>
                <w:sz w:val="28"/>
                <w:szCs w:val="28"/>
                <w:b w:val="1"/>
                <w:bCs w:val="1"/>
                <w:color w:val="auto"/>
                <w:w w:val="96"/>
                <w:vertAlign w:val="superscript"/>
              </w:rPr>
              <w:t>(3)</w:t>
            </w:r>
          </w:p>
        </w:tc>
        <w:tc>
          <w:tcPr>
            <w:tcW w:w="1460" w:type="dxa"/>
            <w:vAlign w:val="bottom"/>
            <w:gridSpan w:val="2"/>
          </w:tcPr>
          <w:p>
            <w:pPr>
              <w:jc w:val="center"/>
              <w:ind w:right="220"/>
              <w:spacing w:after="0" w:line="250"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(4)</w:t>
            </w:r>
          </w:p>
        </w:tc>
        <w:tc>
          <w:tcPr>
            <w:tcW w:w="1400" w:type="dxa"/>
            <w:vAlign w:val="bottom"/>
            <w:gridSpan w:val="2"/>
          </w:tcPr>
          <w:p>
            <w:pPr>
              <w:jc w:val="center"/>
              <w:ind w:right="41"/>
              <w:spacing w:after="0" w:line="250" w:lineRule="exact"/>
              <w:rPr>
                <w:sz w:val="20"/>
                <w:szCs w:val="20"/>
                <w:color w:val="auto"/>
              </w:rPr>
            </w:pPr>
            <w:r>
              <w:rPr>
                <w:rFonts w:ascii="Arial" w:cs="Arial" w:eastAsia="Arial" w:hAnsi="Arial"/>
                <w:sz w:val="17"/>
                <w:szCs w:val="17"/>
                <w:b w:val="1"/>
                <w:bCs w:val="1"/>
                <w:color w:val="auto"/>
                <w:w w:val="86"/>
              </w:rPr>
              <w:t xml:space="preserve">or loss </w:t>
            </w:r>
            <w:r>
              <w:rPr>
                <w:rFonts w:ascii="Arial" w:cs="Arial" w:eastAsia="Arial" w:hAnsi="Arial"/>
                <w:sz w:val="28"/>
                <w:szCs w:val="28"/>
                <w:b w:val="1"/>
                <w:bCs w:val="1"/>
                <w:color w:val="auto"/>
                <w:w w:val="86"/>
                <w:vertAlign w:val="superscript"/>
              </w:rPr>
              <w:t>(4)</w:t>
            </w:r>
          </w:p>
        </w:tc>
      </w:tr>
      <w:tr>
        <w:trPr>
          <w:trHeight w:val="178"/>
        </w:trPr>
        <w:tc>
          <w:tcPr>
            <w:tcW w:w="144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Foreign</w:t>
            </w:r>
          </w:p>
        </w:tc>
        <w:tc>
          <w:tcPr>
            <w:tcW w:w="10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r>
      <w:tr>
        <w:trPr>
          <w:trHeight w:val="234"/>
        </w:trPr>
        <w:tc>
          <w:tcPr>
            <w:tcW w:w="1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exchange risk</w:t>
            </w:r>
          </w:p>
        </w:tc>
        <w:tc>
          <w:tcPr>
            <w:tcW w:w="10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r>
      <w:tr>
        <w:trPr>
          <w:trHeight w:val="229"/>
        </w:trPr>
        <w:tc>
          <w:tcPr>
            <w:tcW w:w="1440" w:type="dxa"/>
            <w:vAlign w:val="bottom"/>
          </w:tcPr>
          <w:p>
            <w:pPr>
              <w:ind w:left="160"/>
              <w:spacing w:after="0"/>
              <w:rPr>
                <w:sz w:val="20"/>
                <w:szCs w:val="20"/>
                <w:color w:val="auto"/>
              </w:rPr>
            </w:pPr>
            <w:r>
              <w:rPr>
                <w:rFonts w:ascii="Arial" w:cs="Arial" w:eastAsia="Arial" w:hAnsi="Arial"/>
                <w:sz w:val="18"/>
                <w:szCs w:val="18"/>
                <w:color w:val="auto"/>
              </w:rPr>
              <w:t>Net investment</w:t>
            </w:r>
          </w:p>
        </w:tc>
        <w:tc>
          <w:tcPr>
            <w:tcW w:w="1000" w:type="dxa"/>
            <w:vAlign w:val="bottom"/>
          </w:tcPr>
          <w:p>
            <w:pPr>
              <w:jc w:val="right"/>
              <w:spacing w:after="0"/>
              <w:rPr>
                <w:sz w:val="20"/>
                <w:szCs w:val="20"/>
                <w:color w:val="auto"/>
              </w:rPr>
            </w:pPr>
            <w:r>
              <w:rPr>
                <w:rFonts w:ascii="Arial" w:cs="Arial" w:eastAsia="Arial" w:hAnsi="Arial"/>
                <w:sz w:val="18"/>
                <w:szCs w:val="18"/>
                <w:color w:val="auto"/>
              </w:rPr>
              <w:t>2,080</w:t>
            </w:r>
          </w:p>
        </w:tc>
        <w:tc>
          <w:tcPr>
            <w:tcW w:w="22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40" w:type="dxa"/>
            <w:vAlign w:val="bottom"/>
            <w:gridSpan w:val="2"/>
          </w:tcPr>
          <w:p>
            <w:pPr>
              <w:jc w:val="right"/>
              <w:ind w:right="81"/>
              <w:spacing w:after="0"/>
              <w:rPr>
                <w:sz w:val="20"/>
                <w:szCs w:val="20"/>
                <w:color w:val="auto"/>
              </w:rPr>
            </w:pPr>
            <w:r>
              <w:rPr>
                <w:rFonts w:ascii="Arial" w:cs="Arial" w:eastAsia="Arial" w:hAnsi="Arial"/>
                <w:sz w:val="18"/>
                <w:szCs w:val="18"/>
                <w:color w:val="auto"/>
              </w:rPr>
              <w:t>(23)</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(23)</w:t>
            </w:r>
          </w:p>
        </w:tc>
        <w:tc>
          <w:tcPr>
            <w:tcW w:w="1460" w:type="dxa"/>
            <w:vAlign w:val="bottom"/>
            <w:gridSpan w:val="2"/>
          </w:tcPr>
          <w:p>
            <w:pPr>
              <w:jc w:val="right"/>
              <w:ind w:right="81"/>
              <w:spacing w:after="0"/>
              <w:rPr>
                <w:sz w:val="20"/>
                <w:szCs w:val="20"/>
                <w:color w:val="auto"/>
              </w:rPr>
            </w:pPr>
            <w:r>
              <w:rPr>
                <w:rFonts w:ascii="Arial" w:cs="Arial" w:eastAsia="Arial" w:hAnsi="Arial"/>
                <w:sz w:val="18"/>
                <w:szCs w:val="18"/>
                <w:color w:val="auto"/>
              </w:rPr>
              <w:t>(23)</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(78)</w:t>
            </w:r>
          </w:p>
        </w:tc>
      </w:tr>
      <w:tr>
        <w:trPr>
          <w:trHeight w:val="250"/>
        </w:trPr>
        <w:tc>
          <w:tcPr>
            <w:tcW w:w="1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2,080</w:t>
            </w:r>
          </w:p>
        </w:tc>
        <w:tc>
          <w:tcPr>
            <w:tcW w:w="220" w:type="dxa"/>
            <w:vAlign w:val="bottom"/>
            <w:tcBorders>
              <w:top w:val="single" w:sz="8" w:color="CCEEFF"/>
              <w:bottom w:val="single" w:sz="8" w:color="CCEEFF"/>
            </w:tcBorders>
            <w:shd w:val="clear" w:color="auto" w:fill="CCEEFF"/>
          </w:tcPr>
          <w:p>
            <w:pPr>
              <w:spacing w:after="0"/>
              <w:rPr>
                <w:sz w:val="21"/>
                <w:szCs w:val="21"/>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bottom w:val="single" w:sz="8" w:color="CCEEFF"/>
            </w:tcBorders>
            <w:shd w:val="clear" w:color="auto" w:fill="CCEEFF"/>
          </w:tcPr>
          <w:p>
            <w:pPr>
              <w:spacing w:after="0"/>
              <w:rPr>
                <w:sz w:val="21"/>
                <w:szCs w:val="21"/>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21"/>
                <w:szCs w:val="21"/>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4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instruments used in net investment hedges at December 31, 2019 have a maturity of less than 30 days.</w:t>
      </w:r>
    </w:p>
    <w:p>
      <w:pPr>
        <w:spacing w:after="0" w:line="208" w:lineRule="exact"/>
        <w:rPr>
          <w:sz w:val="20"/>
          <w:szCs w:val="20"/>
          <w:color w:val="auto"/>
        </w:rPr>
      </w:pPr>
    </w:p>
    <w:p>
      <w:pPr>
        <w:ind w:left="540" w:hanging="208"/>
        <w:spacing w:after="0"/>
        <w:tabs>
          <w:tab w:leader="none" w:pos="540" w:val="left"/>
        </w:tabs>
        <w:numPr>
          <w:ilvl w:val="0"/>
          <w:numId w:val="258"/>
        </w:numPr>
        <w:rPr>
          <w:rFonts w:ascii="Arial" w:cs="Arial" w:eastAsia="Arial" w:hAnsi="Arial"/>
          <w:sz w:val="25"/>
          <w:szCs w:val="25"/>
          <w:color w:val="auto"/>
          <w:vertAlign w:val="superscript"/>
        </w:rPr>
      </w:pPr>
      <w:r>
        <w:rPr>
          <w:rFonts w:ascii="Arial" w:cs="Arial" w:eastAsia="Arial" w:hAnsi="Arial"/>
          <w:sz w:val="15"/>
          <w:szCs w:val="15"/>
          <w:color w:val="auto"/>
        </w:rPr>
        <w:t>Included in the consolidated statement of financial position under the line Derivative financial instruments - assets.</w:t>
      </w:r>
    </w:p>
    <w:p>
      <w:pPr>
        <w:spacing w:after="0" w:line="42" w:lineRule="exact"/>
        <w:rPr>
          <w:rFonts w:ascii="Arial" w:cs="Arial" w:eastAsia="Arial" w:hAnsi="Arial"/>
          <w:sz w:val="25"/>
          <w:szCs w:val="25"/>
          <w:color w:val="auto"/>
          <w:vertAlign w:val="superscript"/>
        </w:rPr>
      </w:pPr>
    </w:p>
    <w:p>
      <w:pPr>
        <w:ind w:left="540" w:hanging="208"/>
        <w:spacing w:after="0" w:line="194" w:lineRule="auto"/>
        <w:tabs>
          <w:tab w:leader="none" w:pos="540" w:val="left"/>
        </w:tabs>
        <w:numPr>
          <w:ilvl w:val="0"/>
          <w:numId w:val="258"/>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58"/>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consolidated statement of financial position under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258"/>
        </w:numPr>
        <w:rPr>
          <w:rFonts w:ascii="Arial" w:cs="Arial" w:eastAsia="Arial" w:hAnsi="Arial"/>
          <w:sz w:val="23"/>
          <w:szCs w:val="23"/>
          <w:color w:val="auto"/>
          <w:vertAlign w:val="superscript"/>
        </w:rPr>
      </w:pPr>
      <w:r>
        <w:rPr>
          <w:rFonts w:ascii="Arial" w:cs="Arial" w:eastAsia="Arial" w:hAnsi="Arial"/>
          <w:sz w:val="15"/>
          <w:szCs w:val="15"/>
          <w:color w:val="auto"/>
        </w:rPr>
        <w:t>Included in the consolidated statement of profit or loss under the line Loss on financial instruments, net.</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nominal value and carrying amount of the net investment hedged items at December 31, 2019, along with changes during the period used to determine and recognize the ineffectiveness of the hedge:</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500" w:type="dxa"/>
            <w:vAlign w:val="bottom"/>
            <w:tcBorders>
              <w:bottom w:val="single" w:sz="8" w:color="auto"/>
            </w:tcBorders>
            <w:gridSpan w:val="4"/>
          </w:tcPr>
          <w:p>
            <w:pPr>
              <w:ind w:left="780"/>
              <w:spacing w:after="0"/>
              <w:rPr>
                <w:sz w:val="20"/>
                <w:szCs w:val="20"/>
                <w:color w:val="auto"/>
              </w:rPr>
            </w:pPr>
            <w:r>
              <w:rPr>
                <w:rFonts w:ascii="Arial" w:cs="Arial" w:eastAsia="Arial" w:hAnsi="Arial"/>
                <w:sz w:val="18"/>
                <w:szCs w:val="18"/>
                <w:b w:val="1"/>
                <w:bCs w:val="1"/>
                <w:color w:val="auto"/>
              </w:rPr>
              <w:t>December 31, 2019</w:t>
            </w:r>
          </w:p>
        </w:tc>
        <w:tc>
          <w:tcPr>
            <w:tcW w:w="12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r>
      <w:tr>
        <w:trPr>
          <w:trHeight w:val="191"/>
        </w:trPr>
        <w:tc>
          <w:tcPr>
            <w:tcW w:w="2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14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89"/>
              </w:rPr>
              <w:t>Line in the consolidated</w:t>
            </w:r>
          </w:p>
        </w:tc>
        <w:tc>
          <w:tcPr>
            <w:tcW w:w="2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16"/>
        </w:trPr>
        <w:tc>
          <w:tcPr>
            <w:tcW w:w="2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statement of financial</w:t>
            </w:r>
          </w:p>
        </w:tc>
        <w:tc>
          <w:tcPr>
            <w:tcW w:w="2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Change in the fair value of</w:t>
            </w: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2120" w:type="dxa"/>
            <w:vAlign w:val="bottom"/>
          </w:tcPr>
          <w:p>
            <w:pPr>
              <w:spacing w:after="0"/>
              <w:rPr>
                <w:sz w:val="18"/>
                <w:szCs w:val="18"/>
                <w:color w:val="auto"/>
              </w:rPr>
            </w:pPr>
          </w:p>
        </w:tc>
        <w:tc>
          <w:tcPr>
            <w:tcW w:w="2500" w:type="dxa"/>
            <w:vAlign w:val="bottom"/>
            <w:gridSpan w:val="3"/>
          </w:tcPr>
          <w:p>
            <w:pPr>
              <w:ind w:left="540"/>
              <w:spacing w:after="0"/>
              <w:rPr>
                <w:sz w:val="20"/>
                <w:szCs w:val="20"/>
                <w:color w:val="auto"/>
              </w:rPr>
            </w:pPr>
            <w:r>
              <w:rPr>
                <w:rFonts w:ascii="Arial" w:cs="Arial" w:eastAsia="Arial" w:hAnsi="Arial"/>
                <w:sz w:val="18"/>
                <w:szCs w:val="18"/>
                <w:b w:val="1"/>
                <w:bCs w:val="1"/>
                <w:color w:val="auto"/>
              </w:rPr>
              <w:t>Carrying amount of</w:t>
            </w:r>
          </w:p>
        </w:tc>
        <w:tc>
          <w:tcPr>
            <w:tcW w:w="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 the</w:t>
            </w:r>
          </w:p>
        </w:tc>
        <w:tc>
          <w:tcPr>
            <w:tcW w:w="2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the hedged items used to</w:t>
            </w:r>
          </w:p>
        </w:tc>
        <w:tc>
          <w:tcPr>
            <w:tcW w:w="13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Cash flow</w:t>
            </w:r>
          </w:p>
        </w:tc>
      </w:tr>
      <w:tr>
        <w:trPr>
          <w:trHeight w:val="234"/>
        </w:trPr>
        <w:tc>
          <w:tcPr>
            <w:tcW w:w="2120" w:type="dxa"/>
            <w:vAlign w:val="bottom"/>
          </w:tcPr>
          <w:p>
            <w:pPr>
              <w:spacing w:after="0"/>
              <w:rPr>
                <w:sz w:val="20"/>
                <w:szCs w:val="20"/>
                <w:color w:val="auto"/>
              </w:rPr>
            </w:pPr>
          </w:p>
        </w:tc>
        <w:tc>
          <w:tcPr>
            <w:tcW w:w="2500" w:type="dxa"/>
            <w:vAlign w:val="bottom"/>
            <w:tcBorders>
              <w:bottom w:val="single" w:sz="8" w:color="auto"/>
            </w:tcBorders>
            <w:gridSpan w:val="3"/>
          </w:tcPr>
          <w:p>
            <w:pPr>
              <w:ind w:left="840"/>
              <w:spacing w:after="0"/>
              <w:rPr>
                <w:sz w:val="20"/>
                <w:szCs w:val="20"/>
                <w:color w:val="auto"/>
              </w:rPr>
            </w:pPr>
            <w:r>
              <w:rPr>
                <w:rFonts w:ascii="Arial" w:cs="Arial" w:eastAsia="Arial" w:hAnsi="Arial"/>
                <w:sz w:val="18"/>
                <w:szCs w:val="18"/>
                <w:b w:val="1"/>
                <w:bCs w:val="1"/>
                <w:color w:val="auto"/>
              </w:rPr>
              <w:t>hedged items</w:t>
            </w:r>
          </w:p>
        </w:tc>
        <w:tc>
          <w:tcPr>
            <w:tcW w:w="1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carrying amount of the</w:t>
            </w:r>
          </w:p>
        </w:tc>
        <w:tc>
          <w:tcPr>
            <w:tcW w:w="2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calculate the hedge</w:t>
            </w:r>
          </w:p>
        </w:tc>
        <w:tc>
          <w:tcPr>
            <w:tcW w:w="13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2"/>
              </w:rPr>
              <w:t>hedge</w:t>
            </w:r>
          </w:p>
        </w:tc>
      </w:tr>
      <w:tr>
        <w:trPr>
          <w:trHeight w:val="237"/>
        </w:trPr>
        <w:tc>
          <w:tcPr>
            <w:tcW w:w="2120" w:type="dxa"/>
            <w:vAlign w:val="bottom"/>
          </w:tcPr>
          <w:p>
            <w:pPr>
              <w:spacing w:after="0"/>
              <w:rPr>
                <w:sz w:val="20"/>
                <w:szCs w:val="20"/>
                <w:color w:val="auto"/>
              </w:rPr>
            </w:pPr>
          </w:p>
        </w:tc>
        <w:tc>
          <w:tcPr>
            <w:tcW w:w="1440" w:type="dxa"/>
            <w:vAlign w:val="bottom"/>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1060" w:type="dxa"/>
            <w:vAlign w:val="bottom"/>
          </w:tcPr>
          <w:p>
            <w:pPr>
              <w:ind w:left="280"/>
              <w:spacing w:after="0"/>
              <w:rPr>
                <w:sz w:val="20"/>
                <w:szCs w:val="20"/>
                <w:color w:val="auto"/>
              </w:rPr>
            </w:pPr>
            <w:r>
              <w:rPr>
                <w:rFonts w:ascii="Arial" w:cs="Arial" w:eastAsia="Arial" w:hAnsi="Arial"/>
                <w:sz w:val="18"/>
                <w:szCs w:val="18"/>
                <w:b w:val="1"/>
                <w:bCs w:val="1"/>
                <w:color w:val="auto"/>
              </w:rPr>
              <w:t>Liability</w:t>
            </w: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hedged items</w:t>
            </w:r>
          </w:p>
        </w:tc>
        <w:tc>
          <w:tcPr>
            <w:tcW w:w="2360" w:type="dxa"/>
            <w:vAlign w:val="bottom"/>
            <w:gridSpan w:val="2"/>
          </w:tcPr>
          <w:p>
            <w:pPr>
              <w:jc w:val="center"/>
              <w:ind w:right="200"/>
              <w:spacing w:after="0" w:line="236" w:lineRule="exact"/>
              <w:rPr>
                <w:sz w:val="20"/>
                <w:szCs w:val="20"/>
                <w:color w:val="auto"/>
              </w:rPr>
            </w:pPr>
            <w:r>
              <w:rPr>
                <w:rFonts w:ascii="Arial" w:cs="Arial" w:eastAsia="Arial" w:hAnsi="Arial"/>
                <w:sz w:val="17"/>
                <w:szCs w:val="17"/>
                <w:b w:val="1"/>
                <w:bCs w:val="1"/>
                <w:color w:val="auto"/>
                <w:w w:val="88"/>
              </w:rPr>
              <w:t xml:space="preserve">ineffectiveness </w:t>
            </w:r>
            <w:r>
              <w:rPr>
                <w:rFonts w:ascii="Arial" w:cs="Arial" w:eastAsia="Arial" w:hAnsi="Arial"/>
                <w:sz w:val="27"/>
                <w:szCs w:val="27"/>
                <w:b w:val="1"/>
                <w:bCs w:val="1"/>
                <w:color w:val="auto"/>
                <w:w w:val="88"/>
                <w:vertAlign w:val="superscript"/>
              </w:rPr>
              <w:t>(1)</w:t>
            </w:r>
          </w:p>
        </w:tc>
        <w:tc>
          <w:tcPr>
            <w:tcW w:w="13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reserve</w:t>
            </w:r>
          </w:p>
        </w:tc>
      </w:tr>
      <w:tr>
        <w:trPr>
          <w:trHeight w:val="209"/>
        </w:trPr>
        <w:tc>
          <w:tcPr>
            <w:tcW w:w="2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20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02"/>
        </w:trPr>
        <w:tc>
          <w:tcPr>
            <w:tcW w:w="2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360" w:type="dxa"/>
            <w:vAlign w:val="bottom"/>
            <w:gridSpan w:val="3"/>
          </w:tcPr>
          <w:p>
            <w:pPr>
              <w:ind w:left="220"/>
              <w:spacing w:after="0" w:line="201" w:lineRule="exact"/>
              <w:rPr>
                <w:sz w:val="20"/>
                <w:szCs w:val="20"/>
                <w:color w:val="auto"/>
              </w:rPr>
            </w:pPr>
            <w:r>
              <w:rPr>
                <w:rFonts w:ascii="Arial" w:cs="Arial" w:eastAsia="Arial" w:hAnsi="Arial"/>
                <w:sz w:val="18"/>
                <w:szCs w:val="18"/>
                <w:color w:val="auto"/>
              </w:rPr>
              <w:t>Securities and other</w:t>
            </w:r>
          </w:p>
        </w:tc>
        <w:tc>
          <w:tcPr>
            <w:tcW w:w="2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44"/>
        </w:trPr>
        <w:tc>
          <w:tcPr>
            <w:tcW w:w="2120" w:type="dxa"/>
            <w:vAlign w:val="bottom"/>
          </w:tcPr>
          <w:p>
            <w:pPr>
              <w:ind w:left="160"/>
              <w:spacing w:after="0"/>
              <w:rPr>
                <w:sz w:val="20"/>
                <w:szCs w:val="20"/>
                <w:color w:val="auto"/>
              </w:rPr>
            </w:pPr>
            <w:r>
              <w:rPr>
                <w:rFonts w:ascii="Arial" w:cs="Arial" w:eastAsia="Arial" w:hAnsi="Arial"/>
                <w:sz w:val="18"/>
                <w:szCs w:val="18"/>
                <w:color w:val="auto"/>
              </w:rPr>
              <w:t>Net investment</w:t>
            </w:r>
          </w:p>
        </w:tc>
        <w:tc>
          <w:tcPr>
            <w:tcW w:w="1440" w:type="dxa"/>
            <w:vAlign w:val="bottom"/>
            <w:gridSpan w:val="2"/>
          </w:tcPr>
          <w:p>
            <w:pPr>
              <w:ind w:left="820"/>
              <w:spacing w:after="0"/>
              <w:rPr>
                <w:sz w:val="20"/>
                <w:szCs w:val="20"/>
                <w:color w:val="auto"/>
              </w:rPr>
            </w:pPr>
            <w:r>
              <w:rPr>
                <w:rFonts w:ascii="Arial" w:cs="Arial" w:eastAsia="Arial" w:hAnsi="Arial"/>
                <w:sz w:val="18"/>
                <w:szCs w:val="18"/>
                <w:color w:val="auto"/>
              </w:rPr>
              <w:t>1,889</w:t>
            </w:r>
          </w:p>
        </w:tc>
        <w:tc>
          <w:tcPr>
            <w:tcW w:w="1060" w:type="dxa"/>
            <w:vAlign w:val="bottom"/>
          </w:tcPr>
          <w:p>
            <w:pPr>
              <w:spacing w:after="0"/>
              <w:rPr>
                <w:sz w:val="21"/>
                <w:szCs w:val="21"/>
                <w:color w:val="auto"/>
              </w:rPr>
            </w:pPr>
          </w:p>
        </w:tc>
        <w:tc>
          <w:tcPr>
            <w:tcW w:w="2520" w:type="dxa"/>
            <w:vAlign w:val="bottom"/>
            <w:gridSpan w:val="4"/>
          </w:tcPr>
          <w:p>
            <w:pPr>
              <w:ind w:left="100"/>
              <w:spacing w:after="0"/>
              <w:rPr>
                <w:sz w:val="20"/>
                <w:szCs w:val="20"/>
                <w:color w:val="auto"/>
              </w:rPr>
            </w:pPr>
            <w:r>
              <w:rPr>
                <w:rFonts w:ascii="Arial" w:cs="Arial" w:eastAsia="Arial" w:hAnsi="Arial"/>
                <w:sz w:val="18"/>
                <w:szCs w:val="18"/>
                <w:color w:val="auto"/>
              </w:rPr>
              <w:t>-   financial assets, net</w:t>
            </w:r>
          </w:p>
        </w:tc>
        <w:tc>
          <w:tcPr>
            <w:tcW w:w="2360" w:type="dxa"/>
            <w:vAlign w:val="bottom"/>
            <w:gridSpan w:val="2"/>
          </w:tcPr>
          <w:p>
            <w:pPr>
              <w:jc w:val="right"/>
              <w:ind w:right="200"/>
              <w:spacing w:after="0"/>
              <w:rPr>
                <w:sz w:val="20"/>
                <w:szCs w:val="20"/>
                <w:color w:val="auto"/>
              </w:rPr>
            </w:pPr>
            <w:r>
              <w:rPr>
                <w:rFonts w:ascii="Arial" w:cs="Arial" w:eastAsia="Arial" w:hAnsi="Arial"/>
                <w:sz w:val="18"/>
                <w:szCs w:val="18"/>
                <w:color w:val="auto"/>
              </w:rPr>
              <w:t>23</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r>
      <w:tr>
        <w:trPr>
          <w:trHeight w:val="223"/>
        </w:trPr>
        <w:tc>
          <w:tcPr>
            <w:tcW w:w="2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220" w:type="dxa"/>
            <w:vAlign w:val="bottom"/>
            <w:tcBorders>
              <w:top w:val="single" w:sz="8" w:color="auto"/>
              <w:bottom w:val="single" w:sz="8" w:color="auto"/>
            </w:tcBorders>
            <w:shd w:val="clear" w:color="auto" w:fill="CCEEFF"/>
          </w:tcPr>
          <w:p>
            <w:pPr>
              <w:ind w:left="820"/>
              <w:spacing w:after="0"/>
              <w:rPr>
                <w:sz w:val="20"/>
                <w:szCs w:val="20"/>
                <w:color w:val="auto"/>
              </w:rPr>
            </w:pPr>
            <w:r>
              <w:rPr>
                <w:rFonts w:ascii="Arial" w:cs="Arial" w:eastAsia="Arial" w:hAnsi="Arial"/>
                <w:sz w:val="18"/>
                <w:szCs w:val="18"/>
                <w:b w:val="1"/>
                <w:bCs w:val="1"/>
                <w:color w:val="auto"/>
                <w:w w:val="84"/>
              </w:rPr>
              <w:t>1,889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ind w:left="10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42" w:lineRule="exact"/>
        <w:rPr>
          <w:sz w:val="20"/>
          <w:szCs w:val="20"/>
          <w:color w:val="auto"/>
        </w:rPr>
      </w:pPr>
    </w:p>
    <w:p>
      <w:pPr>
        <w:ind w:left="5460" w:right="3220" w:hanging="5128"/>
        <w:spacing w:after="0" w:line="473" w:lineRule="auto"/>
        <w:tabs>
          <w:tab w:leader="none" w:pos="550" w:val="left"/>
        </w:tabs>
        <w:numPr>
          <w:ilvl w:val="0"/>
          <w:numId w:val="259"/>
        </w:numPr>
        <w:rPr>
          <w:rFonts w:ascii="Arial" w:cs="Arial" w:eastAsia="Arial" w:hAnsi="Arial"/>
          <w:sz w:val="26"/>
          <w:szCs w:val="26"/>
          <w:color w:val="auto"/>
          <w:vertAlign w:val="superscript"/>
        </w:rPr>
      </w:pPr>
      <w:r>
        <w:rPr>
          <w:rFonts w:ascii="Arial" w:cs="Arial" w:eastAsia="Arial" w:hAnsi="Arial"/>
          <w:sz w:val="16"/>
          <w:szCs w:val="16"/>
          <w:color w:val="auto"/>
        </w:rPr>
        <w:t>Included in the consolidated statement of profit or loss under the line Loss on financial instruments, net. F-93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-174625</wp:posOffset>
            </wp:positionV>
            <wp:extent cx="7132320" cy="8255"/>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29" w:name="page230"/>
    <w:bookmarkEnd w:id="2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60"/>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non -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gain or loss on non-financial assets is presented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960" w:type="dxa"/>
            <w:vAlign w:val="bottom"/>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December 31,</w:t>
            </w:r>
          </w:p>
        </w:tc>
        <w:tc>
          <w:tcPr>
            <w:tcW w:w="14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96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96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investment property</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500</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960" w:type="dxa"/>
            <w:vAlign w:val="bottom"/>
          </w:tcPr>
          <w:p>
            <w:pPr>
              <w:spacing w:after="0"/>
              <w:rPr>
                <w:sz w:val="20"/>
                <w:szCs w:val="20"/>
                <w:color w:val="auto"/>
              </w:rPr>
            </w:pPr>
            <w:r>
              <w:rPr>
                <w:rFonts w:ascii="Arial" w:cs="Arial" w:eastAsia="Arial" w:hAnsi="Arial"/>
                <w:sz w:val="18"/>
                <w:szCs w:val="18"/>
                <w:color w:val="auto"/>
              </w:rPr>
              <w:t>Unrealized gain on investment property</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296</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96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other assets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(3,464)</w:t>
            </w:r>
          </w:p>
        </w:tc>
        <w:tc>
          <w:tcPr>
            <w:tcW w:w="0" w:type="dxa"/>
            <w:vAlign w:val="bottom"/>
          </w:tcPr>
          <w:p>
            <w:pPr>
              <w:spacing w:after="0"/>
              <w:rPr>
                <w:sz w:val="1"/>
                <w:szCs w:val="1"/>
                <w:color w:val="auto"/>
              </w:rPr>
            </w:pPr>
          </w:p>
        </w:tc>
      </w:tr>
      <w:tr>
        <w:trPr>
          <w:trHeight w:val="216"/>
        </w:trPr>
        <w:tc>
          <w:tcPr>
            <w:tcW w:w="5960" w:type="dxa"/>
            <w:vAlign w:val="bottom"/>
          </w:tcPr>
          <w:p>
            <w:pPr>
              <w:spacing w:after="0"/>
              <w:rPr>
                <w:sz w:val="20"/>
                <w:szCs w:val="20"/>
                <w:color w:val="auto"/>
              </w:rPr>
            </w:pPr>
            <w:r>
              <w:rPr>
                <w:rFonts w:ascii="Arial" w:cs="Arial" w:eastAsia="Arial" w:hAnsi="Arial"/>
                <w:sz w:val="18"/>
                <w:szCs w:val="18"/>
                <w:color w:val="auto"/>
              </w:rPr>
              <w:t>Impairment loss on investment property</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3"/>
          </w:tcPr>
          <w:p>
            <w:pPr>
              <w:jc w:val="right"/>
              <w:ind w:right="60"/>
              <w:spacing w:after="0"/>
              <w:rPr>
                <w:sz w:val="20"/>
                <w:szCs w:val="20"/>
                <w:color w:val="auto"/>
              </w:rPr>
            </w:pPr>
            <w:r>
              <w:rPr>
                <w:rFonts w:ascii="Arial" w:cs="Arial" w:eastAsia="Arial" w:hAnsi="Arial"/>
                <w:sz w:val="18"/>
                <w:szCs w:val="18"/>
                <w:color w:val="auto"/>
              </w:rPr>
              <w:t>(3,849)</w:t>
            </w:r>
          </w:p>
        </w:tc>
        <w:tc>
          <w:tcPr>
            <w:tcW w:w="0" w:type="dxa"/>
            <w:vAlign w:val="bottom"/>
          </w:tcPr>
          <w:p>
            <w:pPr>
              <w:spacing w:after="0"/>
              <w:rPr>
                <w:sz w:val="1"/>
                <w:szCs w:val="1"/>
                <w:color w:val="auto"/>
              </w:rPr>
            </w:pPr>
          </w:p>
        </w:tc>
      </w:tr>
      <w:tr>
        <w:trPr>
          <w:trHeight w:val="229"/>
        </w:trPr>
        <w:tc>
          <w:tcPr>
            <w:tcW w:w="5960" w:type="dxa"/>
            <w:vAlign w:val="bottom"/>
            <w:shd w:val="clear" w:color="auto" w:fill="CCEEFF"/>
          </w:tcPr>
          <w:p>
            <w:pPr>
              <w:spacing w:after="0"/>
              <w:rPr>
                <w:sz w:val="20"/>
                <w:szCs w:val="20"/>
                <w:color w:val="auto"/>
              </w:rPr>
            </w:pPr>
            <w:r>
              <w:rPr>
                <w:rFonts w:ascii="Arial" w:cs="Arial" w:eastAsia="Arial" w:hAnsi="Arial"/>
                <w:sz w:val="18"/>
                <w:szCs w:val="18"/>
                <w:color w:val="auto"/>
              </w:rPr>
              <w:t>Write off on intangible assets</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(2,705)</w:t>
            </w:r>
          </w:p>
        </w:tc>
        <w:tc>
          <w:tcPr>
            <w:tcW w:w="0" w:type="dxa"/>
            <w:vAlign w:val="bottom"/>
          </w:tcPr>
          <w:p>
            <w:pPr>
              <w:spacing w:after="0"/>
              <w:rPr>
                <w:sz w:val="1"/>
                <w:szCs w:val="1"/>
                <w:color w:val="auto"/>
              </w:rPr>
            </w:pPr>
          </w:p>
        </w:tc>
      </w:tr>
      <w:tr>
        <w:trPr>
          <w:trHeight w:val="20"/>
        </w:trPr>
        <w:tc>
          <w:tcPr>
            <w:tcW w:w="5960" w:type="dxa"/>
            <w:vAlign w:val="bottom"/>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gridSpan w:val="2"/>
            <w:vMerge w:val="restart"/>
          </w:tcPr>
          <w:p>
            <w:pPr>
              <w:jc w:val="right"/>
              <w:ind w:right="6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5960" w:type="dxa"/>
            <w:vAlign w:val="bottom"/>
          </w:tcPr>
          <w:p>
            <w:pPr>
              <w:spacing w:after="0"/>
              <w:rPr>
                <w:sz w:val="21"/>
                <w:szCs w:val="21"/>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296</w:t>
            </w:r>
          </w:p>
        </w:tc>
        <w:tc>
          <w:tcPr>
            <w:tcW w:w="16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500</w:t>
            </w: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(10,018</w:t>
            </w:r>
          </w:p>
        </w:tc>
        <w:tc>
          <w:tcPr>
            <w:tcW w:w="120" w:type="dxa"/>
            <w:vAlign w:val="bottom"/>
            <w:gridSpan w:val="2"/>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96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During 2019, the Bank realized the sale of an investment property, which resulted in a gain of $500 thousand.</w:t>
      </w:r>
    </w:p>
    <w:p>
      <w:pPr>
        <w:spacing w:after="0" w:line="221" w:lineRule="exact"/>
        <w:rPr>
          <w:sz w:val="20"/>
          <w:szCs w:val="20"/>
          <w:color w:val="auto"/>
        </w:rPr>
      </w:pPr>
    </w:p>
    <w:p>
      <w:pPr>
        <w:ind w:left="340" w:hanging="332"/>
        <w:spacing w:after="0"/>
        <w:tabs>
          <w:tab w:leader="none" w:pos="340" w:val="left"/>
        </w:tabs>
        <w:numPr>
          <w:ilvl w:val="0"/>
          <w:numId w:val="261"/>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summary of the items included in equipment and leasehold improvement:</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66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c>
          <w:tcPr>
            <w:tcW w:w="20" w:type="dxa"/>
            <w:vAlign w:val="bottom"/>
          </w:tcPr>
          <w:p>
            <w:pPr>
              <w:spacing w:after="0"/>
              <w:rPr>
                <w:sz w:val="18"/>
                <w:szCs w:val="18"/>
                <w:color w:val="auto"/>
              </w:rPr>
            </w:pPr>
          </w:p>
        </w:tc>
      </w:tr>
      <w:tr>
        <w:trPr>
          <w:trHeight w:val="234"/>
        </w:trPr>
        <w:tc>
          <w:tcPr>
            <w:tcW w:w="34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4920" w:type="dxa"/>
            <w:vAlign w:val="bottom"/>
            <w:gridSpan w:val="2"/>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4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348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4,990</w:t>
            </w:r>
          </w:p>
        </w:tc>
        <w:tc>
          <w:tcPr>
            <w:tcW w:w="2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6,230</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Right-of-use assets</w:t>
            </w:r>
          </w:p>
        </w:tc>
        <w:tc>
          <w:tcPr>
            <w:tcW w:w="348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11,223</w:t>
            </w:r>
          </w:p>
        </w:tc>
        <w:tc>
          <w:tcPr>
            <w:tcW w:w="220" w:type="dxa"/>
            <w:vAlign w:val="bottom"/>
          </w:tcPr>
          <w:p>
            <w:pPr>
              <w:spacing w:after="0"/>
              <w:rPr>
                <w:sz w:val="19"/>
                <w:szCs w:val="19"/>
                <w:color w:val="auto"/>
              </w:rPr>
            </w:pP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12,522</w:t>
            </w: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160" w:type="dxa"/>
            <w:vAlign w:val="bottom"/>
            <w:shd w:val="clear" w:color="auto" w:fill="CCEEFF"/>
          </w:tcPr>
          <w:p>
            <w:pPr>
              <w:spacing w:after="0" w:line="20" w:lineRule="exact"/>
              <w:rPr>
                <w:sz w:val="1"/>
                <w:szCs w:val="1"/>
                <w:color w:val="auto"/>
              </w:rPr>
            </w:pPr>
          </w:p>
        </w:tc>
        <w:tc>
          <w:tcPr>
            <w:tcW w:w="3480" w:type="dxa"/>
            <w:vAlign w:val="bottom"/>
            <w:shd w:val="clear" w:color="auto" w:fill="CCEEFF"/>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50"/>
        </w:trPr>
        <w:tc>
          <w:tcPr>
            <w:tcW w:w="340" w:type="dxa"/>
            <w:vAlign w:val="bottom"/>
          </w:tcPr>
          <w:p>
            <w:pPr>
              <w:spacing w:after="0"/>
              <w:rPr>
                <w:sz w:val="21"/>
                <w:szCs w:val="21"/>
                <w:color w:val="auto"/>
              </w:rPr>
            </w:pPr>
          </w:p>
        </w:tc>
        <w:tc>
          <w:tcPr>
            <w:tcW w:w="4160" w:type="dxa"/>
            <w:vAlign w:val="bottom"/>
            <w:shd w:val="clear" w:color="auto" w:fill="CCEEFF"/>
          </w:tcPr>
          <w:p>
            <w:pPr>
              <w:spacing w:after="0"/>
              <w:rPr>
                <w:sz w:val="21"/>
                <w:szCs w:val="21"/>
                <w:color w:val="auto"/>
              </w:rPr>
            </w:pPr>
          </w:p>
        </w:tc>
        <w:tc>
          <w:tcPr>
            <w:tcW w:w="3480" w:type="dxa"/>
            <w:vAlign w:val="bottom"/>
            <w:shd w:val="clear" w:color="auto" w:fill="CCEEFF"/>
          </w:tcPr>
          <w:p>
            <w:pPr>
              <w:spacing w:after="0"/>
              <w:rPr>
                <w:sz w:val="21"/>
                <w:szCs w:val="21"/>
                <w:color w:val="auto"/>
              </w:rPr>
            </w:pP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16,213</w:t>
            </w:r>
          </w:p>
        </w:tc>
        <w:tc>
          <w:tcPr>
            <w:tcW w:w="220" w:type="dxa"/>
            <w:vAlign w:val="bottom"/>
            <w:shd w:val="clear" w:color="auto" w:fill="CCEEFF"/>
          </w:tcPr>
          <w:p>
            <w:pPr>
              <w:spacing w:after="0"/>
              <w:rPr>
                <w:sz w:val="21"/>
                <w:szCs w:val="21"/>
                <w:color w:val="auto"/>
              </w:rPr>
            </w:pPr>
          </w:p>
        </w:tc>
        <w:tc>
          <w:tcPr>
            <w:tcW w:w="15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18,752</w:t>
            </w:r>
          </w:p>
        </w:tc>
        <w:tc>
          <w:tcPr>
            <w:tcW w:w="20" w:type="dxa"/>
            <w:vAlign w:val="bottom"/>
          </w:tcPr>
          <w:p>
            <w:pPr>
              <w:spacing w:after="0"/>
              <w:rPr>
                <w:sz w:val="21"/>
                <w:szCs w:val="21"/>
                <w:color w:val="auto"/>
              </w:rPr>
            </w:pPr>
          </w:p>
        </w:tc>
      </w:tr>
      <w:tr>
        <w:trPr>
          <w:trHeight w:val="20"/>
        </w:trPr>
        <w:tc>
          <w:tcPr>
            <w:tcW w:w="340" w:type="dxa"/>
            <w:vAlign w:val="bottom"/>
          </w:tcPr>
          <w:p>
            <w:pPr>
              <w:spacing w:after="0" w:line="20" w:lineRule="exact"/>
              <w:rPr>
                <w:sz w:val="1"/>
                <w:szCs w:val="1"/>
                <w:color w:val="auto"/>
              </w:rPr>
            </w:pPr>
          </w:p>
        </w:tc>
        <w:tc>
          <w:tcPr>
            <w:tcW w:w="4160" w:type="dxa"/>
            <w:vAlign w:val="bottom"/>
            <w:tcBorders>
              <w:top w:val="single" w:sz="8" w:color="CCEEFF"/>
            </w:tcBorders>
          </w:tcPr>
          <w:p>
            <w:pPr>
              <w:spacing w:after="0" w:line="20" w:lineRule="exact"/>
              <w:rPr>
                <w:sz w:val="1"/>
                <w:szCs w:val="1"/>
                <w:color w:val="auto"/>
              </w:rPr>
            </w:pPr>
          </w:p>
        </w:tc>
        <w:tc>
          <w:tcPr>
            <w:tcW w:w="348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gridSpan w:val="3"/>
          </w:tcPr>
          <w:p>
            <w:pPr>
              <w:ind w:left="960"/>
              <w:spacing w:after="0"/>
              <w:rPr>
                <w:sz w:val="20"/>
                <w:szCs w:val="20"/>
                <w:color w:val="auto"/>
              </w:rPr>
            </w:pPr>
            <w:r>
              <w:rPr>
                <w:rFonts w:ascii="Arial" w:cs="Arial" w:eastAsia="Arial" w:hAnsi="Arial"/>
                <w:sz w:val="18"/>
                <w:szCs w:val="18"/>
                <w:color w:val="auto"/>
              </w:rPr>
              <w:t>F-94</w:t>
            </w: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30" w:name="page231"/>
    <w:bookmarkEnd w:id="2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62"/>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 breakdown of cost, accumulated depreciation, additions and disposals of equipment and leasehold improvements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0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6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Furniture and</w:t>
            </w:r>
          </w:p>
        </w:tc>
        <w:tc>
          <w:tcPr>
            <w:tcW w:w="14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Leasehold</w:t>
            </w:r>
          </w:p>
        </w:tc>
        <w:tc>
          <w:tcPr>
            <w:tcW w:w="100" w:type="dxa"/>
            <w:vAlign w:val="bottom"/>
          </w:tcPr>
          <w:p>
            <w:pPr>
              <w:spacing w:after="0"/>
              <w:rPr>
                <w:sz w:val="18"/>
                <w:szCs w:val="18"/>
                <w:color w:val="auto"/>
              </w:rPr>
            </w:pPr>
          </w:p>
        </w:tc>
        <w:tc>
          <w:tcPr>
            <w:tcW w:w="134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Other</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080" w:type="dxa"/>
            <w:vAlign w:val="bottom"/>
          </w:tcPr>
          <w:p>
            <w:pPr>
              <w:spacing w:after="0"/>
              <w:rPr>
                <w:sz w:val="20"/>
                <w:szCs w:val="20"/>
                <w:color w:val="auto"/>
              </w:rPr>
            </w:pPr>
          </w:p>
        </w:tc>
        <w:tc>
          <w:tcPr>
            <w:tcW w:w="1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9"/>
              </w:rPr>
              <w:t>IT equipment</w:t>
            </w:r>
          </w:p>
        </w:tc>
        <w:tc>
          <w:tcPr>
            <w:tcW w:w="140" w:type="dxa"/>
            <w:vAlign w:val="bottom"/>
          </w:tcPr>
          <w:p>
            <w:pPr>
              <w:spacing w:after="0"/>
              <w:rPr>
                <w:sz w:val="20"/>
                <w:szCs w:val="20"/>
                <w:color w:val="auto"/>
              </w:rPr>
            </w:pPr>
          </w:p>
        </w:tc>
        <w:tc>
          <w:tcPr>
            <w:tcW w:w="14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fixtures</w:t>
            </w:r>
          </w:p>
        </w:tc>
        <w:tc>
          <w:tcPr>
            <w:tcW w:w="14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improvements</w:t>
            </w:r>
          </w:p>
        </w:tc>
        <w:tc>
          <w:tcPr>
            <w:tcW w:w="100" w:type="dxa"/>
            <w:vAlign w:val="bottom"/>
          </w:tcPr>
          <w:p>
            <w:pPr>
              <w:spacing w:after="0"/>
              <w:rPr>
                <w:sz w:val="20"/>
                <w:szCs w:val="20"/>
                <w:color w:val="auto"/>
              </w:rPr>
            </w:pPr>
          </w:p>
        </w:tc>
        <w:tc>
          <w:tcPr>
            <w:tcW w:w="13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w w:val="98"/>
              </w:rPr>
              <w:t>equipment</w:t>
            </w:r>
          </w:p>
        </w:tc>
        <w:tc>
          <w:tcPr>
            <w:tcW w:w="13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Cost:</w:t>
            </w: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b w:val="1"/>
                <w:bCs w:val="1"/>
                <w:color w:val="auto"/>
              </w:rPr>
              <w:t>Balance as of January 1, 2018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4,170</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1,984</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6,810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2,505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15,469</w:t>
            </w: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411</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12</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603</w:t>
            </w: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(253)</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(97)</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(80)</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(62)</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(492)</w:t>
            </w:r>
          </w:p>
        </w:tc>
        <w:tc>
          <w:tcPr>
            <w:tcW w:w="0" w:type="dxa"/>
            <w:vAlign w:val="bottom"/>
          </w:tcPr>
          <w:p>
            <w:pPr>
              <w:spacing w:after="0"/>
              <w:rPr>
                <w:sz w:val="1"/>
                <w:szCs w:val="1"/>
                <w:color w:val="auto"/>
              </w:rPr>
            </w:pPr>
          </w:p>
        </w:tc>
      </w:tr>
      <w:tr>
        <w:trPr>
          <w:trHeight w:val="229"/>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Reclassifications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8"/>
                <w:szCs w:val="18"/>
                <w:b w:val="1"/>
                <w:bCs w:val="1"/>
                <w:color w:val="auto"/>
              </w:rPr>
              <w:t>Balance as of December 31, 2018</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4,338</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1,899</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6,841</w:t>
            </w:r>
          </w:p>
        </w:tc>
        <w:tc>
          <w:tcPr>
            <w:tcW w:w="220" w:type="dxa"/>
            <w:vAlign w:val="bottom"/>
          </w:tcPr>
          <w:p>
            <w:pPr>
              <w:spacing w:after="0"/>
              <w:rPr>
                <w:sz w:val="18"/>
                <w:szCs w:val="18"/>
                <w:color w:val="auto"/>
              </w:rPr>
            </w:pPr>
          </w:p>
        </w:tc>
        <w:tc>
          <w:tcPr>
            <w:tcW w:w="122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2,512</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15,590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683</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124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1,028</w:t>
            </w: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(63)</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(102)</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(176)</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(33)</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(374)</w:t>
            </w:r>
          </w:p>
        </w:tc>
        <w:tc>
          <w:tcPr>
            <w:tcW w:w="0" w:type="dxa"/>
            <w:vAlign w:val="bottom"/>
          </w:tcPr>
          <w:p>
            <w:pPr>
              <w:spacing w:after="0"/>
              <w:rPr>
                <w:sz w:val="1"/>
                <w:szCs w:val="1"/>
                <w:color w:val="auto"/>
              </w:rPr>
            </w:pPr>
          </w:p>
        </w:tc>
      </w:tr>
      <w:tr>
        <w:trPr>
          <w:trHeight w:val="230"/>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Effect of changes in exchange rates</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(53)</w:t>
            </w:r>
          </w:p>
        </w:tc>
        <w:tc>
          <w:tcPr>
            <w:tcW w:w="16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(62)</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(47)</w:t>
            </w:r>
          </w:p>
        </w:tc>
        <w:tc>
          <w:tcPr>
            <w:tcW w:w="14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(14)</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(176)</w:t>
            </w:r>
          </w:p>
        </w:tc>
        <w:tc>
          <w:tcPr>
            <w:tcW w:w="0" w:type="dxa"/>
            <w:vAlign w:val="bottom"/>
          </w:tcPr>
          <w:p>
            <w:pPr>
              <w:spacing w:after="0"/>
              <w:rPr>
                <w:sz w:val="1"/>
                <w:szCs w:val="1"/>
                <w:color w:val="auto"/>
              </w:rPr>
            </w:pPr>
          </w:p>
        </w:tc>
      </w:tr>
      <w:tr>
        <w:trPr>
          <w:trHeight w:val="209"/>
        </w:trPr>
        <w:tc>
          <w:tcPr>
            <w:tcW w:w="4080" w:type="dxa"/>
            <w:vAlign w:val="bottom"/>
          </w:tcPr>
          <w:p>
            <w:pPr>
              <w:spacing w:after="0"/>
              <w:rPr>
                <w:sz w:val="20"/>
                <w:szCs w:val="20"/>
                <w:color w:val="auto"/>
              </w:rPr>
            </w:pPr>
            <w:r>
              <w:rPr>
                <w:rFonts w:ascii="Arial" w:cs="Arial" w:eastAsia="Arial" w:hAnsi="Arial"/>
                <w:sz w:val="18"/>
                <w:szCs w:val="18"/>
                <w:b w:val="1"/>
                <w:bCs w:val="1"/>
                <w:color w:val="auto"/>
              </w:rPr>
              <w:t>Balance as of December 31, 2019</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4,905</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1,771</w:t>
            </w:r>
          </w:p>
        </w:tc>
        <w:tc>
          <w:tcPr>
            <w:tcW w:w="2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6,803</w:t>
            </w:r>
          </w:p>
        </w:tc>
        <w:tc>
          <w:tcPr>
            <w:tcW w:w="220" w:type="dxa"/>
            <w:vAlign w:val="bottom"/>
          </w:tcPr>
          <w:p>
            <w:pPr>
              <w:spacing w:after="0"/>
              <w:rPr>
                <w:sz w:val="18"/>
                <w:szCs w:val="18"/>
                <w:color w:val="auto"/>
              </w:rPr>
            </w:pPr>
          </w:p>
        </w:tc>
        <w:tc>
          <w:tcPr>
            <w:tcW w:w="122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2,589</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16,068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Additions</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293</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671</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32</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997</w:t>
            </w: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(1,045)</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(84)</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(26)</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(48)</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(1,203)</w:t>
            </w:r>
          </w:p>
        </w:tc>
        <w:tc>
          <w:tcPr>
            <w:tcW w:w="0" w:type="dxa"/>
            <w:vAlign w:val="bottom"/>
          </w:tcPr>
          <w:p>
            <w:pPr>
              <w:spacing w:after="0"/>
              <w:rPr>
                <w:sz w:val="1"/>
                <w:szCs w:val="1"/>
                <w:color w:val="auto"/>
              </w:rPr>
            </w:pPr>
          </w:p>
        </w:tc>
      </w:tr>
      <w:tr>
        <w:trPr>
          <w:trHeight w:val="230"/>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Effect of changes in exchange rates</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w:t>
            </w:r>
          </w:p>
        </w:tc>
        <w:tc>
          <w:tcPr>
            <w:tcW w:w="16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(11)</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c>
          <w:tcPr>
            <w:tcW w:w="14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(49)</w:t>
            </w:r>
          </w:p>
        </w:tc>
        <w:tc>
          <w:tcPr>
            <w:tcW w:w="0" w:type="dxa"/>
            <w:vAlign w:val="bottom"/>
          </w:tcPr>
          <w:p>
            <w:pPr>
              <w:spacing w:after="0"/>
              <w:rPr>
                <w:sz w:val="1"/>
                <w:szCs w:val="1"/>
                <w:color w:val="auto"/>
              </w:rPr>
            </w:pPr>
          </w:p>
        </w:tc>
      </w:tr>
      <w:tr>
        <w:trPr>
          <w:trHeight w:val="20"/>
        </w:trPr>
        <w:tc>
          <w:tcPr>
            <w:tcW w:w="4080" w:type="dxa"/>
            <w:vAlign w:val="bottom"/>
            <w:vMerge w:val="restart"/>
          </w:tcPr>
          <w:p>
            <w:pPr>
              <w:spacing w:after="0"/>
              <w:rPr>
                <w:sz w:val="20"/>
                <w:szCs w:val="20"/>
                <w:color w:val="auto"/>
              </w:rPr>
            </w:pPr>
            <w:r>
              <w:rPr>
                <w:rFonts w:ascii="Arial" w:cs="Arial" w:eastAsia="Arial" w:hAnsi="Arial"/>
                <w:sz w:val="18"/>
                <w:szCs w:val="18"/>
                <w:b w:val="1"/>
                <w:bCs w:val="1"/>
                <w:color w:val="auto"/>
              </w:rPr>
              <w:t>Balance as of December 31, 2020</w:t>
            </w:r>
          </w:p>
        </w:tc>
        <w:tc>
          <w:tcPr>
            <w:tcW w:w="12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gridSpan w:val="2"/>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0"/>
        </w:trPr>
        <w:tc>
          <w:tcPr>
            <w:tcW w:w="4080" w:type="dxa"/>
            <w:vAlign w:val="bottom"/>
            <w:vMerge w:val="continue"/>
          </w:tcPr>
          <w:p>
            <w:pPr>
              <w:spacing w:after="0"/>
              <w:rPr>
                <w:sz w:val="24"/>
                <w:szCs w:val="24"/>
                <w:color w:val="auto"/>
              </w:rPr>
            </w:pP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4,136</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1,677</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7,428</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2,572</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15,813</w:t>
            </w:r>
          </w:p>
        </w:tc>
        <w:tc>
          <w:tcPr>
            <w:tcW w:w="0" w:type="dxa"/>
            <w:vAlign w:val="bottom"/>
          </w:tcPr>
          <w:p>
            <w:pPr>
              <w:spacing w:after="0"/>
              <w:rPr>
                <w:sz w:val="1"/>
                <w:szCs w:val="1"/>
                <w:color w:val="auto"/>
              </w:rPr>
            </w:pPr>
          </w:p>
        </w:tc>
      </w:tr>
      <w:tr>
        <w:trPr>
          <w:trHeight w:val="196"/>
        </w:trPr>
        <w:tc>
          <w:tcPr>
            <w:tcW w:w="408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b w:val="1"/>
                <w:bCs w:val="1"/>
                <w:color w:val="auto"/>
              </w:rPr>
              <w:t>Accumulated depreciation:</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2,870</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1,740</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2,648</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791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8,049</w:t>
            </w: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Amortization</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516</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64</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480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222</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1,282</w:t>
            </w: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(159)</w:t>
            </w:r>
          </w:p>
        </w:tc>
        <w:tc>
          <w:tcPr>
            <w:tcW w:w="16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(89)</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(127)</w:t>
            </w:r>
          </w:p>
        </w:tc>
        <w:tc>
          <w:tcPr>
            <w:tcW w:w="14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(94)</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(469)</w:t>
            </w:r>
          </w:p>
        </w:tc>
        <w:tc>
          <w:tcPr>
            <w:tcW w:w="0" w:type="dxa"/>
            <w:vAlign w:val="bottom"/>
          </w:tcPr>
          <w:p>
            <w:pPr>
              <w:spacing w:after="0"/>
              <w:rPr>
                <w:sz w:val="1"/>
                <w:szCs w:val="1"/>
                <w:color w:val="auto"/>
              </w:rPr>
            </w:pPr>
          </w:p>
        </w:tc>
      </w:tr>
      <w:tr>
        <w:trPr>
          <w:trHeight w:val="230"/>
        </w:trPr>
        <w:tc>
          <w:tcPr>
            <w:tcW w:w="4080" w:type="dxa"/>
            <w:vAlign w:val="bottom"/>
          </w:tcPr>
          <w:p>
            <w:pPr>
              <w:spacing w:after="0"/>
              <w:rPr>
                <w:sz w:val="20"/>
                <w:szCs w:val="20"/>
                <w:color w:val="auto"/>
              </w:rPr>
            </w:pPr>
            <w:r>
              <w:rPr>
                <w:rFonts w:ascii="Arial" w:cs="Arial" w:eastAsia="Arial" w:hAnsi="Arial"/>
                <w:sz w:val="18"/>
                <w:szCs w:val="18"/>
                <w:color w:val="auto"/>
              </w:rPr>
              <w:t>Reclassifications</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0"/>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2018</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3,269</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1,715</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3,001</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919</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8,904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Amortization</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584</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62</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508</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260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1,414</w:t>
            </w: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w:t>
            </w:r>
          </w:p>
        </w:tc>
        <w:tc>
          <w:tcPr>
            <w:tcW w:w="16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(97)</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(175)</w:t>
            </w:r>
          </w:p>
        </w:tc>
        <w:tc>
          <w:tcPr>
            <w:tcW w:w="14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(21)</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(352)</w:t>
            </w:r>
          </w:p>
        </w:tc>
        <w:tc>
          <w:tcPr>
            <w:tcW w:w="0" w:type="dxa"/>
            <w:vAlign w:val="bottom"/>
          </w:tcPr>
          <w:p>
            <w:pPr>
              <w:spacing w:after="0"/>
              <w:rPr>
                <w:sz w:val="1"/>
                <w:szCs w:val="1"/>
                <w:color w:val="auto"/>
              </w:rPr>
            </w:pPr>
          </w:p>
        </w:tc>
      </w:tr>
      <w:tr>
        <w:trPr>
          <w:trHeight w:val="229"/>
        </w:trPr>
        <w:tc>
          <w:tcPr>
            <w:tcW w:w="4080" w:type="dxa"/>
            <w:vAlign w:val="bottom"/>
          </w:tcPr>
          <w:p>
            <w:pPr>
              <w:spacing w:after="0"/>
              <w:rPr>
                <w:sz w:val="20"/>
                <w:szCs w:val="20"/>
                <w:color w:val="auto"/>
              </w:rPr>
            </w:pPr>
            <w:r>
              <w:rPr>
                <w:rFonts w:ascii="Arial" w:cs="Arial" w:eastAsia="Arial" w:hAnsi="Arial"/>
                <w:sz w:val="18"/>
                <w:szCs w:val="18"/>
                <w:color w:val="auto"/>
              </w:rPr>
              <w:t>Effect of changes in exchange rates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(40)</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(53)</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(35)</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(128)</w:t>
            </w:r>
          </w:p>
        </w:tc>
        <w:tc>
          <w:tcPr>
            <w:tcW w:w="0" w:type="dxa"/>
            <w:vAlign w:val="bottom"/>
          </w:tcPr>
          <w:p>
            <w:pPr>
              <w:spacing w:after="0"/>
              <w:rPr>
                <w:sz w:val="1"/>
                <w:szCs w:val="1"/>
                <w:color w:val="auto"/>
              </w:rPr>
            </w:pPr>
          </w:p>
        </w:tc>
      </w:tr>
      <w:tr>
        <w:trPr>
          <w:trHeight w:val="210"/>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2019</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3,754</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1,627</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3,299</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1,158</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9,838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80" w:type="dxa"/>
            <w:vAlign w:val="bottom"/>
          </w:tcPr>
          <w:p>
            <w:pPr>
              <w:spacing w:after="0"/>
              <w:rPr>
                <w:sz w:val="20"/>
                <w:szCs w:val="20"/>
                <w:color w:val="auto"/>
              </w:rPr>
            </w:pPr>
            <w:r>
              <w:rPr>
                <w:rFonts w:ascii="Arial" w:cs="Arial" w:eastAsia="Arial" w:hAnsi="Arial"/>
                <w:sz w:val="18"/>
                <w:szCs w:val="18"/>
                <w:color w:val="auto"/>
              </w:rPr>
              <w:t>Amortization</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643</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63</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553</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920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2,179</w:t>
            </w: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Disposals</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(1,043)</w:t>
            </w:r>
          </w:p>
        </w:tc>
        <w:tc>
          <w:tcPr>
            <w:tcW w:w="16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(82)</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w:t>
            </w:r>
          </w:p>
        </w:tc>
        <w:tc>
          <w:tcPr>
            <w:tcW w:w="14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(40)</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(1,173)</w:t>
            </w:r>
          </w:p>
        </w:tc>
        <w:tc>
          <w:tcPr>
            <w:tcW w:w="0" w:type="dxa"/>
            <w:vAlign w:val="bottom"/>
          </w:tcPr>
          <w:p>
            <w:pPr>
              <w:spacing w:after="0"/>
              <w:rPr>
                <w:sz w:val="1"/>
                <w:szCs w:val="1"/>
                <w:color w:val="auto"/>
              </w:rPr>
            </w:pPr>
          </w:p>
        </w:tc>
      </w:tr>
      <w:tr>
        <w:trPr>
          <w:trHeight w:val="230"/>
        </w:trPr>
        <w:tc>
          <w:tcPr>
            <w:tcW w:w="4080" w:type="dxa"/>
            <w:vAlign w:val="bottom"/>
          </w:tcPr>
          <w:p>
            <w:pPr>
              <w:spacing w:after="0"/>
              <w:rPr>
                <w:sz w:val="20"/>
                <w:szCs w:val="20"/>
                <w:color w:val="auto"/>
              </w:rPr>
            </w:pPr>
            <w:r>
              <w:rPr>
                <w:rFonts w:ascii="Arial" w:cs="Arial" w:eastAsia="Arial" w:hAnsi="Arial"/>
                <w:sz w:val="18"/>
                <w:szCs w:val="18"/>
                <w:color w:val="auto"/>
              </w:rPr>
              <w:t>Effect of changes in exchange rates</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1600" w:type="dxa"/>
            <w:vAlign w:val="bottom"/>
            <w:gridSpan w:val="3"/>
          </w:tcPr>
          <w:p>
            <w:pPr>
              <w:jc w:val="right"/>
              <w:ind w:right="160"/>
              <w:spacing w:after="0"/>
              <w:rPr>
                <w:sz w:val="20"/>
                <w:szCs w:val="20"/>
                <w:color w:val="auto"/>
              </w:rPr>
            </w:pPr>
            <w:r>
              <w:rPr>
                <w:rFonts w:ascii="Arial" w:cs="Arial" w:eastAsia="Arial" w:hAnsi="Arial"/>
                <w:sz w:val="18"/>
                <w:szCs w:val="18"/>
                <w:color w:val="auto"/>
              </w:rPr>
              <w:t>(7)</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(14)</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color w:val="auto"/>
              </w:rPr>
              <w:t>14</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0"/>
        </w:trPr>
        <w:tc>
          <w:tcPr>
            <w:tcW w:w="40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2020</w:t>
            </w:r>
          </w:p>
        </w:tc>
        <w:tc>
          <w:tcPr>
            <w:tcW w:w="12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gridSpan w:val="2"/>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4080" w:type="dxa"/>
            <w:vAlign w:val="bottom"/>
            <w:vMerge w:val="continue"/>
            <w:shd w:val="clear" w:color="auto" w:fill="CCEEFF"/>
          </w:tcPr>
          <w:p>
            <w:pPr>
              <w:spacing w:after="0"/>
              <w:rPr>
                <w:sz w:val="21"/>
                <w:szCs w:val="21"/>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3,340</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1,601</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3,830</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2,052</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10,823</w:t>
            </w:r>
          </w:p>
        </w:tc>
        <w:tc>
          <w:tcPr>
            <w:tcW w:w="0" w:type="dxa"/>
            <w:vAlign w:val="bottom"/>
          </w:tcPr>
          <w:p>
            <w:pPr>
              <w:spacing w:after="0"/>
              <w:rPr>
                <w:sz w:val="1"/>
                <w:szCs w:val="1"/>
                <w:color w:val="auto"/>
              </w:rPr>
            </w:pPr>
          </w:p>
        </w:tc>
      </w:tr>
      <w:tr>
        <w:trPr>
          <w:trHeight w:val="20"/>
        </w:trPr>
        <w:tc>
          <w:tcPr>
            <w:tcW w:w="40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Carrying amounts as of:</w:t>
            </w: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7"/>
        </w:trPr>
        <w:tc>
          <w:tcPr>
            <w:tcW w:w="4080" w:type="dxa"/>
            <w:vAlign w:val="bottom"/>
          </w:tcPr>
          <w:p>
            <w:pPr>
              <w:spacing w:after="0"/>
              <w:rPr>
                <w:sz w:val="20"/>
                <w:szCs w:val="20"/>
                <w:color w:val="auto"/>
              </w:rPr>
            </w:pPr>
            <w:r>
              <w:rPr>
                <w:rFonts w:ascii="Arial" w:cs="Arial" w:eastAsia="Arial" w:hAnsi="Arial"/>
                <w:sz w:val="18"/>
                <w:szCs w:val="18"/>
                <w:color w:val="auto"/>
              </w:rPr>
              <w:t>December 31, 2020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796</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76</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3,598</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520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4,990</w:t>
            </w:r>
          </w:p>
        </w:tc>
        <w:tc>
          <w:tcPr>
            <w:tcW w:w="0" w:type="dxa"/>
            <w:vAlign w:val="bottom"/>
          </w:tcPr>
          <w:p>
            <w:pPr>
              <w:spacing w:after="0"/>
              <w:rPr>
                <w:sz w:val="1"/>
                <w:szCs w:val="1"/>
                <w:color w:val="auto"/>
              </w:rPr>
            </w:pPr>
          </w:p>
        </w:tc>
      </w:tr>
      <w:tr>
        <w:trPr>
          <w:trHeight w:val="20"/>
        </w:trPr>
        <w:tc>
          <w:tcPr>
            <w:tcW w:w="4080" w:type="dxa"/>
            <w:vAlign w:val="bottom"/>
            <w:tcBorders>
              <w:top w:val="single" w:sz="8" w:color="CCEEFF"/>
            </w:tcBorders>
            <w:vMerge w:val="restart"/>
            <w:shd w:val="clear" w:color="auto" w:fill="CCEEFF"/>
          </w:tcPr>
          <w:p>
            <w:pPr>
              <w:spacing w:after="0"/>
              <w:rPr>
                <w:sz w:val="20"/>
                <w:szCs w:val="20"/>
                <w:color w:val="auto"/>
              </w:rPr>
            </w:pPr>
            <w:r>
              <w:rPr>
                <w:rFonts w:ascii="Arial" w:cs="Arial" w:eastAsia="Arial" w:hAnsi="Arial"/>
                <w:sz w:val="18"/>
                <w:szCs w:val="18"/>
                <w:color w:val="auto"/>
              </w:rPr>
              <w:t>December 31, 2019</w:t>
            </w:r>
          </w:p>
        </w:tc>
        <w:tc>
          <w:tcPr>
            <w:tcW w:w="124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4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auto"/>
            </w:tcBorders>
            <w:shd w:val="clear" w:color="auto" w:fill="000000"/>
          </w:tcPr>
          <w:p>
            <w:pPr>
              <w:spacing w:after="0" w:line="20" w:lineRule="exact"/>
              <w:rPr>
                <w:sz w:val="1"/>
                <w:szCs w:val="1"/>
                <w:color w:val="auto"/>
              </w:rPr>
            </w:pPr>
          </w:p>
        </w:tc>
        <w:tc>
          <w:tcPr>
            <w:tcW w:w="11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80" w:type="dxa"/>
            <w:vAlign w:val="bottom"/>
            <w:vMerge w:val="continue"/>
            <w:shd w:val="clear" w:color="auto" w:fill="CCEEFF"/>
          </w:tcPr>
          <w:p>
            <w:pPr>
              <w:spacing w:after="0"/>
              <w:rPr>
                <w:sz w:val="20"/>
                <w:szCs w:val="20"/>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1,151</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144</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3,504</w:t>
            </w:r>
          </w:p>
        </w:tc>
        <w:tc>
          <w:tcPr>
            <w:tcW w:w="14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1,431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6,230</w:t>
            </w:r>
          </w:p>
        </w:tc>
        <w:tc>
          <w:tcPr>
            <w:tcW w:w="0" w:type="dxa"/>
            <w:vAlign w:val="bottom"/>
          </w:tcPr>
          <w:p>
            <w:pPr>
              <w:spacing w:after="0"/>
              <w:rPr>
                <w:sz w:val="1"/>
                <w:szCs w:val="1"/>
                <w:color w:val="auto"/>
              </w:rPr>
            </w:pPr>
          </w:p>
        </w:tc>
      </w:tr>
      <w:tr>
        <w:trPr>
          <w:trHeight w:val="20"/>
        </w:trPr>
        <w:tc>
          <w:tcPr>
            <w:tcW w:w="40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December 31, 2018</w:t>
            </w: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80" w:type="dxa"/>
            <w:vAlign w:val="bottom"/>
            <w:vMerge w:val="continue"/>
          </w:tcPr>
          <w:p>
            <w:pPr>
              <w:spacing w:after="0"/>
              <w:rPr>
                <w:sz w:val="20"/>
                <w:szCs w:val="20"/>
                <w:color w:val="auto"/>
              </w:rPr>
            </w:pP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1,069</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184</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3,840</w:t>
            </w: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rPr>
              <w:t>1,593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6,686</w:t>
            </w:r>
          </w:p>
        </w:tc>
        <w:tc>
          <w:tcPr>
            <w:tcW w:w="0" w:type="dxa"/>
            <w:vAlign w:val="bottom"/>
          </w:tcPr>
          <w:p>
            <w:pPr>
              <w:spacing w:after="0"/>
              <w:rPr>
                <w:sz w:val="1"/>
                <w:szCs w:val="1"/>
                <w:color w:val="auto"/>
              </w:rPr>
            </w:pPr>
          </w:p>
        </w:tc>
      </w:tr>
      <w:tr>
        <w:trPr>
          <w:trHeight w:val="20"/>
        </w:trPr>
        <w:tc>
          <w:tcPr>
            <w:tcW w:w="408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40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right"/>
              <w:ind w:right="1220"/>
              <w:spacing w:after="0"/>
              <w:rPr>
                <w:sz w:val="20"/>
                <w:szCs w:val="20"/>
                <w:color w:val="auto"/>
              </w:rPr>
            </w:pPr>
            <w:r>
              <w:rPr>
                <w:rFonts w:ascii="Arial" w:cs="Arial" w:eastAsia="Arial" w:hAnsi="Arial"/>
                <w:sz w:val="18"/>
                <w:szCs w:val="18"/>
                <w:color w:val="auto"/>
                <w:w w:val="97"/>
              </w:rPr>
              <w:t>F-95</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31" w:name="page232"/>
    <w:bookmarkEnd w:id="2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right="6900" w:hanging="332"/>
        <w:spacing w:after="0" w:line="503" w:lineRule="auto"/>
        <w:tabs>
          <w:tab w:leader="none" w:pos="340" w:val="left"/>
        </w:tabs>
        <w:numPr>
          <w:ilvl w:val="0"/>
          <w:numId w:val="263"/>
        </w:numPr>
        <w:rPr>
          <w:rFonts w:ascii="Arial" w:cs="Arial" w:eastAsia="Arial" w:hAnsi="Arial"/>
          <w:sz w:val="18"/>
          <w:szCs w:val="18"/>
          <w:b w:val="1"/>
          <w:bCs w:val="1"/>
          <w:color w:val="auto"/>
        </w:rPr>
      </w:pPr>
      <w:r>
        <w:rPr>
          <w:rFonts w:ascii="Arial" w:cs="Arial" w:eastAsia="Arial" w:hAnsi="Arial"/>
          <w:sz w:val="18"/>
          <w:szCs w:val="18"/>
          <w:b w:val="1"/>
          <w:bCs w:val="1"/>
          <w:color w:val="auto"/>
        </w:rPr>
        <w:t>Equipment and leasehold improvements (continued) Leases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is the detail of the movement of right-of-use assets on the leases for which the Bank is a lessee:</w:t>
      </w:r>
    </w:p>
    <w:p>
      <w:pPr>
        <w:spacing w:after="0" w:line="235" w:lineRule="exact"/>
        <w:rPr>
          <w:sz w:val="20"/>
          <w:szCs w:val="20"/>
          <w:color w:val="auto"/>
        </w:rPr>
      </w:pPr>
    </w:p>
    <w:p>
      <w:pPr>
        <w:ind w:left="8100"/>
        <w:spacing w:after="0"/>
        <w:rPr>
          <w:sz w:val="20"/>
          <w:szCs w:val="20"/>
          <w:color w:val="auto"/>
        </w:rPr>
      </w:pPr>
      <w:r>
        <w:rPr>
          <w:rFonts w:ascii="Arial" w:cs="Arial" w:eastAsia="Arial" w:hAnsi="Arial"/>
          <w:sz w:val="18"/>
          <w:szCs w:val="18"/>
          <w:b w:val="1"/>
          <w:bCs w:val="1"/>
          <w:color w:val="auto"/>
        </w:rPr>
        <w:t>Building</w:t>
      </w:r>
    </w:p>
    <w:p>
      <w:pPr>
        <w:spacing w:after="0" w:line="27" w:lineRule="exact"/>
        <w:rPr>
          <w:sz w:val="20"/>
          <w:szCs w:val="20"/>
          <w:color w:val="auto"/>
        </w:rPr>
      </w:pPr>
    </w:p>
    <w:tbl>
      <w:tblPr>
        <w:tblLayout w:type="fixed"/>
        <w:tblInd w:w="1140" w:type="dxa"/>
        <w:tblCellMar>
          <w:top w:w="0" w:type="dxa"/>
          <w:left w:w="0" w:type="dxa"/>
          <w:bottom w:w="0" w:type="dxa"/>
          <w:right w:w="0" w:type="dxa"/>
        </w:tblCellMar>
      </w:tblPr>
      <w:tr>
        <w:trPr>
          <w:trHeight w:val="191"/>
        </w:trPr>
        <w:tc>
          <w:tcPr>
            <w:tcW w:w="5740" w:type="dxa"/>
            <w:vAlign w:val="bottom"/>
          </w:tcPr>
          <w:p>
            <w:pPr>
              <w:spacing w:after="0"/>
              <w:rPr>
                <w:sz w:val="16"/>
                <w:szCs w:val="16"/>
                <w:color w:val="auto"/>
              </w:rPr>
            </w:pPr>
          </w:p>
        </w:tc>
        <w:tc>
          <w:tcPr>
            <w:tcW w:w="1640" w:type="dxa"/>
            <w:vAlign w:val="bottom"/>
            <w:tcBorders>
              <w:top w:val="single" w:sz="8" w:color="auto"/>
            </w:tcBorders>
            <w:gridSpan w:val="2"/>
          </w:tcPr>
          <w:p>
            <w:pPr>
              <w:jc w:val="right"/>
              <w:ind w:right="400"/>
              <w:spacing w:after="0" w:line="191" w:lineRule="exact"/>
              <w:rPr>
                <w:sz w:val="20"/>
                <w:szCs w:val="20"/>
                <w:color w:val="auto"/>
              </w:rPr>
            </w:pPr>
            <w:r>
              <w:rPr>
                <w:rFonts w:ascii="Arial" w:cs="Arial" w:eastAsia="Arial" w:hAnsi="Arial"/>
                <w:sz w:val="18"/>
                <w:szCs w:val="18"/>
                <w:b w:val="1"/>
                <w:bCs w:val="1"/>
                <w:color w:val="auto"/>
              </w:rPr>
              <w:t>December 31,</w:t>
            </w:r>
          </w:p>
        </w:tc>
        <w:tc>
          <w:tcPr>
            <w:tcW w:w="1500" w:type="dxa"/>
            <w:vAlign w:val="bottom"/>
            <w:tcBorders>
              <w:top w:val="single" w:sz="8" w:color="auto"/>
            </w:tcBorders>
          </w:tcPr>
          <w:p>
            <w:pPr>
              <w:jc w:val="right"/>
              <w:ind w:right="150"/>
              <w:spacing w:after="0" w:line="191" w:lineRule="exact"/>
              <w:rPr>
                <w:sz w:val="20"/>
                <w:szCs w:val="20"/>
                <w:color w:val="auto"/>
              </w:rPr>
            </w:pPr>
            <w:r>
              <w:rPr>
                <w:rFonts w:ascii="Arial" w:cs="Arial" w:eastAsia="Arial" w:hAnsi="Arial"/>
                <w:sz w:val="18"/>
                <w:szCs w:val="18"/>
                <w:b w:val="1"/>
                <w:bCs w:val="1"/>
                <w:color w:val="auto"/>
              </w:rPr>
              <w:t>December 31,</w:t>
            </w:r>
          </w:p>
        </w:tc>
        <w:tc>
          <w:tcPr>
            <w:tcW w:w="100" w:type="dxa"/>
            <w:vAlign w:val="bottom"/>
          </w:tcPr>
          <w:p>
            <w:pPr>
              <w:spacing w:after="0"/>
              <w:rPr>
                <w:sz w:val="16"/>
                <w:szCs w:val="16"/>
                <w:color w:val="auto"/>
              </w:rPr>
            </w:pPr>
          </w:p>
        </w:tc>
      </w:tr>
      <w:tr>
        <w:trPr>
          <w:trHeight w:val="234"/>
        </w:trPr>
        <w:tc>
          <w:tcPr>
            <w:tcW w:w="57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5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Initial balance</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12,522</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17,435</w:t>
            </w:r>
          </w:p>
        </w:tc>
        <w:tc>
          <w:tcPr>
            <w:tcW w:w="100" w:type="dxa"/>
            <w:vAlign w:val="bottom"/>
            <w:shd w:val="clear" w:color="auto" w:fill="CCEEFF"/>
          </w:tcPr>
          <w:p>
            <w:pPr>
              <w:spacing w:after="0"/>
              <w:rPr>
                <w:sz w:val="18"/>
                <w:szCs w:val="18"/>
                <w:color w:val="auto"/>
              </w:rPr>
            </w:pPr>
          </w:p>
        </w:tc>
      </w:tr>
      <w:tr>
        <w:trPr>
          <w:trHeight w:val="216"/>
        </w:trPr>
        <w:tc>
          <w:tcPr>
            <w:tcW w:w="5740" w:type="dxa"/>
            <w:vAlign w:val="bottom"/>
          </w:tcPr>
          <w:p>
            <w:pPr>
              <w:spacing w:after="0"/>
              <w:rPr>
                <w:sz w:val="20"/>
                <w:szCs w:val="20"/>
                <w:color w:val="auto"/>
              </w:rPr>
            </w:pPr>
            <w:r>
              <w:rPr>
                <w:rFonts w:ascii="Arial" w:cs="Arial" w:eastAsia="Arial" w:hAnsi="Arial"/>
                <w:sz w:val="18"/>
                <w:szCs w:val="18"/>
                <w:color w:val="auto"/>
              </w:rPr>
              <w:t>Additions</w:t>
            </w:r>
          </w:p>
        </w:tc>
        <w:tc>
          <w:tcPr>
            <w:tcW w:w="1440" w:type="dxa"/>
            <w:vAlign w:val="bottom"/>
          </w:tcPr>
          <w:p>
            <w:pPr>
              <w:jc w:val="right"/>
              <w:spacing w:after="0"/>
              <w:rPr>
                <w:sz w:val="20"/>
                <w:szCs w:val="20"/>
                <w:color w:val="auto"/>
              </w:rPr>
            </w:pPr>
            <w:r>
              <w:rPr>
                <w:rFonts w:ascii="Arial" w:cs="Arial" w:eastAsia="Arial" w:hAnsi="Arial"/>
                <w:sz w:val="18"/>
                <w:szCs w:val="18"/>
                <w:color w:val="auto"/>
              </w:rPr>
              <w:t>68</w:t>
            </w:r>
          </w:p>
        </w:tc>
        <w:tc>
          <w:tcPr>
            <w:tcW w:w="20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18"/>
                <w:szCs w:val="18"/>
                <w:color w:val="auto"/>
              </w:rPr>
            </w:pPr>
          </w:p>
        </w:tc>
      </w:tr>
      <w:tr>
        <w:trPr>
          <w:trHeight w:val="216"/>
        </w:trPr>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right-of-use assets</w:t>
            </w:r>
          </w:p>
        </w:tc>
        <w:tc>
          <w:tcPr>
            <w:tcW w:w="1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(1,128)</w:t>
            </w:r>
          </w:p>
        </w:tc>
        <w:tc>
          <w:tcPr>
            <w:tcW w:w="1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(1,440)</w:t>
            </w:r>
          </w:p>
        </w:tc>
      </w:tr>
      <w:tr>
        <w:trPr>
          <w:trHeight w:val="216"/>
        </w:trPr>
        <w:tc>
          <w:tcPr>
            <w:tcW w:w="5740" w:type="dxa"/>
            <w:vAlign w:val="bottom"/>
          </w:tcPr>
          <w:p>
            <w:pPr>
              <w:spacing w:after="0"/>
              <w:rPr>
                <w:sz w:val="20"/>
                <w:szCs w:val="20"/>
                <w:color w:val="auto"/>
              </w:rPr>
            </w:pPr>
            <w:r>
              <w:rPr>
                <w:rFonts w:ascii="Arial" w:cs="Arial" w:eastAsia="Arial" w:hAnsi="Arial"/>
                <w:sz w:val="18"/>
                <w:szCs w:val="18"/>
                <w:color w:val="auto"/>
              </w:rPr>
              <w:t>Effect of changes in exchange rates</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(34)</w:t>
            </w:r>
          </w:p>
        </w:tc>
        <w:tc>
          <w:tcPr>
            <w:tcW w:w="1500" w:type="dxa"/>
            <w:vAlign w:val="bottom"/>
          </w:tcPr>
          <w:p>
            <w:pPr>
              <w:jc w:val="right"/>
              <w:spacing w:after="0"/>
              <w:rPr>
                <w:sz w:val="20"/>
                <w:szCs w:val="20"/>
                <w:color w:val="auto"/>
              </w:rPr>
            </w:pPr>
            <w:r>
              <w:rPr>
                <w:rFonts w:ascii="Arial" w:cs="Arial" w:eastAsia="Arial" w:hAnsi="Arial"/>
                <w:sz w:val="18"/>
                <w:szCs w:val="18"/>
                <w:color w:val="auto"/>
              </w:rPr>
              <w:t>7</w:t>
            </w:r>
          </w:p>
        </w:tc>
        <w:tc>
          <w:tcPr>
            <w:tcW w:w="100" w:type="dxa"/>
            <w:vAlign w:val="bottom"/>
          </w:tcPr>
          <w:p>
            <w:pPr>
              <w:spacing w:after="0"/>
              <w:rPr>
                <w:sz w:val="18"/>
                <w:szCs w:val="18"/>
                <w:color w:val="auto"/>
              </w:rPr>
            </w:pPr>
          </w:p>
        </w:tc>
      </w:tr>
      <w:tr>
        <w:trPr>
          <w:trHeight w:val="216"/>
        </w:trPr>
        <w:tc>
          <w:tcPr>
            <w:tcW w:w="5740" w:type="dxa"/>
            <w:vAlign w:val="bottom"/>
            <w:shd w:val="clear" w:color="auto" w:fill="CCEEFF"/>
          </w:tcPr>
          <w:p>
            <w:pPr>
              <w:spacing w:after="0"/>
              <w:rPr>
                <w:sz w:val="20"/>
                <w:szCs w:val="20"/>
                <w:color w:val="auto"/>
              </w:rPr>
            </w:pPr>
            <w:r>
              <w:rPr>
                <w:rFonts w:ascii="Arial" w:cs="Arial" w:eastAsia="Arial" w:hAnsi="Arial"/>
                <w:sz w:val="18"/>
                <w:szCs w:val="18"/>
                <w:color w:val="auto"/>
              </w:rPr>
              <w:t>Reclassification to investment property</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(3,494)</w:t>
            </w:r>
          </w:p>
        </w:tc>
      </w:tr>
      <w:tr>
        <w:trPr>
          <w:trHeight w:val="230"/>
        </w:trPr>
        <w:tc>
          <w:tcPr>
            <w:tcW w:w="5740" w:type="dxa"/>
            <w:vAlign w:val="bottom"/>
          </w:tcPr>
          <w:p>
            <w:pPr>
              <w:spacing w:after="0"/>
              <w:rPr>
                <w:sz w:val="20"/>
                <w:szCs w:val="20"/>
                <w:color w:val="auto"/>
              </w:rPr>
            </w:pPr>
            <w:r>
              <w:rPr>
                <w:rFonts w:ascii="Arial" w:cs="Arial" w:eastAsia="Arial" w:hAnsi="Arial"/>
                <w:sz w:val="18"/>
                <w:szCs w:val="18"/>
                <w:color w:val="auto"/>
              </w:rPr>
              <w:t>Decrease</w:t>
            </w:r>
          </w:p>
        </w:tc>
        <w:tc>
          <w:tcPr>
            <w:tcW w:w="1640" w:type="dxa"/>
            <w:vAlign w:val="bottom"/>
            <w:gridSpan w:val="2"/>
          </w:tcPr>
          <w:p>
            <w:pPr>
              <w:jc w:val="right"/>
              <w:ind w:right="140"/>
              <w:spacing w:after="0"/>
              <w:rPr>
                <w:sz w:val="20"/>
                <w:szCs w:val="20"/>
                <w:color w:val="auto"/>
              </w:rPr>
            </w:pPr>
            <w:r>
              <w:rPr>
                <w:rFonts w:ascii="Arial" w:cs="Arial" w:eastAsia="Arial" w:hAnsi="Arial"/>
                <w:sz w:val="18"/>
                <w:szCs w:val="18"/>
                <w:color w:val="auto"/>
              </w:rPr>
              <w:t>(205)</w:t>
            </w:r>
          </w:p>
        </w:tc>
        <w:tc>
          <w:tcPr>
            <w:tcW w:w="15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50"/>
        </w:trPr>
        <w:tc>
          <w:tcPr>
            <w:tcW w:w="5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Ending balance</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11,223</w:t>
            </w:r>
          </w:p>
        </w:tc>
        <w:tc>
          <w:tcPr>
            <w:tcW w:w="200" w:type="dxa"/>
            <w:vAlign w:val="bottom"/>
            <w:tcBorders>
              <w:top w:val="single" w:sz="8" w:color="CCEEFF"/>
              <w:bottom w:val="single" w:sz="8" w:color="CCEEFF"/>
            </w:tcBorders>
            <w:shd w:val="clear" w:color="auto" w:fill="CCEEFF"/>
          </w:tcPr>
          <w:p>
            <w:pPr>
              <w:spacing w:after="0"/>
              <w:rPr>
                <w:sz w:val="21"/>
                <w:szCs w:val="21"/>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12,522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r>
      <w:tr>
        <w:trPr>
          <w:trHeight w:val="20"/>
        </w:trPr>
        <w:tc>
          <w:tcPr>
            <w:tcW w:w="57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308" w:lineRule="auto"/>
        <w:rPr>
          <w:sz w:val="20"/>
          <w:szCs w:val="20"/>
          <w:color w:val="auto"/>
        </w:rPr>
      </w:pPr>
      <w:r>
        <w:rPr>
          <w:rFonts w:ascii="Arial" w:cs="Arial" w:eastAsia="Arial" w:hAnsi="Arial"/>
          <w:sz w:val="17"/>
          <w:szCs w:val="17"/>
          <w:color w:val="auto"/>
        </w:rPr>
        <w:t>The Bank leases office spaces in buildings. The lease of main office space typically runs for a period of 15 years, and for the representative offices from 3 to 5 years. Some leases include an option to renew the lease for a similar additional period after the end of the contract term.</w:t>
      </w:r>
    </w:p>
    <w:p>
      <w:pPr>
        <w:spacing w:after="0" w:line="146"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sub-leases some of its property under operating leases. As of December 31, 2019, these contracts were reclassified as investment properties – right of use, as described in Note 17.</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32" w:name="page233"/>
    <w:bookmarkEnd w:id="2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280" w:type="dxa"/>
            <w:vAlign w:val="bottom"/>
            <w:gridSpan w:val="3"/>
          </w:tcPr>
          <w:p>
            <w:pPr>
              <w:spacing w:after="0"/>
              <w:rPr>
                <w:sz w:val="20"/>
                <w:szCs w:val="20"/>
                <w:color w:val="auto"/>
              </w:rPr>
            </w:pPr>
            <w:r>
              <w:rPr>
                <w:rFonts w:ascii="Arial" w:cs="Arial" w:eastAsia="Arial" w:hAnsi="Arial"/>
                <w:sz w:val="18"/>
                <w:szCs w:val="18"/>
                <w:b w:val="1"/>
                <w:bCs w:val="1"/>
                <w:color w:val="auto"/>
              </w:rPr>
              <w:t>16.Intangible assets</w:t>
            </w: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280" w:type="dxa"/>
            <w:vAlign w:val="bottom"/>
            <w:gridSpan w:val="3"/>
          </w:tcPr>
          <w:p>
            <w:pPr>
              <w:ind w:left="340"/>
              <w:spacing w:after="0"/>
              <w:rPr>
                <w:sz w:val="20"/>
                <w:szCs w:val="20"/>
                <w:color w:val="auto"/>
              </w:rPr>
            </w:pPr>
            <w:r>
              <w:rPr>
                <w:rFonts w:ascii="Arial" w:cs="Arial" w:eastAsia="Arial" w:hAnsi="Arial"/>
                <w:sz w:val="18"/>
                <w:szCs w:val="18"/>
                <w:color w:val="auto"/>
                <w:w w:val="92"/>
              </w:rPr>
              <w:t>A breakdown of software cost, accumulated amortization, additions, sales and disposals of intangible assets is as follows:</w:t>
            </w: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140" w:type="dxa"/>
            <w:vAlign w:val="bottom"/>
            <w:vMerge w:val="restart"/>
          </w:tcPr>
          <w:p>
            <w:pPr>
              <w:spacing w:after="0"/>
              <w:rPr>
                <w:sz w:val="18"/>
                <w:szCs w:val="18"/>
                <w:color w:val="auto"/>
              </w:rPr>
            </w:pPr>
          </w:p>
        </w:tc>
        <w:tc>
          <w:tcPr>
            <w:tcW w:w="74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vMerge w:val="continue"/>
          </w:tcPr>
          <w:p>
            <w:pPr>
              <w:spacing w:after="0"/>
              <w:rPr>
                <w:sz w:val="18"/>
                <w:szCs w:val="18"/>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Costs:</w:t>
            </w: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tcPr>
          <w:p>
            <w:pPr>
              <w:spacing w:after="0"/>
              <w:rPr>
                <w:sz w:val="20"/>
                <w:szCs w:val="20"/>
                <w:color w:val="auto"/>
              </w:rPr>
            </w:pPr>
            <w:r>
              <w:rPr>
                <w:rFonts w:ascii="Arial" w:cs="Arial" w:eastAsia="Arial" w:hAnsi="Arial"/>
                <w:sz w:val="18"/>
                <w:szCs w:val="18"/>
                <w:b w:val="1"/>
                <w:bCs w:val="1"/>
                <w:color w:val="auto"/>
              </w:rPr>
              <w:t>Balance as of January 1, 2018</w:t>
            </w:r>
          </w:p>
        </w:tc>
        <w:tc>
          <w:tcPr>
            <w:tcW w:w="740" w:type="dxa"/>
            <w:vAlign w:val="bottom"/>
          </w:tcPr>
          <w:p>
            <w:pPr>
              <w:jc w:val="right"/>
              <w:spacing w:after="0"/>
              <w:rPr>
                <w:sz w:val="20"/>
                <w:szCs w:val="20"/>
                <w:color w:val="auto"/>
              </w:rPr>
            </w:pPr>
            <w:r>
              <w:rPr>
                <w:rFonts w:ascii="Arial" w:cs="Arial" w:eastAsia="Arial" w:hAnsi="Arial"/>
                <w:sz w:val="18"/>
                <w:szCs w:val="18"/>
                <w:color w:val="auto"/>
              </w:rPr>
              <w:t>17,172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Additions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tcPr>
          <w:p>
            <w:pPr>
              <w:spacing w:after="0"/>
              <w:rPr>
                <w:sz w:val="20"/>
                <w:szCs w:val="20"/>
                <w:color w:val="auto"/>
              </w:rPr>
            </w:pPr>
            <w:r>
              <w:rPr>
                <w:rFonts w:ascii="Arial" w:cs="Arial" w:eastAsia="Arial" w:hAnsi="Arial"/>
                <w:sz w:val="18"/>
                <w:szCs w:val="18"/>
                <w:color w:val="auto"/>
              </w:rPr>
              <w:t>Disposals</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(3,315)</w:t>
            </w: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Reclassifications</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w:t>
            </w: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b w:val="1"/>
                <w:bCs w:val="1"/>
                <w:color w:val="auto"/>
              </w:rPr>
              <w:t>Balance as of December 31, 2018</w:t>
            </w:r>
          </w:p>
        </w:tc>
        <w:tc>
          <w:tcPr>
            <w:tcW w:w="7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13,905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140" w:type="dxa"/>
            <w:vAlign w:val="bottom"/>
          </w:tcPr>
          <w:p>
            <w:pPr>
              <w:spacing w:after="0"/>
              <w:rPr>
                <w:sz w:val="19"/>
                <w:szCs w:val="19"/>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Additions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496</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b w:val="1"/>
                <w:bCs w:val="1"/>
                <w:color w:val="auto"/>
              </w:rPr>
              <w:t>Balance as of December 31, 2019</w:t>
            </w:r>
          </w:p>
        </w:tc>
        <w:tc>
          <w:tcPr>
            <w:tcW w:w="7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14,401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Additions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1,311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140" w:type="dxa"/>
            <w:vAlign w:val="bottom"/>
          </w:tcPr>
          <w:p>
            <w:pPr>
              <w:spacing w:after="0"/>
              <w:rPr>
                <w:sz w:val="19"/>
                <w:szCs w:val="19"/>
                <w:color w:val="auto"/>
              </w:rPr>
            </w:pPr>
          </w:p>
        </w:tc>
        <w:tc>
          <w:tcPr>
            <w:tcW w:w="8140" w:type="dxa"/>
            <w:vAlign w:val="bottom"/>
            <w:gridSpan w:val="2"/>
          </w:tcPr>
          <w:p>
            <w:pPr>
              <w:spacing w:after="0"/>
              <w:rPr>
                <w:sz w:val="20"/>
                <w:szCs w:val="20"/>
                <w:color w:val="auto"/>
              </w:rPr>
            </w:pPr>
            <w:r>
              <w:rPr>
                <w:rFonts w:ascii="Arial" w:cs="Arial" w:eastAsia="Arial" w:hAnsi="Arial"/>
                <w:sz w:val="18"/>
                <w:szCs w:val="18"/>
                <w:color w:val="auto"/>
              </w:rPr>
              <w:t>Disposals</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50"/>
        </w:trPr>
        <w:tc>
          <w:tcPr>
            <w:tcW w:w="1140" w:type="dxa"/>
            <w:vAlign w:val="bottom"/>
          </w:tcPr>
          <w:p>
            <w:pPr>
              <w:spacing w:after="0"/>
              <w:rPr>
                <w:sz w:val="21"/>
                <w:szCs w:val="21"/>
                <w:color w:val="auto"/>
              </w:rPr>
            </w:pPr>
          </w:p>
        </w:tc>
        <w:tc>
          <w:tcPr>
            <w:tcW w:w="7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2020</w:t>
            </w:r>
          </w:p>
        </w:tc>
        <w:tc>
          <w:tcPr>
            <w:tcW w:w="720" w:type="dxa"/>
            <w:vAlign w:val="bottom"/>
            <w:tcBorders>
              <w:top w:val="single" w:sz="8" w:color="auto"/>
              <w:bottom w:val="single" w:sz="8" w:color="auto"/>
            </w:tcBorders>
            <w:shd w:val="clear" w:color="auto" w:fill="CCEEFF"/>
          </w:tcPr>
          <w:p>
            <w:pPr>
              <w:spacing w:after="0"/>
              <w:rPr>
                <w:sz w:val="21"/>
                <w:szCs w:val="21"/>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15,711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742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1140" w:type="dxa"/>
            <w:vAlign w:val="bottom"/>
            <w:vMerge w:val="restart"/>
          </w:tcPr>
          <w:p>
            <w:pPr>
              <w:spacing w:after="0"/>
              <w:rPr>
                <w:sz w:val="17"/>
                <w:szCs w:val="17"/>
                <w:color w:val="auto"/>
              </w:rPr>
            </w:pPr>
          </w:p>
        </w:tc>
        <w:tc>
          <w:tcPr>
            <w:tcW w:w="742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140" w:type="dxa"/>
            <w:vAlign w:val="bottom"/>
            <w:vMerge w:val="continue"/>
          </w:tcPr>
          <w:p>
            <w:pPr>
              <w:spacing w:after="0"/>
              <w:rPr>
                <w:sz w:val="18"/>
                <w:szCs w:val="18"/>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Accumulated amortization:</w:t>
            </w: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tcPr>
          <w:p>
            <w:pPr>
              <w:spacing w:after="0"/>
              <w:rPr>
                <w:sz w:val="20"/>
                <w:szCs w:val="20"/>
                <w:color w:val="auto"/>
              </w:rPr>
            </w:pPr>
            <w:r>
              <w:rPr>
                <w:rFonts w:ascii="Arial" w:cs="Arial" w:eastAsia="Arial" w:hAnsi="Arial"/>
                <w:sz w:val="18"/>
                <w:szCs w:val="18"/>
                <w:b w:val="1"/>
                <w:bCs w:val="1"/>
                <w:color w:val="auto"/>
              </w:rPr>
              <w:t>Balance as of January 1, 2018</w:t>
            </w:r>
          </w:p>
        </w:tc>
        <w:tc>
          <w:tcPr>
            <w:tcW w:w="740" w:type="dxa"/>
            <w:vAlign w:val="bottom"/>
          </w:tcPr>
          <w:p>
            <w:pPr>
              <w:jc w:val="right"/>
              <w:spacing w:after="0"/>
              <w:rPr>
                <w:sz w:val="20"/>
                <w:szCs w:val="20"/>
                <w:color w:val="auto"/>
              </w:rPr>
            </w:pPr>
            <w:r>
              <w:rPr>
                <w:rFonts w:ascii="Arial" w:cs="Arial" w:eastAsia="Arial" w:hAnsi="Arial"/>
                <w:sz w:val="18"/>
                <w:szCs w:val="18"/>
                <w:color w:val="auto"/>
              </w:rPr>
              <w:t>11,747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Amortization</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8140" w:type="dxa"/>
            <w:vAlign w:val="bottom"/>
            <w:gridSpan w:val="2"/>
          </w:tcPr>
          <w:p>
            <w:pPr>
              <w:spacing w:after="0"/>
              <w:rPr>
                <w:sz w:val="20"/>
                <w:szCs w:val="20"/>
                <w:color w:val="auto"/>
              </w:rPr>
            </w:pPr>
            <w:r>
              <w:rPr>
                <w:rFonts w:ascii="Arial" w:cs="Arial" w:eastAsia="Arial" w:hAnsi="Arial"/>
                <w:sz w:val="18"/>
                <w:szCs w:val="18"/>
                <w:color w:val="auto"/>
              </w:rPr>
              <w:t>Disposals</w:t>
            </w:r>
          </w:p>
        </w:tc>
        <w:tc>
          <w:tcPr>
            <w:tcW w:w="840" w:type="dxa"/>
            <w:vAlign w:val="bottom"/>
            <w:gridSpan w:val="2"/>
          </w:tcPr>
          <w:p>
            <w:pPr>
              <w:jc w:val="right"/>
              <w:ind w:right="60"/>
              <w:spacing w:after="0"/>
              <w:rPr>
                <w:sz w:val="20"/>
                <w:szCs w:val="20"/>
                <w:color w:val="auto"/>
              </w:rPr>
            </w:pPr>
            <w:r>
              <w:rPr>
                <w:rFonts w:ascii="Arial" w:cs="Arial" w:eastAsia="Arial" w:hAnsi="Arial"/>
                <w:sz w:val="18"/>
                <w:szCs w:val="18"/>
                <w:color w:val="auto"/>
              </w:rPr>
              <w:t>(609)</w:t>
            </w:r>
          </w:p>
        </w:tc>
        <w:tc>
          <w:tcPr>
            <w:tcW w:w="0" w:type="dxa"/>
            <w:vAlign w:val="bottom"/>
          </w:tcPr>
          <w:p>
            <w:pPr>
              <w:spacing w:after="0"/>
              <w:rPr>
                <w:sz w:val="1"/>
                <w:szCs w:val="1"/>
                <w:color w:val="auto"/>
              </w:rPr>
            </w:pPr>
          </w:p>
        </w:tc>
      </w:tr>
      <w:tr>
        <w:trPr>
          <w:trHeight w:val="229"/>
        </w:trPr>
        <w:tc>
          <w:tcPr>
            <w:tcW w:w="1140" w:type="dxa"/>
            <w:vAlign w:val="bottom"/>
          </w:tcPr>
          <w:p>
            <w:pPr>
              <w:spacing w:after="0"/>
              <w:rPr>
                <w:sz w:val="19"/>
                <w:szCs w:val="19"/>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Reclassifications</w:t>
            </w:r>
          </w:p>
        </w:tc>
        <w:tc>
          <w:tcPr>
            <w:tcW w:w="8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b w:val="1"/>
                <w:bCs w:val="1"/>
                <w:color w:val="auto"/>
              </w:rPr>
              <w:t>Balance as of December 31, 2018</w:t>
            </w:r>
          </w:p>
        </w:tc>
        <w:tc>
          <w:tcPr>
            <w:tcW w:w="7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Amortization</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702</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8"/>
                <w:szCs w:val="18"/>
                <w:b w:val="1"/>
                <w:bCs w:val="1"/>
                <w:color w:val="auto"/>
              </w:rPr>
              <w:t>Balance as of December 31, 2019</w:t>
            </w:r>
          </w:p>
        </w:tc>
        <w:tc>
          <w:tcPr>
            <w:tcW w:w="720" w:type="dxa"/>
            <w:vAlign w:val="bottom"/>
            <w:tcBorders>
              <w:top w:val="single" w:sz="8" w:color="auto"/>
            </w:tcBorders>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12,974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8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Amortization</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753</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90"/>
        </w:trPr>
        <w:tc>
          <w:tcPr>
            <w:tcW w:w="8560" w:type="dxa"/>
            <w:vAlign w:val="bottom"/>
            <w:gridSpan w:val="2"/>
          </w:tcPr>
          <w:p>
            <w:pPr>
              <w:ind w:left="1140"/>
              <w:spacing w:after="0"/>
              <w:rPr>
                <w:sz w:val="20"/>
                <w:szCs w:val="20"/>
                <w:color w:val="auto"/>
              </w:rPr>
            </w:pPr>
            <w:r>
              <w:rPr>
                <w:rFonts w:ascii="Arial" w:cs="Arial" w:eastAsia="Arial" w:hAnsi="Arial"/>
                <w:sz w:val="18"/>
                <w:szCs w:val="18"/>
                <w:b w:val="1"/>
                <w:bCs w:val="1"/>
                <w:color w:val="auto"/>
              </w:rPr>
              <w:t>Balance as of December 31, 2020</w:t>
            </w:r>
          </w:p>
        </w:tc>
        <w:tc>
          <w:tcPr>
            <w:tcW w:w="720" w:type="dxa"/>
            <w:vAlign w:val="bottom"/>
            <w:tcBorders>
              <w:top w:val="single" w:sz="8" w:color="auto"/>
              <w:bottom w:val="single" w:sz="8" w:color="auto"/>
            </w:tcBorders>
          </w:tcPr>
          <w:p>
            <w:pPr>
              <w:spacing w:after="0"/>
              <w:rPr>
                <w:sz w:val="24"/>
                <w:szCs w:val="24"/>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13,727</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1140" w:type="dxa"/>
            <w:vAlign w:val="bottom"/>
            <w:vMerge w:val="restart"/>
          </w:tcPr>
          <w:p>
            <w:pPr>
              <w:spacing w:after="0"/>
              <w:rPr>
                <w:sz w:val="17"/>
                <w:szCs w:val="17"/>
                <w:color w:val="auto"/>
              </w:rPr>
            </w:pPr>
          </w:p>
        </w:tc>
        <w:tc>
          <w:tcPr>
            <w:tcW w:w="7420" w:type="dxa"/>
            <w:vAlign w:val="bottom"/>
            <w:tcBorders>
              <w:top w:val="single" w:sz="8" w:color="CCEEFF"/>
            </w:tcBorders>
            <w:shd w:val="clear" w:color="auto" w:fill="CCEEFF"/>
          </w:tcPr>
          <w:p>
            <w:pPr>
              <w:spacing w:after="0"/>
              <w:rPr>
                <w:sz w:val="17"/>
                <w:szCs w:val="17"/>
                <w:color w:val="auto"/>
              </w:rPr>
            </w:pPr>
          </w:p>
        </w:tc>
        <w:tc>
          <w:tcPr>
            <w:tcW w:w="720" w:type="dxa"/>
            <w:vAlign w:val="bottom"/>
            <w:tcBorders>
              <w:top w:val="single" w:sz="8" w:color="auto"/>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140" w:type="dxa"/>
            <w:vAlign w:val="bottom"/>
            <w:vMerge w:val="continue"/>
          </w:tcPr>
          <w:p>
            <w:pPr>
              <w:spacing w:after="0"/>
              <w:rPr>
                <w:sz w:val="18"/>
                <w:szCs w:val="18"/>
                <w:color w:val="auto"/>
              </w:rPr>
            </w:pPr>
          </w:p>
        </w:tc>
        <w:tc>
          <w:tcPr>
            <w:tcW w:w="8140" w:type="dxa"/>
            <w:vAlign w:val="bottom"/>
            <w:gridSpan w:val="2"/>
          </w:tcPr>
          <w:p>
            <w:pPr>
              <w:spacing w:after="0"/>
              <w:rPr>
                <w:sz w:val="20"/>
                <w:szCs w:val="20"/>
                <w:color w:val="auto"/>
              </w:rPr>
            </w:pPr>
            <w:r>
              <w:rPr>
                <w:rFonts w:ascii="Arial" w:cs="Arial" w:eastAsia="Arial" w:hAnsi="Arial"/>
                <w:sz w:val="18"/>
                <w:szCs w:val="18"/>
                <w:b w:val="1"/>
                <w:bCs w:val="1"/>
                <w:color w:val="auto"/>
              </w:rPr>
              <w:t>Carrying amounts as of:</w:t>
            </w: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1140" w:type="dxa"/>
            <w:vAlign w:val="bottom"/>
          </w:tcPr>
          <w:p>
            <w:pPr>
              <w:spacing w:after="0"/>
              <w:rPr>
                <w:sz w:val="22"/>
                <w:szCs w:val="22"/>
                <w:color w:val="auto"/>
              </w:rPr>
            </w:pPr>
          </w:p>
        </w:tc>
        <w:tc>
          <w:tcPr>
            <w:tcW w:w="74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December 31, 2020</w:t>
            </w:r>
          </w:p>
        </w:tc>
        <w:tc>
          <w:tcPr>
            <w:tcW w:w="720" w:type="dxa"/>
            <w:vAlign w:val="bottom"/>
            <w:tcBorders>
              <w:bottom w:val="single" w:sz="8" w:color="auto"/>
            </w:tcBorders>
            <w:shd w:val="clear" w:color="auto" w:fill="CCEEFF"/>
          </w:tcPr>
          <w:p>
            <w:pPr>
              <w:spacing w:after="0"/>
              <w:rPr>
                <w:sz w:val="22"/>
                <w:szCs w:val="22"/>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1,984</w:t>
            </w:r>
          </w:p>
        </w:tc>
        <w:tc>
          <w:tcPr>
            <w:tcW w:w="10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9280" w:type="dxa"/>
            <w:vAlign w:val="bottom"/>
            <w:gridSpan w:val="3"/>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7"/>
        </w:trPr>
        <w:tc>
          <w:tcPr>
            <w:tcW w:w="8560" w:type="dxa"/>
            <w:vAlign w:val="bottom"/>
            <w:gridSpan w:val="2"/>
          </w:tcPr>
          <w:p>
            <w:pPr>
              <w:ind w:left="1140"/>
              <w:spacing w:after="0"/>
              <w:rPr>
                <w:sz w:val="20"/>
                <w:szCs w:val="20"/>
                <w:color w:val="auto"/>
              </w:rPr>
            </w:pPr>
            <w:r>
              <w:rPr>
                <w:rFonts w:ascii="Arial" w:cs="Arial" w:eastAsia="Arial" w:hAnsi="Arial"/>
                <w:sz w:val="18"/>
                <w:szCs w:val="18"/>
                <w:color w:val="auto"/>
              </w:rPr>
              <w:t>December 31, 2019</w:t>
            </w:r>
          </w:p>
        </w:tc>
        <w:tc>
          <w:tcPr>
            <w:tcW w:w="720" w:type="dxa"/>
            <w:vAlign w:val="bottom"/>
            <w:tcBorders>
              <w:top w:val="single" w:sz="8" w:color="auto"/>
              <w:bottom w:val="single" w:sz="8" w:color="auto"/>
            </w:tcBorders>
          </w:tcPr>
          <w:p>
            <w:pPr>
              <w:spacing w:after="0"/>
              <w:rPr>
                <w:sz w:val="24"/>
                <w:szCs w:val="24"/>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1,427</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7"/>
        </w:trPr>
        <w:tc>
          <w:tcPr>
            <w:tcW w:w="1140" w:type="dxa"/>
            <w:vAlign w:val="bottom"/>
          </w:tcPr>
          <w:p>
            <w:pPr>
              <w:spacing w:after="0"/>
              <w:rPr>
                <w:sz w:val="20"/>
                <w:szCs w:val="20"/>
                <w:color w:val="auto"/>
              </w:rPr>
            </w:pPr>
          </w:p>
        </w:tc>
        <w:tc>
          <w:tcPr>
            <w:tcW w:w="7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December 31, 2018</w:t>
            </w:r>
          </w:p>
        </w:tc>
        <w:tc>
          <w:tcPr>
            <w:tcW w:w="720" w:type="dxa"/>
            <w:vAlign w:val="bottom"/>
            <w:tcBorders>
              <w:top w:val="single" w:sz="8" w:color="auto"/>
              <w:bottom w:val="single" w:sz="8" w:color="auto"/>
            </w:tcBorders>
            <w:shd w:val="clear" w:color="auto" w:fill="CCEEFF"/>
          </w:tcPr>
          <w:p>
            <w:pPr>
              <w:spacing w:after="0"/>
              <w:rPr>
                <w:sz w:val="20"/>
                <w:szCs w:val="20"/>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1,633</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742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Expenses related to the amortization of intangible assets are presented as part of amortization of intangible assets in the consolidated statement of profit or loss. Disposals during 2018 correspond to technological projects.</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33" w:name="page234"/>
    <w:bookmarkEnd w:id="2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64"/>
        </w:numPr>
        <w:rPr>
          <w:rFonts w:ascii="Arial" w:cs="Arial" w:eastAsia="Arial" w:hAnsi="Arial"/>
          <w:sz w:val="18"/>
          <w:szCs w:val="18"/>
          <w:b w:val="1"/>
          <w:bCs w:val="1"/>
          <w:color w:val="auto"/>
        </w:rPr>
      </w:pPr>
      <w:r>
        <w:rPr>
          <w:rFonts w:ascii="Arial" w:cs="Arial" w:eastAsia="Arial" w:hAnsi="Arial"/>
          <w:sz w:val="18"/>
          <w:szCs w:val="18"/>
          <w:b w:val="1"/>
          <w:bCs w:val="1"/>
          <w:color w:val="auto"/>
        </w:rPr>
        <w:t>Investment properties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is the movement of investment properties arising from the reclassification of sublease agreements :</w:t>
      </w:r>
    </w:p>
    <w:p>
      <w:pPr>
        <w:spacing w:after="0" w:line="221" w:lineRule="exact"/>
        <w:rPr>
          <w:sz w:val="20"/>
          <w:szCs w:val="20"/>
          <w:color w:val="auto"/>
        </w:rPr>
      </w:pPr>
    </w:p>
    <w:p>
      <w:pPr>
        <w:jc w:val="center"/>
        <w:ind w:left="5880"/>
        <w:spacing w:after="0"/>
        <w:rPr>
          <w:sz w:val="20"/>
          <w:szCs w:val="20"/>
          <w:color w:val="auto"/>
        </w:rPr>
      </w:pPr>
      <w:r>
        <w:rPr>
          <w:rFonts w:ascii="Arial" w:cs="Arial" w:eastAsia="Arial" w:hAnsi="Arial"/>
          <w:sz w:val="18"/>
          <w:szCs w:val="18"/>
          <w:b w:val="1"/>
          <w:bCs w:val="1"/>
          <w:color w:val="auto"/>
        </w:rPr>
        <w:t>Investment</w:t>
      </w:r>
    </w:p>
    <w:p>
      <w:pPr>
        <w:spacing w:after="0" w:line="27" w:lineRule="exact"/>
        <w:rPr>
          <w:sz w:val="20"/>
          <w:szCs w:val="20"/>
          <w:color w:val="auto"/>
        </w:rPr>
      </w:pPr>
    </w:p>
    <w:p>
      <w:pPr>
        <w:jc w:val="center"/>
        <w:ind w:left="5880"/>
        <w:spacing w:after="0"/>
        <w:rPr>
          <w:sz w:val="20"/>
          <w:szCs w:val="20"/>
          <w:color w:val="auto"/>
        </w:rPr>
      </w:pPr>
      <w:r>
        <w:rPr>
          <w:rFonts w:ascii="Arial" w:cs="Arial" w:eastAsia="Arial" w:hAnsi="Arial"/>
          <w:sz w:val="18"/>
          <w:szCs w:val="18"/>
          <w:b w:val="1"/>
          <w:bCs w:val="1"/>
          <w:color w:val="auto"/>
        </w:rPr>
        <w:t>properties - right of</w:t>
      </w:r>
    </w:p>
    <w:p>
      <w:pPr>
        <w:spacing w:after="0" w:line="9" w:lineRule="exact"/>
        <w:rPr>
          <w:sz w:val="20"/>
          <w:szCs w:val="20"/>
          <w:color w:val="auto"/>
        </w:rPr>
      </w:pPr>
    </w:p>
    <w:p>
      <w:pPr>
        <w:jc w:val="center"/>
        <w:ind w:left="5920"/>
        <w:spacing w:after="0"/>
        <w:rPr>
          <w:sz w:val="20"/>
          <w:szCs w:val="20"/>
          <w:color w:val="auto"/>
        </w:rPr>
      </w:pPr>
      <w:r>
        <w:rPr>
          <w:rFonts w:ascii="Arial" w:cs="Arial" w:eastAsia="Arial" w:hAnsi="Arial"/>
          <w:sz w:val="18"/>
          <w:szCs w:val="18"/>
          <w:b w:val="1"/>
          <w:bCs w:val="1"/>
          <w:color w:val="auto"/>
        </w:rPr>
        <w:t>use</w:t>
      </w:r>
    </w:p>
    <w:p>
      <w:pPr>
        <w:spacing w:after="0" w:line="29" w:lineRule="exact"/>
        <w:rPr>
          <w:sz w:val="20"/>
          <w:szCs w:val="20"/>
          <w:color w:val="auto"/>
        </w:rPr>
      </w:pPr>
    </w:p>
    <w:tbl>
      <w:tblPr>
        <w:tblLayout w:type="fixed"/>
        <w:tblInd w:w="0" w:type="dxa"/>
        <w:tblCellMar>
          <w:top w:w="0" w:type="dxa"/>
          <w:left w:w="0" w:type="dxa"/>
          <w:bottom w:w="0" w:type="dxa"/>
          <w:right w:w="0" w:type="dxa"/>
        </w:tblCellMar>
      </w:tblPr>
      <w:tr>
        <w:trPr>
          <w:trHeight w:val="20"/>
        </w:trPr>
        <w:tc>
          <w:tcPr>
            <w:tcW w:w="1700" w:type="dxa"/>
            <w:vAlign w:val="bottom"/>
          </w:tcPr>
          <w:p>
            <w:pPr>
              <w:spacing w:after="0" w:line="20" w:lineRule="exact"/>
              <w:rPr>
                <w:sz w:val="1"/>
                <w:szCs w:val="1"/>
                <w:color w:val="auto"/>
              </w:rPr>
            </w:pPr>
          </w:p>
        </w:tc>
        <w:tc>
          <w:tcPr>
            <w:tcW w:w="312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2019</w:t>
            </w:r>
          </w:p>
        </w:tc>
        <w:tc>
          <w:tcPr>
            <w:tcW w:w="1500" w:type="dxa"/>
            <w:vAlign w:val="bottom"/>
            <w:shd w:val="clear" w:color="auto" w:fill="CCEEFF"/>
          </w:tcPr>
          <w:p>
            <w:pPr>
              <w:spacing w:after="0" w:line="20" w:lineRule="exact"/>
              <w:rPr>
                <w:sz w:val="1"/>
                <w:szCs w:val="1"/>
                <w:color w:val="auto"/>
              </w:rPr>
            </w:pPr>
          </w:p>
        </w:tc>
        <w:tc>
          <w:tcPr>
            <w:tcW w:w="1460" w:type="dxa"/>
            <w:vAlign w:val="bottom"/>
            <w:tcBorders>
              <w:right w:val="single" w:sz="8" w:color="auto"/>
            </w:tcBorders>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0"/>
        </w:trPr>
        <w:tc>
          <w:tcPr>
            <w:tcW w:w="1700" w:type="dxa"/>
            <w:vAlign w:val="bottom"/>
          </w:tcPr>
          <w:p>
            <w:pPr>
              <w:spacing w:after="0"/>
              <w:rPr>
                <w:sz w:val="16"/>
                <w:szCs w:val="16"/>
                <w:color w:val="auto"/>
              </w:rPr>
            </w:pPr>
          </w:p>
        </w:tc>
        <w:tc>
          <w:tcPr>
            <w:tcW w:w="3120" w:type="dxa"/>
            <w:vAlign w:val="bottom"/>
            <w:vMerge w:val="continue"/>
            <w:shd w:val="clear" w:color="auto" w:fill="CCEEFF"/>
          </w:tcPr>
          <w:p>
            <w:pPr>
              <w:spacing w:after="0"/>
              <w:rPr>
                <w:sz w:val="16"/>
                <w:szCs w:val="16"/>
                <w:color w:val="auto"/>
              </w:rPr>
            </w:pPr>
          </w:p>
        </w:tc>
        <w:tc>
          <w:tcPr>
            <w:tcW w:w="1500" w:type="dxa"/>
            <w:vAlign w:val="bottom"/>
            <w:shd w:val="clear" w:color="auto" w:fill="CCEEFF"/>
          </w:tcPr>
          <w:p>
            <w:pPr>
              <w:spacing w:after="0"/>
              <w:rPr>
                <w:sz w:val="16"/>
                <w:szCs w:val="16"/>
                <w:color w:val="auto"/>
              </w:rPr>
            </w:pPr>
          </w:p>
        </w:tc>
        <w:tc>
          <w:tcPr>
            <w:tcW w:w="1460" w:type="dxa"/>
            <w:vAlign w:val="bottom"/>
            <w:tcBorders>
              <w:right w:val="single" w:sz="8" w:color="CCEEFF"/>
            </w:tcBorders>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600" w:type="dxa"/>
            <w:vAlign w:val="bottom"/>
            <w:gridSpan w:val="2"/>
            <w:shd w:val="clear" w:color="auto" w:fill="CCEEFF"/>
          </w:tcPr>
          <w:p>
            <w:pPr>
              <w:jc w:val="right"/>
              <w:ind w:right="120"/>
              <w:spacing w:after="0" w:line="189" w:lineRule="exact"/>
              <w:rPr>
                <w:sz w:val="20"/>
                <w:szCs w:val="20"/>
                <w:color w:val="auto"/>
              </w:rPr>
            </w:pPr>
            <w:r>
              <w:rPr>
                <w:rFonts w:ascii="Arial" w:cs="Arial" w:eastAsia="Arial" w:hAnsi="Arial"/>
                <w:sz w:val="18"/>
                <w:szCs w:val="18"/>
                <w:color w:val="auto"/>
              </w:rPr>
              <w:t>3,494</w:t>
            </w: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9"/>
        </w:trPr>
        <w:tc>
          <w:tcPr>
            <w:tcW w:w="17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Amortization</w:t>
            </w:r>
          </w:p>
        </w:tc>
        <w:tc>
          <w:tcPr>
            <w:tcW w:w="150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600" w:type="dxa"/>
            <w:vAlign w:val="bottom"/>
            <w:gridSpan w:val="2"/>
          </w:tcPr>
          <w:p>
            <w:pPr>
              <w:jc w:val="right"/>
              <w:ind w:right="60"/>
              <w:spacing w:after="0"/>
              <w:rPr>
                <w:sz w:val="20"/>
                <w:szCs w:val="20"/>
                <w:color w:val="auto"/>
              </w:rPr>
            </w:pPr>
            <w:r>
              <w:rPr>
                <w:rFonts w:ascii="Arial" w:cs="Arial" w:eastAsia="Arial" w:hAnsi="Arial"/>
                <w:sz w:val="18"/>
                <w:szCs w:val="18"/>
                <w:color w:val="auto"/>
              </w:rPr>
              <w:t>(280)</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312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2020</w:t>
            </w:r>
          </w:p>
        </w:tc>
        <w:tc>
          <w:tcPr>
            <w:tcW w:w="1500" w:type="dxa"/>
            <w:vAlign w:val="bottom"/>
            <w:shd w:val="clear" w:color="auto" w:fill="CCEEFF"/>
          </w:tcPr>
          <w:p>
            <w:pPr>
              <w:spacing w:after="0" w:line="20" w:lineRule="exact"/>
              <w:rPr>
                <w:sz w:val="1"/>
                <w:szCs w:val="1"/>
                <w:color w:val="auto"/>
              </w:rPr>
            </w:pPr>
          </w:p>
        </w:tc>
        <w:tc>
          <w:tcPr>
            <w:tcW w:w="1460" w:type="dxa"/>
            <w:vAlign w:val="bottom"/>
            <w:tcBorders>
              <w:right w:val="single" w:sz="8" w:color="auto"/>
            </w:tcBorders>
            <w:shd w:val="clear" w:color="auto" w:fill="CCEEFF"/>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700" w:type="dxa"/>
            <w:vAlign w:val="bottom"/>
          </w:tcPr>
          <w:p>
            <w:pPr>
              <w:spacing w:after="0"/>
              <w:rPr>
                <w:sz w:val="21"/>
                <w:szCs w:val="21"/>
                <w:color w:val="auto"/>
              </w:rPr>
            </w:pPr>
          </w:p>
        </w:tc>
        <w:tc>
          <w:tcPr>
            <w:tcW w:w="3120" w:type="dxa"/>
            <w:vAlign w:val="bottom"/>
            <w:vMerge w:val="continue"/>
            <w:shd w:val="clear" w:color="auto" w:fill="CCEEFF"/>
          </w:tcPr>
          <w:p>
            <w:pPr>
              <w:spacing w:after="0"/>
              <w:rPr>
                <w:sz w:val="21"/>
                <w:szCs w:val="21"/>
                <w:color w:val="auto"/>
              </w:rPr>
            </w:pPr>
          </w:p>
        </w:tc>
        <w:tc>
          <w:tcPr>
            <w:tcW w:w="1500" w:type="dxa"/>
            <w:vAlign w:val="bottom"/>
            <w:shd w:val="clear" w:color="auto" w:fill="CCEEFF"/>
          </w:tcPr>
          <w:p>
            <w:pPr>
              <w:spacing w:after="0"/>
              <w:rPr>
                <w:sz w:val="21"/>
                <w:szCs w:val="21"/>
                <w:color w:val="auto"/>
              </w:rPr>
            </w:pPr>
          </w:p>
        </w:tc>
        <w:tc>
          <w:tcPr>
            <w:tcW w:w="1460" w:type="dxa"/>
            <w:vAlign w:val="bottom"/>
            <w:tcBorders>
              <w:right w:val="single" w:sz="8" w:color="CCEEFF"/>
            </w:tcBorders>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3,214</w:t>
            </w:r>
          </w:p>
        </w:tc>
        <w:tc>
          <w:tcPr>
            <w:tcW w:w="16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700" w:type="dxa"/>
            <w:vAlign w:val="bottom"/>
            <w:vMerge w:val="restart"/>
          </w:tcPr>
          <w:p>
            <w:pPr>
              <w:spacing w:after="0"/>
              <w:rPr>
                <w:sz w:val="20"/>
                <w:szCs w:val="20"/>
                <w:color w:val="auto"/>
              </w:rPr>
            </w:pPr>
            <w:r>
              <w:rPr>
                <w:rFonts w:ascii="Arial" w:cs="Arial" w:eastAsia="Arial" w:hAnsi="Arial"/>
                <w:sz w:val="18"/>
                <w:szCs w:val="18"/>
                <w:b w:val="1"/>
                <w:bCs w:val="1"/>
                <w:color w:val="auto"/>
              </w:rPr>
              <w:t>18. Other assets</w:t>
            </w:r>
          </w:p>
        </w:tc>
        <w:tc>
          <w:tcPr>
            <w:tcW w:w="3120" w:type="dxa"/>
            <w:vAlign w:val="bottom"/>
            <w:tcBorders>
              <w:top w:val="single" w:sz="8" w:color="CCEEFF"/>
              <w:bottom w:val="single" w:sz="8" w:color="CCEEFF"/>
            </w:tcBorders>
            <w:vMerge w:val="restart"/>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700" w:type="dxa"/>
            <w:vAlign w:val="bottom"/>
            <w:vMerge w:val="continue"/>
          </w:tcPr>
          <w:p>
            <w:pPr>
              <w:spacing w:after="0"/>
              <w:rPr>
                <w:sz w:val="24"/>
                <w:szCs w:val="24"/>
                <w:color w:val="auto"/>
              </w:rPr>
            </w:pPr>
          </w:p>
        </w:tc>
        <w:tc>
          <w:tcPr>
            <w:tcW w:w="3120" w:type="dxa"/>
            <w:vAlign w:val="bottom"/>
            <w:vMerge w:val="continue"/>
          </w:tcPr>
          <w:p>
            <w:pPr>
              <w:spacing w:after="0"/>
              <w:rPr>
                <w:sz w:val="24"/>
                <w:szCs w:val="24"/>
                <w:color w:val="auto"/>
              </w:rPr>
            </w:pPr>
          </w:p>
        </w:tc>
        <w:tc>
          <w:tcPr>
            <w:tcW w:w="15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4820" w:type="dxa"/>
            <w:vAlign w:val="bottom"/>
            <w:gridSpan w:val="2"/>
          </w:tcPr>
          <w:p>
            <w:pPr>
              <w:ind w:left="340"/>
              <w:spacing w:after="0"/>
              <w:rPr>
                <w:sz w:val="20"/>
                <w:szCs w:val="20"/>
                <w:color w:val="auto"/>
              </w:rPr>
            </w:pPr>
            <w:r>
              <w:rPr>
                <w:rFonts w:ascii="Arial" w:cs="Arial" w:eastAsia="Arial" w:hAnsi="Arial"/>
                <w:sz w:val="18"/>
                <w:szCs w:val="18"/>
                <w:color w:val="auto"/>
              </w:rPr>
              <w:t>Following is a summary of other assets:</w:t>
            </w:r>
          </w:p>
        </w:tc>
        <w:tc>
          <w:tcPr>
            <w:tcW w:w="15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170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64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c>
          <w:tcPr>
            <w:tcW w:w="1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17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2960" w:type="dxa"/>
            <w:vAlign w:val="bottom"/>
            <w:gridSpan w:val="2"/>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20" w:type="dxa"/>
            <w:vAlign w:val="bottom"/>
          </w:tcPr>
          <w:p>
            <w:pPr>
              <w:spacing w:after="0"/>
              <w:rPr>
                <w:sz w:val="20"/>
                <w:szCs w:val="20"/>
                <w:color w:val="auto"/>
              </w:rPr>
            </w:pP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7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15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938</w:t>
            </w:r>
          </w:p>
        </w:tc>
        <w:tc>
          <w:tcPr>
            <w:tcW w:w="18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3,549</w:t>
            </w:r>
          </w:p>
        </w:tc>
        <w:tc>
          <w:tcPr>
            <w:tcW w:w="12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Prepaid expenses</w:t>
            </w:r>
          </w:p>
        </w:tc>
        <w:tc>
          <w:tcPr>
            <w:tcW w:w="3140" w:type="dxa"/>
            <w:vAlign w:val="bottom"/>
            <w:gridSpan w:val="3"/>
          </w:tcPr>
          <w:p>
            <w:pPr>
              <w:jc w:val="right"/>
              <w:ind w:right="180"/>
              <w:spacing w:after="0"/>
              <w:rPr>
                <w:sz w:val="20"/>
                <w:szCs w:val="20"/>
                <w:color w:val="auto"/>
              </w:rPr>
            </w:pPr>
            <w:r>
              <w:rPr>
                <w:rFonts w:ascii="Arial" w:cs="Arial" w:eastAsia="Arial" w:hAnsi="Arial"/>
                <w:sz w:val="18"/>
                <w:szCs w:val="18"/>
                <w:color w:val="auto"/>
              </w:rPr>
              <w:t>2,541</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1,070</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Prepaid fees and commissions</w:t>
            </w:r>
          </w:p>
        </w:tc>
        <w:tc>
          <w:tcPr>
            <w:tcW w:w="31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486</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1,110</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3140" w:type="dxa"/>
            <w:vAlign w:val="bottom"/>
            <w:gridSpan w:val="3"/>
          </w:tcPr>
          <w:p>
            <w:pPr>
              <w:jc w:val="right"/>
              <w:ind w:right="180"/>
              <w:spacing w:after="0"/>
              <w:rPr>
                <w:sz w:val="20"/>
                <w:szCs w:val="20"/>
                <w:color w:val="auto"/>
              </w:rPr>
            </w:pPr>
            <w:r>
              <w:rPr>
                <w:rFonts w:ascii="Arial" w:cs="Arial" w:eastAsia="Arial" w:hAnsi="Arial"/>
                <w:sz w:val="18"/>
                <w:szCs w:val="18"/>
                <w:color w:val="auto"/>
              </w:rPr>
              <w:t>8</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26</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31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218</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521</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Severance fund</w:t>
            </w:r>
          </w:p>
        </w:tc>
        <w:tc>
          <w:tcPr>
            <w:tcW w:w="3140" w:type="dxa"/>
            <w:vAlign w:val="bottom"/>
            <w:gridSpan w:val="3"/>
          </w:tcPr>
          <w:p>
            <w:pPr>
              <w:jc w:val="right"/>
              <w:ind w:right="180"/>
              <w:spacing w:after="0"/>
              <w:rPr>
                <w:sz w:val="20"/>
                <w:szCs w:val="20"/>
                <w:color w:val="auto"/>
              </w:rPr>
            </w:pPr>
            <w:r>
              <w:rPr>
                <w:rFonts w:ascii="Arial" w:cs="Arial" w:eastAsia="Arial" w:hAnsi="Arial"/>
                <w:sz w:val="18"/>
                <w:szCs w:val="18"/>
                <w:color w:val="auto"/>
              </w:rPr>
              <w:t>1,927</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1,863</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500" w:type="dxa"/>
            <w:vAlign w:val="bottom"/>
            <w:shd w:val="clear" w:color="auto" w:fill="CCEEFF"/>
          </w:tcPr>
          <w:p>
            <w:pPr>
              <w:spacing w:after="0"/>
              <w:rPr>
                <w:sz w:val="18"/>
                <w:szCs w:val="18"/>
                <w:color w:val="auto"/>
              </w:rPr>
            </w:pPr>
          </w:p>
        </w:tc>
        <w:tc>
          <w:tcPr>
            <w:tcW w:w="14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698</w:t>
            </w:r>
          </w:p>
        </w:tc>
        <w:tc>
          <w:tcPr>
            <w:tcW w:w="18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718</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460" w:type="dxa"/>
            <w:vAlign w:val="bottom"/>
            <w:tcBorders>
              <w:right w:val="single" w:sz="8" w:color="auto"/>
            </w:tcBorders>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700" w:type="dxa"/>
            <w:vAlign w:val="bottom"/>
          </w:tcPr>
          <w:p>
            <w:pPr>
              <w:spacing w:after="0"/>
              <w:rPr>
                <w:sz w:val="21"/>
                <w:szCs w:val="21"/>
                <w:color w:val="auto"/>
              </w:rPr>
            </w:pPr>
          </w:p>
        </w:tc>
        <w:tc>
          <w:tcPr>
            <w:tcW w:w="3120" w:type="dxa"/>
            <w:vAlign w:val="bottom"/>
          </w:tcPr>
          <w:p>
            <w:pPr>
              <w:spacing w:after="0"/>
              <w:rPr>
                <w:sz w:val="21"/>
                <w:szCs w:val="21"/>
                <w:color w:val="auto"/>
              </w:rPr>
            </w:pPr>
          </w:p>
        </w:tc>
        <w:tc>
          <w:tcPr>
            <w:tcW w:w="1500" w:type="dxa"/>
            <w:vAlign w:val="bottom"/>
          </w:tcPr>
          <w:p>
            <w:pPr>
              <w:spacing w:after="0"/>
              <w:rPr>
                <w:sz w:val="21"/>
                <w:szCs w:val="21"/>
                <w:color w:val="auto"/>
              </w:rPr>
            </w:pP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6,816</w:t>
            </w:r>
          </w:p>
        </w:tc>
        <w:tc>
          <w:tcPr>
            <w:tcW w:w="180" w:type="dxa"/>
            <w:vAlign w:val="bottom"/>
          </w:tcPr>
          <w:p>
            <w:pPr>
              <w:spacing w:after="0"/>
              <w:rPr>
                <w:sz w:val="21"/>
                <w:szCs w:val="21"/>
                <w:color w:val="auto"/>
              </w:rPr>
            </w:pPr>
          </w:p>
        </w:tc>
        <w:tc>
          <w:tcPr>
            <w:tcW w:w="16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8,857</w:t>
            </w:r>
          </w:p>
        </w:tc>
        <w:tc>
          <w:tcPr>
            <w:tcW w:w="16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150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170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tcPr>
          <w:p>
            <w:pPr>
              <w:spacing w:after="0"/>
              <w:rPr>
                <w:sz w:val="24"/>
                <w:szCs w:val="24"/>
                <w:color w:val="auto"/>
              </w:rPr>
            </w:pPr>
          </w:p>
        </w:tc>
        <w:tc>
          <w:tcPr>
            <w:tcW w:w="3140" w:type="dxa"/>
            <w:vAlign w:val="bottom"/>
            <w:tcBorders>
              <w:bottom w:val="single" w:sz="8" w:color="auto"/>
            </w:tcBorders>
            <w:gridSpan w:val="3"/>
          </w:tcPr>
          <w:p>
            <w:pPr>
              <w:ind w:left="640"/>
              <w:spacing w:after="0"/>
              <w:rPr>
                <w:sz w:val="20"/>
                <w:szCs w:val="20"/>
                <w:color w:val="auto"/>
              </w:rPr>
            </w:pPr>
            <w:r>
              <w:rPr>
                <w:rFonts w:ascii="Arial" w:cs="Arial" w:eastAsia="Arial" w:hAnsi="Arial"/>
                <w:sz w:val="18"/>
                <w:szCs w:val="18"/>
                <w:color w:val="auto"/>
              </w:rPr>
              <w:t>F-98</w:t>
            </w:r>
          </w:p>
        </w:tc>
        <w:tc>
          <w:tcPr>
            <w:tcW w:w="1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34" w:name="page235"/>
    <w:bookmarkEnd w:id="2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65"/>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6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90"/>
              </w:rPr>
              <w:t>December 31,</w:t>
            </w:r>
          </w:p>
        </w:tc>
        <w:tc>
          <w:tcPr>
            <w:tcW w:w="80" w:type="dxa"/>
            <w:vAlign w:val="bottom"/>
          </w:tcPr>
          <w:p>
            <w:pPr>
              <w:spacing w:after="0"/>
              <w:rPr>
                <w:sz w:val="18"/>
                <w:szCs w:val="18"/>
                <w:color w:val="auto"/>
              </w:rPr>
            </w:pPr>
          </w:p>
        </w:tc>
        <w:tc>
          <w:tcPr>
            <w:tcW w:w="150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6100" w:type="dxa"/>
            <w:vAlign w:val="bottom"/>
            <w:tcBorders>
              <w:bottom w:val="single" w:sz="8" w:color="CCEEFF"/>
            </w:tcBorders>
          </w:tcPr>
          <w:p>
            <w:pPr>
              <w:spacing w:after="0"/>
              <w:rPr>
                <w:sz w:val="20"/>
                <w:szCs w:val="20"/>
                <w:color w:val="auto"/>
              </w:rPr>
            </w:pPr>
          </w:p>
        </w:tc>
        <w:tc>
          <w:tcPr>
            <w:tcW w:w="14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2020</w:t>
            </w:r>
          </w:p>
        </w:tc>
        <w:tc>
          <w:tcPr>
            <w:tcW w:w="80" w:type="dxa"/>
            <w:vAlign w:val="bottom"/>
            <w:tcBorders>
              <w:bottom w:val="single" w:sz="8" w:color="CCEEFF"/>
            </w:tcBorders>
          </w:tcPr>
          <w:p>
            <w:pPr>
              <w:spacing w:after="0"/>
              <w:rPr>
                <w:sz w:val="20"/>
                <w:szCs w:val="20"/>
                <w:color w:val="auto"/>
              </w:rPr>
            </w:pPr>
          </w:p>
        </w:tc>
        <w:tc>
          <w:tcPr>
            <w:tcW w:w="1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610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170,660</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85,786</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00" w:type="dxa"/>
            <w:vAlign w:val="bottom"/>
          </w:tcPr>
          <w:p>
            <w:pPr>
              <w:spacing w:after="0"/>
              <w:rPr>
                <w:sz w:val="20"/>
                <w:szCs w:val="20"/>
                <w:color w:val="auto"/>
              </w:rPr>
            </w:pPr>
            <w:r>
              <w:rPr>
                <w:rFonts w:ascii="Arial" w:cs="Arial" w:eastAsia="Arial" w:hAnsi="Arial"/>
                <w:sz w:val="18"/>
                <w:szCs w:val="18"/>
                <w:color w:val="auto"/>
              </w:rPr>
              <w:t>Up to 1 month</w:t>
            </w: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1, 127,120</w:t>
            </w:r>
          </w:p>
        </w:tc>
        <w:tc>
          <w:tcPr>
            <w:tcW w:w="140" w:type="dxa"/>
            <w:vAlign w:val="bottom"/>
          </w:tcPr>
          <w:p>
            <w:pPr>
              <w:spacing w:after="0"/>
              <w:rPr>
                <w:sz w:val="18"/>
                <w:szCs w:val="18"/>
                <w:color w:val="auto"/>
              </w:rPr>
            </w:pPr>
          </w:p>
        </w:tc>
        <w:tc>
          <w:tcPr>
            <w:tcW w:w="1480" w:type="dxa"/>
            <w:vAlign w:val="bottom"/>
            <w:gridSpan w:val="3"/>
          </w:tcPr>
          <w:p>
            <w:pPr>
              <w:jc w:val="right"/>
              <w:ind w:right="20"/>
              <w:spacing w:after="0"/>
              <w:rPr>
                <w:sz w:val="20"/>
                <w:szCs w:val="20"/>
                <w:color w:val="auto"/>
              </w:rPr>
            </w:pPr>
            <w:r>
              <w:rPr>
                <w:rFonts w:ascii="Arial" w:cs="Arial" w:eastAsia="Arial" w:hAnsi="Arial"/>
                <w:sz w:val="18"/>
                <w:szCs w:val="18"/>
                <w:color w:val="auto"/>
              </w:rPr>
              <w:t>1,285,949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10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5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878,900</w:t>
            </w:r>
          </w:p>
        </w:tc>
        <w:tc>
          <w:tcPr>
            <w:tcW w:w="14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628,981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6100" w:type="dxa"/>
            <w:vAlign w:val="bottom"/>
          </w:tcPr>
          <w:p>
            <w:pPr>
              <w:spacing w:after="0" w:line="201" w:lineRule="exact"/>
              <w:rPr>
                <w:sz w:val="20"/>
                <w:szCs w:val="20"/>
                <w:color w:val="auto"/>
              </w:rPr>
            </w:pPr>
            <w:r>
              <w:rPr>
                <w:rFonts w:ascii="Arial" w:cs="Arial" w:eastAsia="Arial" w:hAnsi="Arial"/>
                <w:sz w:val="18"/>
                <w:szCs w:val="18"/>
                <w:color w:val="auto"/>
              </w:rPr>
              <w:t>From 3 month to 6 months</w:t>
            </w: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gridSpan w:val="3"/>
          </w:tcPr>
          <w:p>
            <w:pPr>
              <w:jc w:val="right"/>
              <w:ind w:right="80"/>
              <w:spacing w:after="0" w:line="201" w:lineRule="exact"/>
              <w:rPr>
                <w:sz w:val="20"/>
                <w:szCs w:val="20"/>
                <w:color w:val="auto"/>
              </w:rPr>
            </w:pPr>
            <w:r>
              <w:rPr>
                <w:rFonts w:ascii="Arial" w:cs="Arial" w:eastAsia="Arial" w:hAnsi="Arial"/>
                <w:sz w:val="18"/>
                <w:szCs w:val="18"/>
                <w:color w:val="auto"/>
              </w:rPr>
              <w:t>544,860</w:t>
            </w:r>
          </w:p>
        </w:tc>
        <w:tc>
          <w:tcPr>
            <w:tcW w:w="140" w:type="dxa"/>
            <w:vAlign w:val="bottom"/>
          </w:tcPr>
          <w:p>
            <w:pPr>
              <w:spacing w:after="0"/>
              <w:rPr>
                <w:sz w:val="17"/>
                <w:szCs w:val="17"/>
                <w:color w:val="auto"/>
              </w:rPr>
            </w:pPr>
          </w:p>
        </w:tc>
        <w:tc>
          <w:tcPr>
            <w:tcW w:w="1480" w:type="dxa"/>
            <w:vAlign w:val="bottom"/>
            <w:gridSpan w:val="3"/>
          </w:tcPr>
          <w:p>
            <w:pPr>
              <w:jc w:val="right"/>
              <w:ind w:right="20"/>
              <w:spacing w:after="0" w:line="201" w:lineRule="exact"/>
              <w:rPr>
                <w:sz w:val="20"/>
                <w:szCs w:val="20"/>
                <w:color w:val="auto"/>
              </w:rPr>
            </w:pPr>
            <w:r>
              <w:rPr>
                <w:rFonts w:ascii="Arial" w:cs="Arial" w:eastAsia="Arial" w:hAnsi="Arial"/>
                <w:sz w:val="18"/>
                <w:szCs w:val="18"/>
                <w:color w:val="auto"/>
              </w:rPr>
              <w:t>593,431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6100" w:type="dxa"/>
            <w:vAlign w:val="bottom"/>
          </w:tcPr>
          <w:p>
            <w:pPr>
              <w:spacing w:after="0"/>
              <w:rPr>
                <w:sz w:val="20"/>
                <w:szCs w:val="20"/>
                <w:color w:val="auto"/>
              </w:rPr>
            </w:pPr>
            <w:r>
              <w:rPr>
                <w:rFonts w:ascii="Arial" w:cs="Arial" w:eastAsia="Arial" w:hAnsi="Arial"/>
                <w:sz w:val="18"/>
                <w:szCs w:val="18"/>
                <w:color w:val="auto"/>
              </w:rPr>
              <w:t>From 6 month to 1 year</w:t>
            </w:r>
          </w:p>
        </w:tc>
        <w:tc>
          <w:tcPr>
            <w:tcW w:w="1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20" w:type="dxa"/>
            <w:vAlign w:val="bottom"/>
            <w:gridSpan w:val="3"/>
          </w:tcPr>
          <w:p>
            <w:pPr>
              <w:jc w:val="right"/>
              <w:ind w:right="80"/>
              <w:spacing w:after="0"/>
              <w:rPr>
                <w:sz w:val="20"/>
                <w:szCs w:val="20"/>
                <w:color w:val="auto"/>
              </w:rPr>
            </w:pPr>
            <w:r>
              <w:rPr>
                <w:rFonts w:ascii="Arial" w:cs="Arial" w:eastAsia="Arial" w:hAnsi="Arial"/>
                <w:sz w:val="18"/>
                <w:szCs w:val="18"/>
                <w:color w:val="auto"/>
              </w:rPr>
              <w:t>365,879</w:t>
            </w:r>
          </w:p>
        </w:tc>
        <w:tc>
          <w:tcPr>
            <w:tcW w:w="140" w:type="dxa"/>
            <w:vAlign w:val="bottom"/>
          </w:tcPr>
          <w:p>
            <w:pPr>
              <w:spacing w:after="0"/>
              <w:rPr>
                <w:sz w:val="20"/>
                <w:szCs w:val="20"/>
                <w:color w:val="auto"/>
              </w:rPr>
            </w:pPr>
          </w:p>
        </w:tc>
        <w:tc>
          <w:tcPr>
            <w:tcW w:w="1480" w:type="dxa"/>
            <w:vAlign w:val="bottom"/>
            <w:gridSpan w:val="3"/>
          </w:tcPr>
          <w:p>
            <w:pPr>
              <w:jc w:val="right"/>
              <w:ind w:right="20"/>
              <w:spacing w:after="0"/>
              <w:rPr>
                <w:sz w:val="20"/>
                <w:szCs w:val="20"/>
                <w:color w:val="auto"/>
              </w:rPr>
            </w:pPr>
            <w:r>
              <w:rPr>
                <w:rFonts w:ascii="Arial" w:cs="Arial" w:eastAsia="Arial" w:hAnsi="Arial"/>
                <w:sz w:val="18"/>
                <w:szCs w:val="18"/>
                <w:color w:val="auto"/>
              </w:rPr>
              <w:t>289,189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6100" w:type="dxa"/>
            <w:vAlign w:val="bottom"/>
            <w:shd w:val="clear" w:color="auto" w:fill="CCEEFF"/>
          </w:tcPr>
          <w:p>
            <w:pPr>
              <w:spacing w:after="0"/>
              <w:rPr>
                <w:sz w:val="20"/>
                <w:szCs w:val="20"/>
                <w:color w:val="auto"/>
              </w:rPr>
            </w:pPr>
            <w:r>
              <w:rPr>
                <w:rFonts w:ascii="Arial" w:cs="Arial" w:eastAsia="Arial" w:hAnsi="Arial"/>
                <w:sz w:val="18"/>
                <w:szCs w:val="18"/>
                <w:color w:val="auto"/>
              </w:rPr>
              <w:t>From 1 year to 2 years</w:t>
            </w:r>
          </w:p>
        </w:tc>
        <w:tc>
          <w:tcPr>
            <w:tcW w:w="14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51481</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5,000</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10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6100" w:type="dxa"/>
            <w:vAlign w:val="bottom"/>
          </w:tcPr>
          <w:p>
            <w:pPr>
              <w:spacing w:after="0"/>
              <w:rPr>
                <w:sz w:val="21"/>
                <w:szCs w:val="21"/>
                <w:color w:val="auto"/>
              </w:rPr>
            </w:pPr>
          </w:p>
        </w:tc>
        <w:tc>
          <w:tcPr>
            <w:tcW w:w="14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b w:val="1"/>
                <w:bCs w:val="1"/>
                <w:color w:val="auto"/>
              </w:rPr>
              <w:t>3,138,900</w:t>
            </w:r>
          </w:p>
        </w:tc>
        <w:tc>
          <w:tcPr>
            <w:tcW w:w="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48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rPr>
              <w:t>2,888,336</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100" w:type="dxa"/>
            <w:vAlign w:val="bottom"/>
            <w:vMerge w:val="restart"/>
          </w:tcPr>
          <w:p>
            <w:pPr>
              <w:spacing w:after="0"/>
              <w:rPr>
                <w:sz w:val="20"/>
                <w:szCs w:val="20"/>
                <w:color w:val="auto"/>
              </w:rPr>
            </w:pPr>
            <w:r>
              <w:rPr>
                <w:rFonts w:ascii="Arial" w:cs="Arial" w:eastAsia="Arial" w:hAnsi="Arial"/>
                <w:sz w:val="18"/>
                <w:szCs w:val="18"/>
                <w:color w:val="auto"/>
                <w:w w:val="94"/>
              </w:rPr>
              <w:t>The following table presents additional information regarding the Bank’s deposits</w:t>
            </w:r>
          </w:p>
        </w:tc>
        <w:tc>
          <w:tcPr>
            <w:tcW w:w="1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6100" w:type="dxa"/>
            <w:vAlign w:val="bottom"/>
            <w:vMerge w:val="continue"/>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61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54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90"/>
              </w:rPr>
              <w:t>December 31,</w:t>
            </w:r>
          </w:p>
        </w:tc>
        <w:tc>
          <w:tcPr>
            <w:tcW w:w="80" w:type="dxa"/>
            <w:vAlign w:val="bottom"/>
          </w:tcPr>
          <w:p>
            <w:pPr>
              <w:spacing w:after="0"/>
              <w:rPr>
                <w:sz w:val="24"/>
                <w:szCs w:val="24"/>
                <w:color w:val="auto"/>
              </w:rPr>
            </w:pPr>
          </w:p>
        </w:tc>
        <w:tc>
          <w:tcPr>
            <w:tcW w:w="1500" w:type="dxa"/>
            <w:vAlign w:val="bottom"/>
            <w:gridSpan w:val="3"/>
          </w:tcPr>
          <w:p>
            <w:pPr>
              <w:jc w:val="center"/>
              <w:ind w:right="24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6100" w:type="dxa"/>
            <w:vAlign w:val="bottom"/>
            <w:tcBorders>
              <w:bottom w:val="single" w:sz="8" w:color="CCEEFF"/>
            </w:tcBorders>
          </w:tcPr>
          <w:p>
            <w:pPr>
              <w:spacing w:after="0"/>
              <w:rPr>
                <w:sz w:val="20"/>
                <w:szCs w:val="20"/>
                <w:color w:val="auto"/>
              </w:rPr>
            </w:pPr>
          </w:p>
        </w:tc>
        <w:tc>
          <w:tcPr>
            <w:tcW w:w="14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2020</w:t>
            </w:r>
          </w:p>
        </w:tc>
        <w:tc>
          <w:tcPr>
            <w:tcW w:w="80" w:type="dxa"/>
            <w:vAlign w:val="bottom"/>
            <w:tcBorders>
              <w:bottom w:val="single" w:sz="8" w:color="CCEEFF"/>
            </w:tcBorders>
          </w:tcPr>
          <w:p>
            <w:pPr>
              <w:spacing w:after="0"/>
              <w:rPr>
                <w:sz w:val="20"/>
                <w:szCs w:val="20"/>
                <w:color w:val="auto"/>
              </w:rPr>
            </w:pPr>
          </w:p>
        </w:tc>
        <w:tc>
          <w:tcPr>
            <w:tcW w:w="1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6100" w:type="dxa"/>
            <w:vAlign w:val="bottom"/>
            <w:shd w:val="clear" w:color="auto" w:fill="CCEEFF"/>
          </w:tcPr>
          <w:p>
            <w:pPr>
              <w:spacing w:after="0"/>
              <w:rPr>
                <w:sz w:val="20"/>
                <w:szCs w:val="20"/>
                <w:color w:val="auto"/>
              </w:rPr>
            </w:pPr>
            <w:r>
              <w:rPr>
                <w:rFonts w:ascii="Arial" w:cs="Arial" w:eastAsia="Arial" w:hAnsi="Arial"/>
                <w:sz w:val="18"/>
                <w:szCs w:val="18"/>
                <w:color w:val="auto"/>
              </w:rPr>
              <w:t>Aggregate amount of $100,000 or more</w:t>
            </w:r>
          </w:p>
        </w:tc>
        <w:tc>
          <w:tcPr>
            <w:tcW w:w="14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3,138,684</w:t>
            </w:r>
          </w:p>
        </w:tc>
        <w:tc>
          <w:tcPr>
            <w:tcW w:w="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4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2,888,043</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6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Aggregate amount of deposits in the New York Agency</w:t>
            </w:r>
          </w:p>
        </w:tc>
        <w:tc>
          <w:tcPr>
            <w:tcW w:w="14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100" w:type="dxa"/>
            <w:vAlign w:val="bottom"/>
            <w:vMerge w:val="continue"/>
          </w:tcPr>
          <w:p>
            <w:pPr>
              <w:spacing w:after="0"/>
              <w:rPr>
                <w:sz w:val="20"/>
                <w:szCs w:val="20"/>
                <w:color w:val="auto"/>
              </w:rPr>
            </w:pPr>
          </w:p>
        </w:tc>
        <w:tc>
          <w:tcPr>
            <w:tcW w:w="14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657,851</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80" w:type="dxa"/>
            <w:vAlign w:val="bottom"/>
            <w:gridSpan w:val="3"/>
          </w:tcPr>
          <w:p>
            <w:pPr>
              <w:jc w:val="right"/>
              <w:ind w:right="20"/>
              <w:spacing w:after="0"/>
              <w:rPr>
                <w:sz w:val="20"/>
                <w:szCs w:val="20"/>
                <w:color w:val="auto"/>
              </w:rPr>
            </w:pPr>
            <w:r>
              <w:rPr>
                <w:rFonts w:ascii="Arial" w:cs="Arial" w:eastAsia="Arial" w:hAnsi="Arial"/>
                <w:sz w:val="18"/>
                <w:szCs w:val="18"/>
                <w:color w:val="auto"/>
              </w:rPr>
              <w:t>240,003</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610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100" w:type="dxa"/>
            <w:vAlign w:val="bottom"/>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ind w:left="160"/>
              <w:spacing w:after="0"/>
              <w:rPr>
                <w:sz w:val="20"/>
                <w:szCs w:val="20"/>
                <w:color w:val="auto"/>
              </w:rPr>
            </w:pPr>
            <w:r>
              <w:rPr>
                <w:rFonts w:ascii="Arial" w:cs="Arial" w:eastAsia="Arial" w:hAnsi="Arial"/>
                <w:sz w:val="18"/>
                <w:szCs w:val="18"/>
                <w:b w:val="1"/>
                <w:bCs w:val="1"/>
                <w:color w:val="auto"/>
              </w:rPr>
              <w:t>December 31,</w:t>
            </w: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10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auto"/>
            </w:tcBorders>
          </w:tcPr>
          <w:p>
            <w:pPr>
              <w:spacing w:after="0"/>
              <w:rPr>
                <w:sz w:val="19"/>
                <w:szCs w:val="19"/>
                <w:color w:val="auto"/>
              </w:rPr>
            </w:pPr>
          </w:p>
        </w:tc>
        <w:tc>
          <w:tcPr>
            <w:tcW w:w="1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61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 on deposits made in the New York Agency</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5,035</w:t>
            </w:r>
          </w:p>
        </w:tc>
        <w:tc>
          <w:tcPr>
            <w:tcW w:w="1660" w:type="dxa"/>
            <w:vAlign w:val="bottom"/>
            <w:gridSpan w:val="4"/>
            <w:shd w:val="clear" w:color="auto" w:fill="CCEEFF"/>
          </w:tcPr>
          <w:p>
            <w:pPr>
              <w:jc w:val="right"/>
              <w:ind w:right="140"/>
              <w:spacing w:after="0"/>
              <w:rPr>
                <w:sz w:val="20"/>
                <w:szCs w:val="20"/>
                <w:color w:val="auto"/>
              </w:rPr>
            </w:pPr>
            <w:r>
              <w:rPr>
                <w:rFonts w:ascii="Arial" w:cs="Arial" w:eastAsia="Arial" w:hAnsi="Arial"/>
                <w:sz w:val="18"/>
                <w:szCs w:val="18"/>
                <w:color w:val="auto"/>
              </w:rPr>
              <w:t>6,277</w:t>
            </w:r>
          </w:p>
        </w:tc>
        <w:tc>
          <w:tcPr>
            <w:tcW w:w="158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5,937</w:t>
            </w:r>
          </w:p>
        </w:tc>
        <w:tc>
          <w:tcPr>
            <w:tcW w:w="0" w:type="dxa"/>
            <w:vAlign w:val="bottom"/>
          </w:tcPr>
          <w:p>
            <w:pPr>
              <w:spacing w:after="0"/>
              <w:rPr>
                <w:sz w:val="1"/>
                <w:szCs w:val="1"/>
                <w:color w:val="auto"/>
              </w:rPr>
            </w:pPr>
          </w:p>
        </w:tc>
      </w:tr>
      <w:tr>
        <w:trPr>
          <w:trHeight w:val="20"/>
        </w:trPr>
        <w:tc>
          <w:tcPr>
            <w:tcW w:w="610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26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December 31, 2020, and 2019, the Bank had financing transactions under repurchase agreements for $10.7 million and $40.5 million, respectively.</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During the years ended December 31, 2020, 2019 and 2018, interest expense related to financing transactions under repurchase agreements totaled $432 thousand, $1.1 million and $635 thousand, respectively. These expenses are included as interest expense – borrowings and debt line in the consolidated statement of profit or loss.</w:t>
      </w:r>
    </w:p>
    <w:p>
      <w:pPr>
        <w:spacing w:after="0" w:line="18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35" w:name="page236"/>
    <w:bookmarkEnd w:id="2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267"/>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Borrowings consist of bilateral funding and syndicated loans obtained from international banks. Debt instruments consist of public and private issuances under the Bank’s Euro Medium Term Notes Program (“EMTN”) as well as public issuances in the Mexican and Japanese markets.</w:t>
      </w:r>
    </w:p>
    <w:p>
      <w:pPr>
        <w:spacing w:after="0" w:line="14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1 day to 30 years.</w:t>
      </w:r>
    </w:p>
    <w:p>
      <w:pPr>
        <w:spacing w:after="0" w:line="192"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December 30, 2020, the Bank was in compliance with all those covenants.</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5"/>
          </w:tcPr>
          <w:p>
            <w:pPr>
              <w:ind w:left="20"/>
              <w:spacing w:after="0"/>
              <w:rPr>
                <w:sz w:val="20"/>
                <w:szCs w:val="20"/>
                <w:color w:val="auto"/>
              </w:rPr>
            </w:pPr>
            <w:r>
              <w:rPr>
                <w:rFonts w:ascii="Arial" w:cs="Arial" w:eastAsia="Arial" w:hAnsi="Arial"/>
                <w:sz w:val="18"/>
                <w:szCs w:val="18"/>
                <w:b w:val="1"/>
                <w:bCs w:val="1"/>
                <w:color w:val="auto"/>
                <w:w w:val="90"/>
              </w:rPr>
              <w:t>December 31, 2020</w:t>
            </w:r>
          </w:p>
        </w:tc>
        <w:tc>
          <w:tcPr>
            <w:tcW w:w="9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224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8"/>
                <w:szCs w:val="18"/>
                <w:b w:val="1"/>
                <w:bCs w:val="1"/>
                <w:color w:val="auto"/>
                <w:w w:val="92"/>
              </w:rPr>
              <w:t>Short-Term</w:t>
            </w:r>
          </w:p>
        </w:tc>
        <w:tc>
          <w:tcPr>
            <w:tcW w:w="10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8"/>
                <w:szCs w:val="18"/>
                <w:b w:val="1"/>
                <w:bCs w:val="1"/>
                <w:color w:val="auto"/>
                <w:w w:val="92"/>
              </w:rPr>
              <w:t>Long-term</w:t>
            </w:r>
          </w:p>
        </w:tc>
        <w:tc>
          <w:tcPr>
            <w:tcW w:w="10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2"/>
          </w:tcPr>
          <w:p>
            <w:pPr>
              <w:ind w:left="4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Debt</w:t>
            </w:r>
          </w:p>
        </w:tc>
        <w:tc>
          <w:tcPr>
            <w:tcW w:w="1040" w:type="dxa"/>
            <w:vAlign w:val="bottom"/>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00" w:type="dxa"/>
            <w:vAlign w:val="bottom"/>
            <w:gridSpan w:val="3"/>
          </w:tcPr>
          <w:p>
            <w:pPr>
              <w:ind w:left="60"/>
              <w:spacing w:after="0"/>
              <w:rPr>
                <w:sz w:val="20"/>
                <w:szCs w:val="20"/>
                <w:color w:val="auto"/>
              </w:rPr>
            </w:pPr>
            <w:r>
              <w:rPr>
                <w:rFonts w:ascii="Arial" w:cs="Arial" w:eastAsia="Arial" w:hAnsi="Arial"/>
                <w:sz w:val="18"/>
                <w:szCs w:val="18"/>
                <w:b w:val="1"/>
                <w:bCs w:val="1"/>
                <w:color w:val="auto"/>
              </w:rPr>
              <w:t>Borrowings</w:t>
            </w:r>
          </w:p>
        </w:tc>
        <w:tc>
          <w:tcPr>
            <w:tcW w:w="11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Debt</w:t>
            </w: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Liabilities</w:t>
            </w:r>
          </w:p>
        </w:tc>
        <w:tc>
          <w:tcPr>
            <w:tcW w:w="100" w:type="dxa"/>
            <w:vAlign w:val="bottom"/>
          </w:tcPr>
          <w:p>
            <w:pPr>
              <w:spacing w:after="0"/>
              <w:rPr>
                <w:sz w:val="20"/>
                <w:szCs w:val="20"/>
                <w:color w:val="auto"/>
              </w:rPr>
            </w:pPr>
          </w:p>
        </w:tc>
        <w:tc>
          <w:tcPr>
            <w:tcW w:w="10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3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Carrying amount Principal</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331,585</w:t>
            </w: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1,244</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477,010</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2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17,555</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1,992,777</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2360" w:type="dxa"/>
            <w:vAlign w:val="bottom"/>
            <w:gridSpan w:val="2"/>
          </w:tcPr>
          <w:p>
            <w:pPr>
              <w:spacing w:after="0"/>
              <w:rPr>
                <w:sz w:val="20"/>
                <w:szCs w:val="20"/>
                <w:color w:val="auto"/>
              </w:rPr>
            </w:pPr>
            <w:r>
              <w:rPr>
                <w:rFonts w:ascii="Arial" w:cs="Arial" w:eastAsia="Arial" w:hAnsi="Arial"/>
                <w:sz w:val="18"/>
                <w:szCs w:val="18"/>
                <w:color w:val="auto"/>
              </w:rPr>
              <w:t>Prepaid commissions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4"/>
          </w:tcPr>
          <w:p>
            <w:pPr>
              <w:jc w:val="right"/>
              <w:ind w:right="160"/>
              <w:spacing w:after="0"/>
              <w:rPr>
                <w:sz w:val="20"/>
                <w:szCs w:val="20"/>
                <w:color w:val="auto"/>
              </w:rPr>
            </w:pPr>
            <w:r>
              <w:rPr>
                <w:rFonts w:ascii="Arial" w:cs="Arial" w:eastAsia="Arial" w:hAnsi="Arial"/>
                <w:sz w:val="18"/>
                <w:szCs w:val="18"/>
                <w:color w:val="auto"/>
              </w:rPr>
              <w:t>(1,158)</w:t>
            </w:r>
          </w:p>
        </w:tc>
        <w:tc>
          <w:tcPr>
            <w:tcW w:w="80" w:type="dxa"/>
            <w:vAlign w:val="bottom"/>
          </w:tcPr>
          <w:p>
            <w:pPr>
              <w:spacing w:after="0"/>
              <w:rPr>
                <w:sz w:val="19"/>
                <w:szCs w:val="19"/>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(6,549)</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(7,707)</w:t>
            </w: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40" w:type="dxa"/>
            <w:vAlign w:val="bottom"/>
            <w:tcBorders>
              <w:right w:val="single" w:sz="8" w:color="CCEEFF"/>
            </w:tcBorders>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50"/>
        </w:trPr>
        <w:tc>
          <w:tcPr>
            <w:tcW w:w="340" w:type="dxa"/>
            <w:vAlign w:val="bottom"/>
          </w:tcPr>
          <w:p>
            <w:pPr>
              <w:spacing w:after="0"/>
              <w:rPr>
                <w:sz w:val="21"/>
                <w:szCs w:val="21"/>
                <w:color w:val="auto"/>
              </w:rPr>
            </w:pPr>
          </w:p>
        </w:tc>
        <w:tc>
          <w:tcPr>
            <w:tcW w:w="224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331,585</w:t>
            </w:r>
          </w:p>
        </w:tc>
        <w:tc>
          <w:tcPr>
            <w:tcW w:w="20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49,350</w:t>
            </w:r>
          </w:p>
        </w:tc>
        <w:tc>
          <w:tcPr>
            <w:tcW w:w="10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1,244</w:t>
            </w:r>
          </w:p>
        </w:tc>
        <w:tc>
          <w:tcPr>
            <w:tcW w:w="142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475,852</w:t>
            </w:r>
          </w:p>
        </w:tc>
        <w:tc>
          <w:tcPr>
            <w:tcW w:w="8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1,109,484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17,555</w:t>
            </w:r>
          </w:p>
        </w:tc>
        <w:tc>
          <w:tcPr>
            <w:tcW w:w="11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1,985,070</w:t>
            </w:r>
          </w:p>
        </w:tc>
        <w:tc>
          <w:tcPr>
            <w:tcW w:w="20" w:type="dxa"/>
            <w:vAlign w:val="bottom"/>
          </w:tcPr>
          <w:p>
            <w:pPr>
              <w:spacing w:after="0"/>
              <w:rPr>
                <w:sz w:val="21"/>
                <w:szCs w:val="2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5"/>
          </w:tcPr>
          <w:p>
            <w:pPr>
              <w:ind w:left="20"/>
              <w:spacing w:after="0"/>
              <w:rPr>
                <w:sz w:val="20"/>
                <w:szCs w:val="20"/>
                <w:color w:val="auto"/>
              </w:rPr>
            </w:pPr>
            <w:r>
              <w:rPr>
                <w:rFonts w:ascii="Arial" w:cs="Arial" w:eastAsia="Arial" w:hAnsi="Arial"/>
                <w:sz w:val="18"/>
                <w:szCs w:val="18"/>
                <w:b w:val="1"/>
                <w:bCs w:val="1"/>
                <w:color w:val="auto"/>
                <w:w w:val="90"/>
              </w:rPr>
              <w:t>December 31, 2019</w:t>
            </w: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224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8"/>
                <w:szCs w:val="18"/>
                <w:b w:val="1"/>
                <w:bCs w:val="1"/>
                <w:color w:val="auto"/>
                <w:w w:val="92"/>
              </w:rPr>
              <w:t>Short-Term</w:t>
            </w:r>
          </w:p>
        </w:tc>
        <w:tc>
          <w:tcPr>
            <w:tcW w:w="10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8"/>
                <w:szCs w:val="18"/>
                <w:b w:val="1"/>
                <w:bCs w:val="1"/>
                <w:color w:val="auto"/>
                <w:w w:val="92"/>
              </w:rPr>
              <w:t>Long-term</w:t>
            </w:r>
          </w:p>
        </w:tc>
        <w:tc>
          <w:tcPr>
            <w:tcW w:w="10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91"/>
        </w:trPr>
        <w:tc>
          <w:tcPr>
            <w:tcW w:w="34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2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2"/>
          </w:tcPr>
          <w:p>
            <w:pPr>
              <w:ind w:left="40"/>
              <w:spacing w:after="0"/>
              <w:rPr>
                <w:sz w:val="20"/>
                <w:szCs w:val="20"/>
                <w:color w:val="auto"/>
              </w:rPr>
            </w:pPr>
            <w:r>
              <w:rPr>
                <w:rFonts w:ascii="Arial" w:cs="Arial" w:eastAsia="Arial" w:hAnsi="Arial"/>
                <w:sz w:val="18"/>
                <w:szCs w:val="18"/>
                <w:b w:val="1"/>
                <w:bCs w:val="1"/>
                <w:color w:val="auto"/>
              </w:rPr>
              <w:t>Borrowings</w:t>
            </w:r>
          </w:p>
        </w:tc>
        <w:tc>
          <w:tcPr>
            <w:tcW w:w="12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4"/>
              </w:rPr>
              <w:t>Debt</w:t>
            </w:r>
          </w:p>
        </w:tc>
        <w:tc>
          <w:tcPr>
            <w:tcW w:w="1040" w:type="dxa"/>
            <w:vAlign w:val="bottom"/>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00" w:type="dxa"/>
            <w:vAlign w:val="bottom"/>
            <w:gridSpan w:val="3"/>
          </w:tcPr>
          <w:p>
            <w:pPr>
              <w:ind w:left="60"/>
              <w:spacing w:after="0"/>
              <w:rPr>
                <w:sz w:val="20"/>
                <w:szCs w:val="20"/>
                <w:color w:val="auto"/>
              </w:rPr>
            </w:pPr>
            <w:r>
              <w:rPr>
                <w:rFonts w:ascii="Arial" w:cs="Arial" w:eastAsia="Arial" w:hAnsi="Arial"/>
                <w:sz w:val="18"/>
                <w:szCs w:val="18"/>
                <w:b w:val="1"/>
                <w:bCs w:val="1"/>
                <w:color w:val="auto"/>
              </w:rPr>
              <w:t>Borrowings</w:t>
            </w:r>
          </w:p>
        </w:tc>
        <w:tc>
          <w:tcPr>
            <w:tcW w:w="11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Debt</w:t>
            </w: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Liabilities</w:t>
            </w:r>
          </w:p>
        </w:tc>
        <w:tc>
          <w:tcPr>
            <w:tcW w:w="100" w:type="dxa"/>
            <w:vAlign w:val="bottom"/>
          </w:tcPr>
          <w:p>
            <w:pPr>
              <w:spacing w:after="0"/>
              <w:rPr>
                <w:sz w:val="20"/>
                <w:szCs w:val="20"/>
                <w:color w:val="auto"/>
              </w:rPr>
            </w:pPr>
          </w:p>
        </w:tc>
        <w:tc>
          <w:tcPr>
            <w:tcW w:w="10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23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Carrying amount Principal</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1,573,663</w:t>
            </w:r>
          </w:p>
        </w:tc>
        <w:tc>
          <w:tcPr>
            <w:tcW w:w="2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22,000</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1,145</w:t>
            </w:r>
          </w:p>
        </w:tc>
        <w:tc>
          <w:tcPr>
            <w:tcW w:w="200" w:type="dxa"/>
            <w:vAlign w:val="bottom"/>
            <w:tcBorders>
              <w:top w:val="single" w:sz="8" w:color="CCEEFF"/>
            </w:tcBorders>
            <w:gridSpan w:val="2"/>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723,419</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802,676</w:t>
            </w:r>
          </w:p>
        </w:tc>
        <w:tc>
          <w:tcPr>
            <w:tcW w:w="2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18,769</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3,141,672</w:t>
            </w:r>
          </w:p>
        </w:tc>
        <w:tc>
          <w:tcPr>
            <w:tcW w:w="12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360" w:type="dxa"/>
            <w:vAlign w:val="bottom"/>
            <w:gridSpan w:val="2"/>
          </w:tcPr>
          <w:p>
            <w:pPr>
              <w:spacing w:after="0"/>
              <w:rPr>
                <w:sz w:val="20"/>
                <w:szCs w:val="20"/>
                <w:color w:val="auto"/>
              </w:rPr>
            </w:pPr>
            <w:r>
              <w:rPr>
                <w:rFonts w:ascii="Arial" w:cs="Arial" w:eastAsia="Arial" w:hAnsi="Arial"/>
                <w:sz w:val="18"/>
                <w:szCs w:val="18"/>
                <w:color w:val="auto"/>
              </w:rPr>
              <w:t>Prepaid commissions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4"/>
          </w:tcPr>
          <w:p>
            <w:pPr>
              <w:jc w:val="right"/>
              <w:ind w:right="160"/>
              <w:spacing w:after="0"/>
              <w:rPr>
                <w:sz w:val="20"/>
                <w:szCs w:val="20"/>
                <w:color w:val="auto"/>
              </w:rPr>
            </w:pPr>
            <w:r>
              <w:rPr>
                <w:rFonts w:ascii="Arial" w:cs="Arial" w:eastAsia="Arial" w:hAnsi="Arial"/>
                <w:sz w:val="18"/>
                <w:szCs w:val="18"/>
                <w:color w:val="auto"/>
              </w:rPr>
              <w:t>(1,456)</w:t>
            </w:r>
          </w:p>
        </w:tc>
        <w:tc>
          <w:tcPr>
            <w:tcW w:w="80" w:type="dxa"/>
            <w:vAlign w:val="bottom"/>
          </w:tcPr>
          <w:p>
            <w:pPr>
              <w:spacing w:after="0"/>
              <w:rPr>
                <w:sz w:val="19"/>
                <w:szCs w:val="19"/>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(1,906)</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60" w:type="dxa"/>
            <w:vAlign w:val="bottom"/>
            <w:gridSpan w:val="3"/>
          </w:tcPr>
          <w:p>
            <w:pPr>
              <w:jc w:val="right"/>
              <w:ind w:right="60"/>
              <w:spacing w:after="0"/>
              <w:rPr>
                <w:sz w:val="20"/>
                <w:szCs w:val="20"/>
                <w:color w:val="auto"/>
              </w:rPr>
            </w:pPr>
            <w:r>
              <w:rPr>
                <w:rFonts w:ascii="Arial" w:cs="Arial" w:eastAsia="Arial" w:hAnsi="Arial"/>
                <w:sz w:val="18"/>
                <w:szCs w:val="18"/>
                <w:color w:val="auto"/>
              </w:rPr>
              <w:t>(3,362)</w:t>
            </w: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40" w:type="dxa"/>
            <w:vAlign w:val="bottom"/>
            <w:tcBorders>
              <w:right w:val="single" w:sz="8" w:color="CCEEFF"/>
            </w:tcBorders>
            <w:shd w:val="clear" w:color="auto" w:fill="000000"/>
          </w:tcPr>
          <w:p>
            <w:pPr>
              <w:spacing w:after="0" w:line="20" w:lineRule="exact"/>
              <w:rPr>
                <w:sz w:val="1"/>
                <w:szCs w:val="1"/>
                <w:color w:val="auto"/>
              </w:rPr>
            </w:pPr>
          </w:p>
        </w:tc>
        <w:tc>
          <w:tcPr>
            <w:tcW w:w="200" w:type="dxa"/>
            <w:vAlign w:val="bottom"/>
            <w:gridSpan w:val="2"/>
            <w:shd w:val="clear" w:color="auto" w:fill="CCEEFF"/>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50"/>
        </w:trPr>
        <w:tc>
          <w:tcPr>
            <w:tcW w:w="340" w:type="dxa"/>
            <w:vAlign w:val="bottom"/>
          </w:tcPr>
          <w:p>
            <w:pPr>
              <w:spacing w:after="0"/>
              <w:rPr>
                <w:sz w:val="21"/>
                <w:szCs w:val="21"/>
                <w:color w:val="auto"/>
              </w:rPr>
            </w:pPr>
          </w:p>
        </w:tc>
        <w:tc>
          <w:tcPr>
            <w:tcW w:w="224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1,573,663</w:t>
            </w:r>
          </w:p>
        </w:tc>
        <w:tc>
          <w:tcPr>
            <w:tcW w:w="20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22,000</w:t>
            </w:r>
          </w:p>
        </w:tc>
        <w:tc>
          <w:tcPr>
            <w:tcW w:w="10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1,145</w:t>
            </w:r>
          </w:p>
        </w:tc>
        <w:tc>
          <w:tcPr>
            <w:tcW w:w="142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721,963</w:t>
            </w:r>
          </w:p>
        </w:tc>
        <w:tc>
          <w:tcPr>
            <w:tcW w:w="8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800,770</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18,769</w:t>
            </w:r>
          </w:p>
        </w:tc>
        <w:tc>
          <w:tcPr>
            <w:tcW w:w="11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3,138,310</w:t>
            </w:r>
          </w:p>
        </w:tc>
        <w:tc>
          <w:tcPr>
            <w:tcW w:w="20" w:type="dxa"/>
            <w:vAlign w:val="bottom"/>
          </w:tcPr>
          <w:p>
            <w:pPr>
              <w:spacing w:after="0"/>
              <w:rPr>
                <w:sz w:val="21"/>
                <w:szCs w:val="21"/>
                <w:color w:val="auto"/>
              </w:rPr>
            </w:pPr>
          </w:p>
        </w:tc>
      </w:tr>
      <w:tr>
        <w:trPr>
          <w:trHeight w:val="20"/>
        </w:trPr>
        <w:tc>
          <w:tcPr>
            <w:tcW w:w="340" w:type="dxa"/>
            <w:vAlign w:val="bottom"/>
          </w:tcPr>
          <w:p>
            <w:pPr>
              <w:spacing w:after="0" w:line="20" w:lineRule="exact"/>
              <w:rPr>
                <w:sz w:val="1"/>
                <w:szCs w:val="1"/>
                <w:color w:val="auto"/>
              </w:rPr>
            </w:pPr>
          </w:p>
        </w:tc>
        <w:tc>
          <w:tcPr>
            <w:tcW w:w="2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3"/>
              </w:rPr>
              <w:t>F-100</w:t>
            </w: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36" w:name="page237"/>
    <w:bookmarkEnd w:id="2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jc w:val="both"/>
        <w:ind w:left="340" w:right="8340" w:hanging="332"/>
        <w:spacing w:after="0" w:line="566" w:lineRule="auto"/>
        <w:tabs>
          <w:tab w:leader="none" w:pos="340" w:val="left"/>
        </w:tabs>
        <w:numPr>
          <w:ilvl w:val="0"/>
          <w:numId w:val="268"/>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right="16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breakdown of short-term (original maturity of less than one year, excluding lease liabilities) borrowings and debt, along with contractual interest rates, is as follows: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560" w:type="dxa"/>
            <w:vAlign w:val="bottom"/>
          </w:tcPr>
          <w:p>
            <w:pPr>
              <w:spacing w:after="0"/>
              <w:rPr>
                <w:sz w:val="18"/>
                <w:szCs w:val="18"/>
                <w:color w:val="auto"/>
              </w:rPr>
            </w:pPr>
          </w:p>
        </w:tc>
        <w:tc>
          <w:tcPr>
            <w:tcW w:w="170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December 31,</w:t>
            </w:r>
          </w:p>
        </w:tc>
        <w:tc>
          <w:tcPr>
            <w:tcW w:w="162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5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6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4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700" w:type="dxa"/>
            <w:vAlign w:val="bottom"/>
            <w:gridSpan w:val="2"/>
          </w:tcPr>
          <w:p>
            <w:pPr>
              <w:jc w:val="right"/>
              <w:ind w:right="170"/>
              <w:spacing w:after="0"/>
              <w:rPr>
                <w:sz w:val="20"/>
                <w:szCs w:val="20"/>
                <w:color w:val="auto"/>
              </w:rPr>
            </w:pPr>
            <w:r>
              <w:rPr>
                <w:rFonts w:ascii="Arial" w:cs="Arial" w:eastAsia="Arial" w:hAnsi="Arial"/>
                <w:sz w:val="18"/>
                <w:szCs w:val="18"/>
                <w:color w:val="auto"/>
              </w:rPr>
              <w:t>55,000</w:t>
            </w:r>
          </w:p>
        </w:tc>
        <w:tc>
          <w:tcPr>
            <w:tcW w:w="1620" w:type="dxa"/>
            <w:vAlign w:val="bottom"/>
            <w:gridSpan w:val="2"/>
          </w:tcPr>
          <w:p>
            <w:pPr>
              <w:jc w:val="right"/>
              <w:ind w:right="70"/>
              <w:spacing w:after="0"/>
              <w:rPr>
                <w:sz w:val="20"/>
                <w:szCs w:val="20"/>
                <w:color w:val="auto"/>
              </w:rPr>
            </w:pPr>
            <w:r>
              <w:rPr>
                <w:rFonts w:ascii="Arial" w:cs="Arial" w:eastAsia="Arial" w:hAnsi="Arial"/>
                <w:sz w:val="18"/>
                <w:szCs w:val="18"/>
                <w:color w:val="auto"/>
              </w:rPr>
              <w:t>607,500</w:t>
            </w:r>
          </w:p>
        </w:tc>
        <w:tc>
          <w:tcPr>
            <w:tcW w:w="0" w:type="dxa"/>
            <w:vAlign w:val="bottom"/>
          </w:tcPr>
          <w:p>
            <w:pPr>
              <w:spacing w:after="0"/>
              <w:rPr>
                <w:sz w:val="1"/>
                <w:szCs w:val="1"/>
                <w:color w:val="auto"/>
              </w:rPr>
            </w:pPr>
          </w:p>
        </w:tc>
      </w:tr>
      <w:tr>
        <w:trPr>
          <w:trHeight w:val="229"/>
        </w:trPr>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7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276,585</w:t>
            </w:r>
          </w:p>
        </w:tc>
        <w:tc>
          <w:tcPr>
            <w:tcW w:w="16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966,163</w:t>
            </w:r>
          </w:p>
        </w:tc>
        <w:tc>
          <w:tcPr>
            <w:tcW w:w="0" w:type="dxa"/>
            <w:vAlign w:val="bottom"/>
          </w:tcPr>
          <w:p>
            <w:pPr>
              <w:spacing w:after="0"/>
              <w:rPr>
                <w:sz w:val="1"/>
                <w:szCs w:val="1"/>
                <w:color w:val="auto"/>
              </w:rPr>
            </w:pPr>
          </w:p>
        </w:tc>
      </w:tr>
      <w:tr>
        <w:trPr>
          <w:trHeight w:val="223"/>
        </w:trPr>
        <w:tc>
          <w:tcPr>
            <w:tcW w:w="75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331,585</w:t>
            </w:r>
          </w:p>
        </w:tc>
        <w:tc>
          <w:tcPr>
            <w:tcW w:w="260" w:type="dxa"/>
            <w:vAlign w:val="bottom"/>
            <w:tcBorders>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1,573,663</w:t>
            </w: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7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4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56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700" w:type="dxa"/>
            <w:vAlign w:val="bottom"/>
            <w:gridSpan w:val="2"/>
          </w:tcPr>
          <w:p>
            <w:pPr>
              <w:jc w:val="right"/>
              <w:ind w:right="17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70"/>
              <w:spacing w:after="0"/>
              <w:rPr>
                <w:sz w:val="20"/>
                <w:szCs w:val="20"/>
                <w:color w:val="auto"/>
              </w:rPr>
            </w:pPr>
            <w:r>
              <w:rPr>
                <w:rFonts w:ascii="Arial" w:cs="Arial" w:eastAsia="Arial" w:hAnsi="Arial"/>
                <w:sz w:val="18"/>
                <w:szCs w:val="18"/>
                <w:color w:val="auto"/>
              </w:rPr>
              <w:t>22,000</w:t>
            </w:r>
          </w:p>
        </w:tc>
        <w:tc>
          <w:tcPr>
            <w:tcW w:w="0" w:type="dxa"/>
            <w:vAlign w:val="bottom"/>
          </w:tcPr>
          <w:p>
            <w:pPr>
              <w:spacing w:after="0"/>
              <w:rPr>
                <w:sz w:val="1"/>
                <w:szCs w:val="1"/>
                <w:color w:val="auto"/>
              </w:rPr>
            </w:pPr>
          </w:p>
        </w:tc>
      </w:tr>
      <w:tr>
        <w:trPr>
          <w:trHeight w:val="229"/>
        </w:trPr>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7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49,350</w:t>
            </w:r>
          </w:p>
        </w:tc>
        <w:tc>
          <w:tcPr>
            <w:tcW w:w="16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5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49,350</w:t>
            </w:r>
          </w:p>
        </w:tc>
        <w:tc>
          <w:tcPr>
            <w:tcW w:w="260" w:type="dxa"/>
            <w:vAlign w:val="bottom"/>
            <w:tcBorders>
              <w:bottom w:val="single" w:sz="8" w:color="CCEEFF"/>
            </w:tcBorders>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22,000</w:t>
            </w: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70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b w:val="1"/>
                <w:bCs w:val="1"/>
                <w:color w:val="auto"/>
              </w:rPr>
              <w:t>380,935</w:t>
            </w:r>
          </w:p>
        </w:tc>
        <w:tc>
          <w:tcPr>
            <w:tcW w:w="162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1,595,663</w:t>
            </w:r>
          </w:p>
        </w:tc>
        <w:tc>
          <w:tcPr>
            <w:tcW w:w="0" w:type="dxa"/>
            <w:vAlign w:val="bottom"/>
          </w:tcPr>
          <w:p>
            <w:pPr>
              <w:spacing w:after="0"/>
              <w:rPr>
                <w:sz w:val="1"/>
                <w:szCs w:val="1"/>
                <w:color w:val="auto"/>
              </w:rPr>
            </w:pPr>
          </w:p>
        </w:tc>
      </w:tr>
      <w:tr>
        <w:trPr>
          <w:trHeight w:val="20"/>
        </w:trPr>
        <w:tc>
          <w:tcPr>
            <w:tcW w:w="756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56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7"/>
        </w:trPr>
        <w:tc>
          <w:tcPr>
            <w:tcW w:w="7560" w:type="dxa"/>
            <w:vAlign w:val="bottom"/>
            <w:shd w:val="clear" w:color="auto" w:fill="CCEEFF"/>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70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0.45% to 1.40%</w:t>
            </w: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2.07% to 2.52%</w:t>
            </w:r>
          </w:p>
        </w:tc>
        <w:tc>
          <w:tcPr>
            <w:tcW w:w="0" w:type="dxa"/>
            <w:vAlign w:val="bottom"/>
          </w:tcPr>
          <w:p>
            <w:pPr>
              <w:spacing w:after="0"/>
              <w:rPr>
                <w:sz w:val="1"/>
                <w:szCs w:val="1"/>
                <w:color w:val="auto"/>
              </w:rPr>
            </w:pPr>
          </w:p>
        </w:tc>
      </w:tr>
      <w:tr>
        <w:trPr>
          <w:trHeight w:val="20"/>
        </w:trPr>
        <w:tc>
          <w:tcPr>
            <w:tcW w:w="75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Range of floating interest rates on borrowings in U.S. dollars</w:t>
            </w: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7"/>
        </w:trPr>
        <w:tc>
          <w:tcPr>
            <w:tcW w:w="7560" w:type="dxa"/>
            <w:vAlign w:val="bottom"/>
            <w:tcBorders>
              <w:bottom w:val="single" w:sz="8" w:color="CCEEFF"/>
            </w:tcBorders>
            <w:vMerge w:val="continue"/>
          </w:tcPr>
          <w:p>
            <w:pPr>
              <w:spacing w:after="0"/>
              <w:rPr>
                <w:sz w:val="24"/>
                <w:szCs w:val="2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0.47% to 1.65</w:t>
            </w:r>
          </w:p>
        </w:tc>
        <w:tc>
          <w:tcPr>
            <w:tcW w:w="26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color w:val="auto"/>
                <w:w w:val="74"/>
              </w:rPr>
              <w:t>%</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2.09% to 2.35</w:t>
            </w:r>
          </w:p>
        </w:tc>
        <w:tc>
          <w:tcPr>
            <w:tcW w:w="16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37"/>
        </w:trPr>
        <w:tc>
          <w:tcPr>
            <w:tcW w:w="75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0.00</w:t>
            </w:r>
          </w:p>
        </w:tc>
        <w:tc>
          <w:tcPr>
            <w:tcW w:w="26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74"/>
              </w:rPr>
              <w:t>%</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8.08</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
        </w:trPr>
        <w:tc>
          <w:tcPr>
            <w:tcW w:w="75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4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7560" w:type="dxa"/>
            <w:vAlign w:val="bottom"/>
            <w:vMerge w:val="continue"/>
          </w:tcPr>
          <w:p>
            <w:pPr>
              <w:spacing w:after="0"/>
              <w:rPr>
                <w:sz w:val="18"/>
                <w:szCs w:val="18"/>
                <w:color w:val="auto"/>
              </w:rPr>
            </w:pPr>
          </w:p>
        </w:tc>
        <w:tc>
          <w:tcPr>
            <w:tcW w:w="1700" w:type="dxa"/>
            <w:vAlign w:val="bottom"/>
            <w:gridSpan w:val="2"/>
          </w:tcPr>
          <w:p>
            <w:pPr>
              <w:jc w:val="right"/>
              <w:ind w:right="30"/>
              <w:spacing w:after="0"/>
              <w:rPr>
                <w:sz w:val="20"/>
                <w:szCs w:val="20"/>
                <w:color w:val="auto"/>
              </w:rPr>
            </w:pPr>
            <w:r>
              <w:rPr>
                <w:rFonts w:ascii="Arial" w:cs="Arial" w:eastAsia="Arial" w:hAnsi="Arial"/>
                <w:sz w:val="18"/>
                <w:szCs w:val="18"/>
                <w:color w:val="auto"/>
              </w:rPr>
              <w:t>4.97% to 5.05%</w:t>
            </w: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7.71% to 8.31%</w:t>
            </w:r>
          </w:p>
        </w:tc>
        <w:tc>
          <w:tcPr>
            <w:tcW w:w="0" w:type="dxa"/>
            <w:vAlign w:val="bottom"/>
          </w:tcPr>
          <w:p>
            <w:pPr>
              <w:spacing w:after="0"/>
              <w:rPr>
                <w:sz w:val="1"/>
                <w:szCs w:val="1"/>
                <w:color w:val="auto"/>
              </w:rPr>
            </w:pPr>
          </w:p>
        </w:tc>
      </w:tr>
      <w:tr>
        <w:trPr>
          <w:trHeight w:val="20"/>
        </w:trPr>
        <w:tc>
          <w:tcPr>
            <w:tcW w:w="756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20"/>
          </w:cols>
          <w:pgMar w:left="320" w:top="688" w:right="35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outstanding balances of short-term borrowings and debt by currency, are as follows:</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917690" cy="145415"/>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8">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spacing w:after="0" w:line="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US dollar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917690" cy="145415"/>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9">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Mexican peso</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93" w:lineRule="exact"/>
        <w:rPr>
          <w:sz w:val="20"/>
          <w:szCs w:val="20"/>
          <w:color w:val="auto"/>
        </w:rPr>
      </w:pPr>
    </w:p>
    <w:p>
      <w:pPr>
        <w:ind w:left="5400"/>
        <w:spacing w:after="0"/>
        <w:rPr>
          <w:sz w:val="20"/>
          <w:szCs w:val="20"/>
          <w:color w:val="auto"/>
        </w:rPr>
      </w:pPr>
      <w:r>
        <w:rPr>
          <w:rFonts w:ascii="Arial" w:cs="Arial" w:eastAsia="Arial" w:hAnsi="Arial"/>
          <w:sz w:val="18"/>
          <w:szCs w:val="18"/>
          <w:color w:val="auto"/>
        </w:rPr>
        <w:t>F-101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6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1460" w:type="dxa"/>
            <w:vAlign w:val="bottom"/>
          </w:tcPr>
          <w:p>
            <w:pPr>
              <w:jc w:val="right"/>
              <w:ind w:right="11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r>
      <w:tr>
        <w:trPr>
          <w:trHeight w:val="425"/>
        </w:trPr>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299,957</w:t>
            </w:r>
          </w:p>
        </w:tc>
        <w:tc>
          <w:tcPr>
            <w:tcW w:w="1460" w:type="dxa"/>
            <w:vAlign w:val="bottom"/>
          </w:tcPr>
          <w:p>
            <w:pPr>
              <w:jc w:val="right"/>
              <w:spacing w:after="0"/>
              <w:rPr>
                <w:sz w:val="20"/>
                <w:szCs w:val="20"/>
                <w:color w:val="auto"/>
              </w:rPr>
            </w:pPr>
            <w:r>
              <w:rPr>
                <w:rFonts w:ascii="Arial" w:cs="Arial" w:eastAsia="Arial" w:hAnsi="Arial"/>
                <w:sz w:val="18"/>
                <w:szCs w:val="18"/>
                <w:color w:val="auto"/>
              </w:rPr>
              <w:t>1,476,000</w:t>
            </w:r>
          </w:p>
        </w:tc>
      </w:tr>
      <w:tr>
        <w:trPr>
          <w:trHeight w:val="230"/>
        </w:trPr>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80,978</w:t>
            </w:r>
          </w:p>
        </w:tc>
        <w:tc>
          <w:tcPr>
            <w:tcW w:w="220" w:type="dxa"/>
            <w:vAlign w:val="bottom"/>
          </w:tcPr>
          <w:p>
            <w:pPr>
              <w:spacing w:after="0"/>
              <w:rPr>
                <w:sz w:val="20"/>
                <w:szCs w:val="20"/>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119,663</w:t>
            </w:r>
          </w:p>
        </w:tc>
      </w:tr>
      <w:tr>
        <w:trPr>
          <w:trHeight w:val="250"/>
        </w:trPr>
        <w:tc>
          <w:tcPr>
            <w:tcW w:w="16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380,935</w:t>
            </w:r>
          </w:p>
        </w:tc>
        <w:tc>
          <w:tcPr>
            <w:tcW w:w="1460" w:type="dxa"/>
            <w:vAlign w:val="bottom"/>
          </w:tcPr>
          <w:p>
            <w:pPr>
              <w:jc w:val="right"/>
              <w:spacing w:after="0"/>
              <w:rPr>
                <w:sz w:val="20"/>
                <w:szCs w:val="20"/>
                <w:color w:val="auto"/>
              </w:rPr>
            </w:pPr>
            <w:r>
              <w:rPr>
                <w:rFonts w:ascii="Arial" w:cs="Arial" w:eastAsia="Arial" w:hAnsi="Arial"/>
                <w:sz w:val="18"/>
                <w:szCs w:val="18"/>
                <w:b w:val="1"/>
                <w:bCs w:val="1"/>
                <w:color w:val="auto"/>
              </w:rPr>
              <w:t>1,595,663</w:t>
            </w:r>
          </w:p>
        </w:tc>
      </w:tr>
      <w:tr>
        <w:trPr>
          <w:trHeight w:val="20"/>
        </w:trPr>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r>
    </w:tbl>
    <w:p>
      <w:pPr>
        <w:sectPr>
          <w:pgSz w:w="11900" w:h="16838" w:orient="portrait"/>
          <w:cols w:equalWidth="0" w:num="2">
            <w:col w:w="7260" w:space="720"/>
            <w:col w:w="3240"/>
          </w:cols>
          <w:pgMar w:left="320" w:top="688" w:right="359" w:bottom="1440" w:gutter="0" w:footer="0" w:header="0"/>
          <w:type w:val="continuous"/>
        </w:sectPr>
      </w:pPr>
    </w:p>
    <w:bookmarkStart w:id="237" w:name="page238"/>
    <w:bookmarkEnd w:id="2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360" w:hanging="332"/>
        <w:spacing w:after="0" w:line="566" w:lineRule="auto"/>
        <w:tabs>
          <w:tab w:leader="none" w:pos="340" w:val="left"/>
        </w:tabs>
        <w:numPr>
          <w:ilvl w:val="0"/>
          <w:numId w:val="269"/>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breakdown of borrowings and long-term debt (original maturity of more than one year, excluding lease liabilities), along with contractual interest rates, plus prepaid commissions as of December 31, 2020 and 2019, respectively, are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5340" w:type="dxa"/>
            <w:vAlign w:val="bottom"/>
          </w:tcPr>
          <w:p>
            <w:pPr>
              <w:spacing w:after="0"/>
              <w:rPr>
                <w:sz w:val="19"/>
                <w:szCs w:val="19"/>
                <w:color w:val="auto"/>
              </w:rPr>
            </w:pPr>
          </w:p>
        </w:tc>
        <w:tc>
          <w:tcPr>
            <w:tcW w:w="2580" w:type="dxa"/>
            <w:vAlign w:val="bottom"/>
          </w:tcPr>
          <w:p>
            <w:pPr>
              <w:spacing w:after="0"/>
              <w:rPr>
                <w:sz w:val="19"/>
                <w:szCs w:val="19"/>
                <w:color w:val="auto"/>
              </w:rPr>
            </w:pPr>
          </w:p>
        </w:tc>
        <w:tc>
          <w:tcPr>
            <w:tcW w:w="1720" w:type="dxa"/>
            <w:vAlign w:val="bottom"/>
            <w:gridSpan w:val="2"/>
          </w:tcPr>
          <w:p>
            <w:pPr>
              <w:jc w:val="right"/>
              <w:ind w:right="390"/>
              <w:spacing w:after="0"/>
              <w:rPr>
                <w:sz w:val="20"/>
                <w:szCs w:val="20"/>
                <w:color w:val="auto"/>
              </w:rPr>
            </w:pPr>
            <w:r>
              <w:rPr>
                <w:rFonts w:ascii="Arial" w:cs="Arial" w:eastAsia="Arial" w:hAnsi="Arial"/>
                <w:sz w:val="18"/>
                <w:szCs w:val="18"/>
                <w:b w:val="1"/>
                <w:bCs w:val="1"/>
                <w:color w:val="auto"/>
              </w:rPr>
              <w:t>December 31,</w:t>
            </w:r>
          </w:p>
        </w:tc>
        <w:tc>
          <w:tcPr>
            <w:tcW w:w="1600" w:type="dxa"/>
            <w:vAlign w:val="bottom"/>
            <w:gridSpan w:val="2"/>
          </w:tcPr>
          <w:p>
            <w:pPr>
              <w:jc w:val="right"/>
              <w:ind w:right="27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5340" w:type="dxa"/>
            <w:vAlign w:val="bottom"/>
          </w:tcPr>
          <w:p>
            <w:pPr>
              <w:spacing w:after="0"/>
              <w:rPr>
                <w:sz w:val="20"/>
                <w:szCs w:val="20"/>
                <w:color w:val="auto"/>
              </w:rPr>
            </w:pPr>
          </w:p>
        </w:tc>
        <w:tc>
          <w:tcPr>
            <w:tcW w:w="4020" w:type="dxa"/>
            <w:vAlign w:val="bottom"/>
            <w:gridSpan w:val="2"/>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80" w:type="dxa"/>
            <w:vAlign w:val="bottom"/>
          </w:tcPr>
          <w:p>
            <w:pPr>
              <w:spacing w:after="0"/>
              <w:rPr>
                <w:sz w:val="20"/>
                <w:szCs w:val="20"/>
                <w:color w:val="auto"/>
              </w:rPr>
            </w:pPr>
          </w:p>
        </w:tc>
        <w:tc>
          <w:tcPr>
            <w:tcW w:w="1440" w:type="dxa"/>
            <w:vAlign w:val="bottom"/>
          </w:tcPr>
          <w:p>
            <w:pPr>
              <w:jc w:val="right"/>
              <w:ind w:right="45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Long-term borrowings:</w:t>
            </w:r>
          </w:p>
        </w:tc>
        <w:tc>
          <w:tcPr>
            <w:tcW w:w="25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spacing w:after="0"/>
              <w:rPr>
                <w:sz w:val="19"/>
                <w:szCs w:val="19"/>
                <w:color w:val="auto"/>
              </w:rPr>
            </w:pPr>
          </w:p>
        </w:tc>
        <w:tc>
          <w:tcPr>
            <w:tcW w:w="2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tcBorders>
            <w:shd w:val="clear" w:color="auto" w:fill="CCEEFF"/>
          </w:tcPr>
          <w:p>
            <w:pPr>
              <w:spacing w:after="0"/>
              <w:rPr>
                <w:sz w:val="19"/>
                <w:szCs w:val="19"/>
                <w:color w:val="auto"/>
              </w:rPr>
            </w:pPr>
          </w:p>
        </w:tc>
        <w:tc>
          <w:tcPr>
            <w:tcW w:w="16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340" w:type="dxa"/>
            <w:vAlign w:val="bottom"/>
          </w:tcPr>
          <w:p>
            <w:pPr>
              <w:spacing w:after="0"/>
              <w:rPr>
                <w:sz w:val="20"/>
                <w:szCs w:val="20"/>
                <w:color w:val="auto"/>
              </w:rPr>
            </w:pPr>
            <w:r>
              <w:rPr>
                <w:rFonts w:ascii="Arial" w:cs="Arial" w:eastAsia="Arial" w:hAnsi="Arial"/>
                <w:sz w:val="18"/>
                <w:szCs w:val="18"/>
                <w:color w:val="auto"/>
              </w:rPr>
              <w:t>At fixed interest rates with due dates from April 2021 to May 2022</w:t>
            </w:r>
          </w:p>
        </w:tc>
        <w:tc>
          <w:tcPr>
            <w:tcW w:w="4300" w:type="dxa"/>
            <w:vAlign w:val="bottom"/>
            <w:gridSpan w:val="3"/>
          </w:tcPr>
          <w:p>
            <w:pPr>
              <w:jc w:val="right"/>
              <w:ind w:right="190"/>
              <w:spacing w:after="0"/>
              <w:rPr>
                <w:sz w:val="20"/>
                <w:szCs w:val="20"/>
                <w:color w:val="auto"/>
              </w:rPr>
            </w:pPr>
            <w:r>
              <w:rPr>
                <w:rFonts w:ascii="Arial" w:cs="Arial" w:eastAsia="Arial" w:hAnsi="Arial"/>
                <w:sz w:val="18"/>
                <w:szCs w:val="18"/>
                <w:color w:val="auto"/>
              </w:rPr>
              <w:t>68,190</w:t>
            </w:r>
          </w:p>
        </w:tc>
        <w:tc>
          <w:tcPr>
            <w:tcW w:w="1600" w:type="dxa"/>
            <w:vAlign w:val="bottom"/>
            <w:gridSpan w:val="2"/>
          </w:tcPr>
          <w:p>
            <w:pPr>
              <w:jc w:val="right"/>
              <w:ind w:right="70"/>
              <w:spacing w:after="0"/>
              <w:rPr>
                <w:sz w:val="20"/>
                <w:szCs w:val="20"/>
                <w:color w:val="auto"/>
              </w:rPr>
            </w:pPr>
            <w:r>
              <w:rPr>
                <w:rFonts w:ascii="Arial" w:cs="Arial" w:eastAsia="Arial" w:hAnsi="Arial"/>
                <w:sz w:val="18"/>
                <w:szCs w:val="18"/>
                <w:color w:val="auto"/>
              </w:rPr>
              <w:t>65,435</w:t>
            </w:r>
          </w:p>
        </w:tc>
        <w:tc>
          <w:tcPr>
            <w:tcW w:w="0" w:type="dxa"/>
            <w:vAlign w:val="bottom"/>
          </w:tcPr>
          <w:p>
            <w:pPr>
              <w:spacing w:after="0"/>
              <w:rPr>
                <w:sz w:val="1"/>
                <w:szCs w:val="1"/>
                <w:color w:val="auto"/>
              </w:rPr>
            </w:pPr>
          </w:p>
        </w:tc>
      </w:tr>
      <w:tr>
        <w:trPr>
          <w:trHeight w:val="229"/>
        </w:trPr>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w w:val="93"/>
              </w:rPr>
              <w:t>At floating interest rates with due dates from June 2021 to August 2023</w:t>
            </w:r>
          </w:p>
        </w:tc>
        <w:tc>
          <w:tcPr>
            <w:tcW w:w="43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color w:val="auto"/>
              </w:rPr>
              <w:t>408,820</w:t>
            </w:r>
          </w:p>
        </w:tc>
        <w:tc>
          <w:tcPr>
            <w:tcW w:w="16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657,984</w:t>
            </w:r>
          </w:p>
        </w:tc>
        <w:tc>
          <w:tcPr>
            <w:tcW w:w="0" w:type="dxa"/>
            <w:vAlign w:val="bottom"/>
          </w:tcPr>
          <w:p>
            <w:pPr>
              <w:spacing w:after="0"/>
              <w:rPr>
                <w:sz w:val="1"/>
                <w:szCs w:val="1"/>
                <w:color w:val="auto"/>
              </w:rPr>
            </w:pPr>
          </w:p>
        </w:tc>
      </w:tr>
      <w:tr>
        <w:trPr>
          <w:trHeight w:val="223"/>
        </w:trPr>
        <w:tc>
          <w:tcPr>
            <w:tcW w:w="53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borrowings</w:t>
            </w:r>
          </w:p>
        </w:tc>
        <w:tc>
          <w:tcPr>
            <w:tcW w:w="2580" w:type="dxa"/>
            <w:vAlign w:val="bottom"/>
            <w:tcBorders>
              <w:bottom w:val="single" w:sz="8" w:color="CCEEFF"/>
            </w:tcBorders>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477,010</w:t>
            </w:r>
          </w:p>
        </w:tc>
        <w:tc>
          <w:tcPr>
            <w:tcW w:w="280" w:type="dxa"/>
            <w:vAlign w:val="bottom"/>
            <w:tcBorders>
              <w:bottom w:val="single" w:sz="8" w:color="CCEEFF"/>
            </w:tcBorders>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723,419</w:t>
            </w:r>
          </w:p>
        </w:tc>
        <w:tc>
          <w:tcPr>
            <w:tcW w:w="16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340" w:type="dxa"/>
            <w:vAlign w:val="bottom"/>
            <w:shd w:val="clear" w:color="auto" w:fill="CCEEFF"/>
          </w:tcPr>
          <w:p>
            <w:pPr>
              <w:spacing w:after="0"/>
              <w:rPr>
                <w:sz w:val="18"/>
                <w:szCs w:val="18"/>
                <w:color w:val="auto"/>
              </w:rPr>
            </w:pPr>
          </w:p>
        </w:tc>
        <w:tc>
          <w:tcPr>
            <w:tcW w:w="258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40" w:type="dxa"/>
            <w:vAlign w:val="bottom"/>
          </w:tcPr>
          <w:p>
            <w:pPr>
              <w:spacing w:after="0"/>
              <w:rPr>
                <w:sz w:val="20"/>
                <w:szCs w:val="20"/>
                <w:color w:val="auto"/>
              </w:rPr>
            </w:pPr>
            <w:r>
              <w:rPr>
                <w:rFonts w:ascii="Arial" w:cs="Arial" w:eastAsia="Arial" w:hAnsi="Arial"/>
                <w:sz w:val="18"/>
                <w:szCs w:val="18"/>
                <w:b w:val="1"/>
                <w:bCs w:val="1"/>
                <w:color w:val="auto"/>
              </w:rPr>
              <w:t>Long-term debt:</w:t>
            </w:r>
          </w:p>
        </w:tc>
        <w:tc>
          <w:tcPr>
            <w:tcW w:w="25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w w:val="93"/>
              </w:rPr>
              <w:t>At fixed interest rates with due dates from July 2021 to December 2027</w:t>
            </w:r>
          </w:p>
        </w:tc>
        <w:tc>
          <w:tcPr>
            <w:tcW w:w="43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color w:val="auto"/>
              </w:rPr>
              <w:t>784,006</w:t>
            </w:r>
          </w:p>
        </w:tc>
        <w:tc>
          <w:tcPr>
            <w:tcW w:w="16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502,880</w:t>
            </w:r>
          </w:p>
        </w:tc>
        <w:tc>
          <w:tcPr>
            <w:tcW w:w="0" w:type="dxa"/>
            <w:vAlign w:val="bottom"/>
          </w:tcPr>
          <w:p>
            <w:pPr>
              <w:spacing w:after="0"/>
              <w:rPr>
                <w:sz w:val="1"/>
                <w:szCs w:val="1"/>
                <w:color w:val="auto"/>
              </w:rPr>
            </w:pPr>
          </w:p>
        </w:tc>
      </w:tr>
      <w:tr>
        <w:trPr>
          <w:trHeight w:val="229"/>
        </w:trPr>
        <w:tc>
          <w:tcPr>
            <w:tcW w:w="5340" w:type="dxa"/>
            <w:vAlign w:val="bottom"/>
          </w:tcPr>
          <w:p>
            <w:pPr>
              <w:spacing w:after="0"/>
              <w:rPr>
                <w:sz w:val="20"/>
                <w:szCs w:val="20"/>
                <w:color w:val="auto"/>
              </w:rPr>
            </w:pPr>
            <w:r>
              <w:rPr>
                <w:rFonts w:ascii="Arial" w:cs="Arial" w:eastAsia="Arial" w:hAnsi="Arial"/>
                <w:sz w:val="18"/>
                <w:szCs w:val="18"/>
                <w:color w:val="auto"/>
                <w:w w:val="94"/>
              </w:rPr>
              <w:t>At floating interest rates with due dates from March 2022 to June 2023</w:t>
            </w:r>
          </w:p>
        </w:tc>
        <w:tc>
          <w:tcPr>
            <w:tcW w:w="4300" w:type="dxa"/>
            <w:vAlign w:val="bottom"/>
            <w:gridSpan w:val="3"/>
          </w:tcPr>
          <w:p>
            <w:pPr>
              <w:jc w:val="right"/>
              <w:ind w:right="190"/>
              <w:spacing w:after="0"/>
              <w:rPr>
                <w:sz w:val="20"/>
                <w:szCs w:val="20"/>
                <w:color w:val="auto"/>
              </w:rPr>
            </w:pPr>
            <w:r>
              <w:rPr>
                <w:rFonts w:ascii="Arial" w:cs="Arial" w:eastAsia="Arial" w:hAnsi="Arial"/>
                <w:sz w:val="18"/>
                <w:szCs w:val="18"/>
                <w:color w:val="auto"/>
              </w:rPr>
              <w:t>332,027</w:t>
            </w:r>
          </w:p>
        </w:tc>
        <w:tc>
          <w:tcPr>
            <w:tcW w:w="1600" w:type="dxa"/>
            <w:vAlign w:val="bottom"/>
            <w:gridSpan w:val="2"/>
          </w:tcPr>
          <w:p>
            <w:pPr>
              <w:jc w:val="right"/>
              <w:ind w:right="70"/>
              <w:spacing w:after="0"/>
              <w:rPr>
                <w:sz w:val="20"/>
                <w:szCs w:val="20"/>
                <w:color w:val="auto"/>
              </w:rPr>
            </w:pPr>
            <w:r>
              <w:rPr>
                <w:rFonts w:ascii="Arial" w:cs="Arial" w:eastAsia="Arial" w:hAnsi="Arial"/>
                <w:sz w:val="18"/>
                <w:szCs w:val="18"/>
                <w:color w:val="auto"/>
              </w:rPr>
              <w:t>299,796</w:t>
            </w:r>
          </w:p>
        </w:tc>
        <w:tc>
          <w:tcPr>
            <w:tcW w:w="0" w:type="dxa"/>
            <w:vAlign w:val="bottom"/>
          </w:tcPr>
          <w:p>
            <w:pPr>
              <w:spacing w:after="0"/>
              <w:rPr>
                <w:sz w:val="1"/>
                <w:szCs w:val="1"/>
                <w:color w:val="auto"/>
              </w:rPr>
            </w:pPr>
          </w:p>
        </w:tc>
      </w:tr>
      <w:tr>
        <w:trPr>
          <w:trHeight w:val="223"/>
        </w:trPr>
        <w:tc>
          <w:tcPr>
            <w:tcW w:w="5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debt</w:t>
            </w:r>
          </w:p>
        </w:tc>
        <w:tc>
          <w:tcPr>
            <w:tcW w:w="25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280" w:type="dxa"/>
            <w:vAlign w:val="bottom"/>
            <w:tcBorders>
              <w:top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802,676</w:t>
            </w:r>
          </w:p>
        </w:tc>
        <w:tc>
          <w:tcPr>
            <w:tcW w:w="16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5340" w:type="dxa"/>
            <w:vAlign w:val="bottom"/>
          </w:tcPr>
          <w:p>
            <w:pPr>
              <w:spacing w:after="0"/>
              <w:rPr>
                <w:sz w:val="20"/>
                <w:szCs w:val="20"/>
                <w:color w:val="auto"/>
              </w:rPr>
            </w:pPr>
            <w:r>
              <w:rPr>
                <w:rFonts w:ascii="Arial" w:cs="Arial" w:eastAsia="Arial" w:hAnsi="Arial"/>
                <w:sz w:val="18"/>
                <w:szCs w:val="18"/>
                <w:color w:val="auto"/>
              </w:rPr>
              <w:t>Total long-term borrowings and debt</w:t>
            </w:r>
          </w:p>
        </w:tc>
        <w:tc>
          <w:tcPr>
            <w:tcW w:w="258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1,593,043</w:t>
            </w:r>
          </w:p>
        </w:tc>
        <w:tc>
          <w:tcPr>
            <w:tcW w:w="280" w:type="dxa"/>
            <w:vAlign w:val="bottom"/>
          </w:tcPr>
          <w:p>
            <w:pPr>
              <w:spacing w:after="0"/>
              <w:rPr>
                <w:sz w:val="18"/>
                <w:szCs w:val="18"/>
                <w:color w:val="auto"/>
              </w:rPr>
            </w:pPr>
          </w:p>
        </w:tc>
        <w:tc>
          <w:tcPr>
            <w:tcW w:w="1440" w:type="dxa"/>
            <w:vAlign w:val="bottom"/>
          </w:tcPr>
          <w:p>
            <w:pPr>
              <w:jc w:val="right"/>
              <w:spacing w:after="0"/>
              <w:rPr>
                <w:sz w:val="20"/>
                <w:szCs w:val="20"/>
                <w:color w:val="auto"/>
              </w:rPr>
            </w:pPr>
            <w:r>
              <w:rPr>
                <w:rFonts w:ascii="Arial" w:cs="Arial" w:eastAsia="Arial" w:hAnsi="Arial"/>
                <w:sz w:val="18"/>
                <w:szCs w:val="18"/>
                <w:color w:val="auto"/>
              </w:rPr>
              <w:t>1,526,095</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Less: Prepaid commissions</w:t>
            </w:r>
          </w:p>
        </w:tc>
        <w:tc>
          <w:tcPr>
            <w:tcW w:w="430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(7,707)</w:t>
            </w:r>
          </w:p>
        </w:tc>
        <w:tc>
          <w:tcPr>
            <w:tcW w:w="1600" w:type="dxa"/>
            <w:vAlign w:val="bottom"/>
            <w:gridSpan w:val="2"/>
            <w:shd w:val="clear" w:color="auto" w:fill="CCEEFF"/>
          </w:tcPr>
          <w:p>
            <w:pPr>
              <w:jc w:val="right"/>
              <w:ind w:right="10"/>
              <w:spacing w:after="0"/>
              <w:rPr>
                <w:sz w:val="20"/>
                <w:szCs w:val="20"/>
                <w:color w:val="auto"/>
              </w:rPr>
            </w:pPr>
            <w:r>
              <w:rPr>
                <w:rFonts w:ascii="Arial" w:cs="Arial" w:eastAsia="Arial" w:hAnsi="Arial"/>
                <w:sz w:val="18"/>
                <w:szCs w:val="18"/>
                <w:color w:val="auto"/>
              </w:rPr>
              <w:t>(3,362)</w:t>
            </w:r>
          </w:p>
        </w:tc>
        <w:tc>
          <w:tcPr>
            <w:tcW w:w="0" w:type="dxa"/>
            <w:vAlign w:val="bottom"/>
          </w:tcPr>
          <w:p>
            <w:pPr>
              <w:spacing w:after="0"/>
              <w:rPr>
                <w:sz w:val="1"/>
                <w:szCs w:val="1"/>
                <w:color w:val="auto"/>
              </w:rPr>
            </w:pPr>
          </w:p>
        </w:tc>
      </w:tr>
      <w:tr>
        <w:trPr>
          <w:trHeight w:val="210"/>
        </w:trPr>
        <w:tc>
          <w:tcPr>
            <w:tcW w:w="5340" w:type="dxa"/>
            <w:vAlign w:val="bottom"/>
          </w:tcPr>
          <w:p>
            <w:pPr>
              <w:spacing w:after="0"/>
              <w:rPr>
                <w:sz w:val="18"/>
                <w:szCs w:val="18"/>
                <w:color w:val="auto"/>
              </w:rPr>
            </w:pPr>
          </w:p>
        </w:tc>
        <w:tc>
          <w:tcPr>
            <w:tcW w:w="2580" w:type="dxa"/>
            <w:vAlign w:val="bottom"/>
          </w:tcPr>
          <w:p>
            <w:pPr>
              <w:spacing w:after="0"/>
              <w:rPr>
                <w:sz w:val="18"/>
                <w:szCs w:val="18"/>
                <w:color w:val="auto"/>
              </w:rPr>
            </w:pPr>
          </w:p>
        </w:tc>
        <w:tc>
          <w:tcPr>
            <w:tcW w:w="1440" w:type="dxa"/>
            <w:vAlign w:val="bottom"/>
            <w:tcBorders>
              <w:top w:val="single" w:sz="8" w:color="auto"/>
            </w:tcBorders>
          </w:tcPr>
          <w:p>
            <w:pPr>
              <w:spacing w:after="0"/>
              <w:rPr>
                <w:sz w:val="18"/>
                <w:szCs w:val="18"/>
                <w:color w:val="auto"/>
              </w:rPr>
            </w:pPr>
          </w:p>
        </w:tc>
        <w:tc>
          <w:tcPr>
            <w:tcW w:w="280" w:type="dxa"/>
            <w:vAlign w:val="bottom"/>
          </w:tcPr>
          <w:p>
            <w:pPr>
              <w:spacing w:after="0"/>
              <w:rPr>
                <w:sz w:val="18"/>
                <w:szCs w:val="18"/>
                <w:color w:val="auto"/>
              </w:rPr>
            </w:pPr>
          </w:p>
        </w:tc>
        <w:tc>
          <w:tcPr>
            <w:tcW w:w="1440" w:type="dxa"/>
            <w:vAlign w:val="bottom"/>
            <w:tcBorders>
              <w:top w:val="single" w:sz="8" w:color="auto"/>
            </w:tcBorders>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4300" w:type="dxa"/>
            <w:vAlign w:val="bottom"/>
            <w:gridSpan w:val="3"/>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1,585,336</w:t>
            </w:r>
          </w:p>
        </w:tc>
        <w:tc>
          <w:tcPr>
            <w:tcW w:w="160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1,522,733</w:t>
            </w:r>
          </w:p>
        </w:tc>
        <w:tc>
          <w:tcPr>
            <w:tcW w:w="0" w:type="dxa"/>
            <w:vAlign w:val="bottom"/>
          </w:tcPr>
          <w:p>
            <w:pPr>
              <w:spacing w:after="0"/>
              <w:rPr>
                <w:sz w:val="1"/>
                <w:szCs w:val="1"/>
                <w:color w:val="auto"/>
              </w:rPr>
            </w:pPr>
          </w:p>
        </w:tc>
      </w:tr>
      <w:tr>
        <w:trPr>
          <w:trHeight w:val="20"/>
        </w:trPr>
        <w:tc>
          <w:tcPr>
            <w:tcW w:w="5340" w:type="dxa"/>
            <w:vAlign w:val="bottom"/>
            <w:tcBorders>
              <w:top w:val="single" w:sz="8" w:color="CCEEFF"/>
            </w:tcBorders>
          </w:tcPr>
          <w:p>
            <w:pPr>
              <w:spacing w:after="0" w:line="20" w:lineRule="exact"/>
              <w:rPr>
                <w:sz w:val="1"/>
                <w:szCs w:val="1"/>
                <w:color w:val="auto"/>
              </w:rPr>
            </w:pPr>
          </w:p>
        </w:tc>
        <w:tc>
          <w:tcPr>
            <w:tcW w:w="258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340" w:type="dxa"/>
            <w:vAlign w:val="bottom"/>
          </w:tcPr>
          <w:p>
            <w:pPr>
              <w:spacing w:after="0"/>
              <w:rPr>
                <w:sz w:val="17"/>
                <w:szCs w:val="17"/>
                <w:color w:val="auto"/>
              </w:rPr>
            </w:pPr>
          </w:p>
        </w:tc>
        <w:tc>
          <w:tcPr>
            <w:tcW w:w="258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7"/>
        </w:trPr>
        <w:tc>
          <w:tcPr>
            <w:tcW w:w="5340" w:type="dxa"/>
            <w:vAlign w:val="bottom"/>
            <w:shd w:val="clear" w:color="auto" w:fill="CCEEFF"/>
          </w:tcPr>
          <w:p>
            <w:pPr>
              <w:spacing w:after="0"/>
              <w:rPr>
                <w:sz w:val="20"/>
                <w:szCs w:val="20"/>
                <w:color w:val="auto"/>
              </w:rPr>
            </w:pPr>
            <w:r>
              <w:rPr>
                <w:rFonts w:ascii="Arial" w:cs="Arial" w:eastAsia="Arial" w:hAnsi="Arial"/>
                <w:sz w:val="18"/>
                <w:szCs w:val="18"/>
                <w:color w:val="auto"/>
                <w:w w:val="99"/>
              </w:rPr>
              <w:t>Range of fixed interest rates on borrowings and debt in U.S. dollars</w:t>
            </w:r>
          </w:p>
        </w:tc>
        <w:tc>
          <w:tcPr>
            <w:tcW w:w="2580" w:type="dxa"/>
            <w:vAlign w:val="bottom"/>
            <w:shd w:val="clear" w:color="auto" w:fill="CCEEFF"/>
          </w:tcPr>
          <w:p>
            <w:pPr>
              <w:spacing w:after="0"/>
              <w:rPr>
                <w:sz w:val="22"/>
                <w:szCs w:val="22"/>
                <w:color w:val="auto"/>
              </w:rPr>
            </w:pPr>
          </w:p>
        </w:tc>
        <w:tc>
          <w:tcPr>
            <w:tcW w:w="1720" w:type="dxa"/>
            <w:vAlign w:val="bottom"/>
            <w:gridSpan w:val="2"/>
            <w:shd w:val="clear" w:color="auto" w:fill="CCEEFF"/>
          </w:tcPr>
          <w:p>
            <w:pPr>
              <w:jc w:val="right"/>
              <w:ind w:right="30"/>
              <w:spacing w:after="0"/>
              <w:rPr>
                <w:sz w:val="20"/>
                <w:szCs w:val="20"/>
                <w:color w:val="auto"/>
              </w:rPr>
            </w:pPr>
            <w:r>
              <w:rPr>
                <w:rFonts w:ascii="Arial" w:cs="Arial" w:eastAsia="Arial" w:hAnsi="Arial"/>
                <w:sz w:val="18"/>
                <w:szCs w:val="18"/>
                <w:color w:val="auto"/>
              </w:rPr>
              <w:t>2.04% to 3.05%</w:t>
            </w:r>
          </w:p>
        </w:tc>
        <w:tc>
          <w:tcPr>
            <w:tcW w:w="1600" w:type="dxa"/>
            <w:vAlign w:val="bottom"/>
            <w:gridSpan w:val="2"/>
            <w:shd w:val="clear" w:color="auto" w:fill="CCEEFF"/>
          </w:tcPr>
          <w:p>
            <w:pPr>
              <w:ind w:left="420"/>
              <w:spacing w:after="0"/>
              <w:rPr>
                <w:sz w:val="20"/>
                <w:szCs w:val="20"/>
                <w:color w:val="auto"/>
              </w:rPr>
            </w:pPr>
            <w:r>
              <w:rPr>
                <w:rFonts w:ascii="Arial" w:cs="Arial" w:eastAsia="Arial" w:hAnsi="Arial"/>
                <w:sz w:val="18"/>
                <w:szCs w:val="18"/>
                <w:color w:val="auto"/>
                <w:w w:val="91"/>
              </w:rPr>
              <w:t>2.56% to 3.25%</w:t>
            </w:r>
          </w:p>
        </w:tc>
        <w:tc>
          <w:tcPr>
            <w:tcW w:w="0" w:type="dxa"/>
            <w:vAlign w:val="bottom"/>
          </w:tcPr>
          <w:p>
            <w:pPr>
              <w:spacing w:after="0"/>
              <w:rPr>
                <w:sz w:val="1"/>
                <w:szCs w:val="1"/>
                <w:color w:val="auto"/>
              </w:rPr>
            </w:pPr>
          </w:p>
        </w:tc>
      </w:tr>
      <w:tr>
        <w:trPr>
          <w:trHeight w:val="20"/>
        </w:trPr>
        <w:tc>
          <w:tcPr>
            <w:tcW w:w="53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w w:val="95"/>
              </w:rPr>
              <w:t>Range of floating interest rates on borrowings and debt in U.S. dollars</w:t>
            </w:r>
          </w:p>
        </w:tc>
        <w:tc>
          <w:tcPr>
            <w:tcW w:w="258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7"/>
        </w:trPr>
        <w:tc>
          <w:tcPr>
            <w:tcW w:w="5340" w:type="dxa"/>
            <w:vAlign w:val="bottom"/>
            <w:tcBorders>
              <w:bottom w:val="single" w:sz="8" w:color="CCEEFF"/>
            </w:tcBorders>
            <w:vMerge w:val="continue"/>
          </w:tcPr>
          <w:p>
            <w:pPr>
              <w:spacing w:after="0"/>
              <w:rPr>
                <w:sz w:val="24"/>
                <w:szCs w:val="24"/>
                <w:color w:val="auto"/>
              </w:rPr>
            </w:pPr>
          </w:p>
        </w:tc>
        <w:tc>
          <w:tcPr>
            <w:tcW w:w="2580" w:type="dxa"/>
            <w:vAlign w:val="bottom"/>
            <w:tcBorders>
              <w:bottom w:val="single" w:sz="8" w:color="CCEEFF"/>
            </w:tcBorders>
          </w:tcPr>
          <w:p>
            <w:pPr>
              <w:spacing w:after="0"/>
              <w:rPr>
                <w:sz w:val="24"/>
                <w:szCs w:val="2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1.16% to 1.85</w:t>
            </w:r>
          </w:p>
        </w:tc>
        <w:tc>
          <w:tcPr>
            <w:tcW w:w="28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bottom w:val="single" w:sz="8" w:color="auto"/>
            </w:tcBorders>
          </w:tcPr>
          <w:p>
            <w:pPr>
              <w:ind w:left="420"/>
              <w:spacing w:after="0"/>
              <w:rPr>
                <w:sz w:val="20"/>
                <w:szCs w:val="20"/>
                <w:color w:val="auto"/>
              </w:rPr>
            </w:pPr>
            <w:r>
              <w:rPr>
                <w:rFonts w:ascii="Arial" w:cs="Arial" w:eastAsia="Arial" w:hAnsi="Arial"/>
                <w:sz w:val="18"/>
                <w:szCs w:val="18"/>
                <w:color w:val="auto"/>
                <w:w w:val="89"/>
              </w:rPr>
              <w:t>2.46% to 3.36</w:t>
            </w:r>
          </w:p>
        </w:tc>
        <w:tc>
          <w:tcPr>
            <w:tcW w:w="16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37"/>
        </w:trPr>
        <w:tc>
          <w:tcPr>
            <w:tcW w:w="53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2580" w:type="dxa"/>
            <w:vAlign w:val="bottom"/>
            <w:tcBorders>
              <w:bottom w:val="single" w:sz="8" w:color="CCEEFF"/>
            </w:tcBorders>
            <w:shd w:val="clear" w:color="auto" w:fill="CCEEFF"/>
          </w:tcPr>
          <w:p>
            <w:pPr>
              <w:spacing w:after="0"/>
              <w:rPr>
                <w:sz w:val="20"/>
                <w:szCs w:val="20"/>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6.77% to 9.09</w:t>
            </w:r>
          </w:p>
        </w:tc>
        <w:tc>
          <w:tcPr>
            <w:tcW w:w="28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bottom w:val="single" w:sz="8" w:color="auto"/>
            </w:tcBorders>
            <w:shd w:val="clear" w:color="auto" w:fill="CCEEFF"/>
          </w:tcPr>
          <w:p>
            <w:pPr>
              <w:ind w:left="420"/>
              <w:spacing w:after="0"/>
              <w:rPr>
                <w:sz w:val="20"/>
                <w:szCs w:val="20"/>
                <w:color w:val="auto"/>
              </w:rPr>
            </w:pPr>
            <w:r>
              <w:rPr>
                <w:rFonts w:ascii="Arial" w:cs="Arial" w:eastAsia="Arial" w:hAnsi="Arial"/>
                <w:sz w:val="18"/>
                <w:szCs w:val="18"/>
                <w:color w:val="auto"/>
                <w:w w:val="89"/>
              </w:rPr>
              <w:t>5.73% to 9.09</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
        </w:trPr>
        <w:tc>
          <w:tcPr>
            <w:tcW w:w="5340" w:type="dxa"/>
            <w:vAlign w:val="bottom"/>
            <w:vMerge w:val="restart"/>
          </w:tcPr>
          <w:p>
            <w:pPr>
              <w:spacing w:after="0"/>
              <w:rPr>
                <w:sz w:val="20"/>
                <w:szCs w:val="20"/>
                <w:color w:val="auto"/>
              </w:rPr>
            </w:pPr>
            <w:r>
              <w:rPr>
                <w:rFonts w:ascii="Arial" w:cs="Arial" w:eastAsia="Arial" w:hAnsi="Arial"/>
                <w:sz w:val="18"/>
                <w:szCs w:val="18"/>
                <w:color w:val="auto"/>
                <w:w w:val="91"/>
              </w:rPr>
              <w:t>Range of floating interest rates on borrowings and debt in Mexican pesos</w:t>
            </w:r>
          </w:p>
        </w:tc>
        <w:tc>
          <w:tcPr>
            <w:tcW w:w="2580" w:type="dxa"/>
            <w:vAlign w:val="bottom"/>
          </w:tcPr>
          <w:p>
            <w:pPr>
              <w:spacing w:after="0" w:line="20" w:lineRule="exact"/>
              <w:rPr>
                <w:sz w:val="1"/>
                <w:szCs w:val="1"/>
                <w:color w:val="auto"/>
              </w:rPr>
            </w:pPr>
          </w:p>
        </w:tc>
        <w:tc>
          <w:tcPr>
            <w:tcW w:w="1720" w:type="dxa"/>
            <w:vAlign w:val="bottom"/>
            <w:gridSpan w:val="2"/>
          </w:tcPr>
          <w:p>
            <w:pPr>
              <w:spacing w:after="0" w:line="20" w:lineRule="exact"/>
              <w:rPr>
                <w:sz w:val="1"/>
                <w:szCs w:val="1"/>
                <w:color w:val="auto"/>
              </w:rPr>
            </w:pPr>
          </w:p>
        </w:tc>
        <w:tc>
          <w:tcPr>
            <w:tcW w:w="16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7"/>
        </w:trPr>
        <w:tc>
          <w:tcPr>
            <w:tcW w:w="5340" w:type="dxa"/>
            <w:vAlign w:val="bottom"/>
            <w:tcBorders>
              <w:bottom w:val="single" w:sz="8" w:color="CCEEFF"/>
            </w:tcBorders>
            <w:vMerge w:val="continue"/>
          </w:tcPr>
          <w:p>
            <w:pPr>
              <w:spacing w:after="0"/>
              <w:rPr>
                <w:sz w:val="24"/>
                <w:szCs w:val="24"/>
                <w:color w:val="auto"/>
              </w:rPr>
            </w:pPr>
          </w:p>
        </w:tc>
        <w:tc>
          <w:tcPr>
            <w:tcW w:w="2580" w:type="dxa"/>
            <w:vAlign w:val="bottom"/>
            <w:tcBorders>
              <w:bottom w:val="single" w:sz="8" w:color="CCEEFF"/>
            </w:tcBorders>
          </w:tcPr>
          <w:p>
            <w:pPr>
              <w:spacing w:after="0"/>
              <w:rPr>
                <w:sz w:val="24"/>
                <w:szCs w:val="24"/>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4.87% to 5.74</w:t>
            </w:r>
          </w:p>
        </w:tc>
        <w:tc>
          <w:tcPr>
            <w:tcW w:w="28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top w:val="single" w:sz="8" w:color="auto"/>
              <w:bottom w:val="single" w:sz="8" w:color="auto"/>
            </w:tcBorders>
          </w:tcPr>
          <w:p>
            <w:pPr>
              <w:ind w:left="420"/>
              <w:spacing w:after="0"/>
              <w:rPr>
                <w:sz w:val="20"/>
                <w:szCs w:val="20"/>
                <w:color w:val="auto"/>
              </w:rPr>
            </w:pPr>
            <w:r>
              <w:rPr>
                <w:rFonts w:ascii="Arial" w:cs="Arial" w:eastAsia="Arial" w:hAnsi="Arial"/>
                <w:sz w:val="18"/>
                <w:szCs w:val="18"/>
                <w:color w:val="auto"/>
                <w:w w:val="89"/>
              </w:rPr>
              <w:t>8.14% to 9.13</w:t>
            </w:r>
          </w:p>
        </w:tc>
        <w:tc>
          <w:tcPr>
            <w:tcW w:w="16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37"/>
        </w:trPr>
        <w:tc>
          <w:tcPr>
            <w:tcW w:w="53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Range of fixed interest rates on debt in Japanese yens</w:t>
            </w:r>
          </w:p>
        </w:tc>
        <w:tc>
          <w:tcPr>
            <w:tcW w:w="2580" w:type="dxa"/>
            <w:vAlign w:val="bottom"/>
            <w:tcBorders>
              <w:bottom w:val="single" w:sz="8" w:color="CCEEFF"/>
            </w:tcBorders>
            <w:shd w:val="clear" w:color="auto" w:fill="CCEEFF"/>
          </w:tcPr>
          <w:p>
            <w:pPr>
              <w:spacing w:after="0"/>
              <w:rPr>
                <w:sz w:val="20"/>
                <w:szCs w:val="20"/>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0.52</w:t>
            </w:r>
          </w:p>
        </w:tc>
        <w:tc>
          <w:tcPr>
            <w:tcW w:w="28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0.52</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
        </w:trPr>
        <w:tc>
          <w:tcPr>
            <w:tcW w:w="534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Euros</w:t>
            </w:r>
          </w:p>
        </w:tc>
        <w:tc>
          <w:tcPr>
            <w:tcW w:w="2580" w:type="dxa"/>
            <w:vAlign w:val="bottom"/>
          </w:tcPr>
          <w:p>
            <w:pPr>
              <w:spacing w:after="0" w:line="20" w:lineRule="exact"/>
              <w:rPr>
                <w:sz w:val="1"/>
                <w:szCs w:val="1"/>
                <w:color w:val="auto"/>
              </w:rPr>
            </w:pPr>
          </w:p>
        </w:tc>
        <w:tc>
          <w:tcPr>
            <w:tcW w:w="1720" w:type="dxa"/>
            <w:vAlign w:val="bottom"/>
            <w:gridSpan w:val="2"/>
          </w:tcPr>
          <w:p>
            <w:pPr>
              <w:spacing w:after="0" w:line="20" w:lineRule="exact"/>
              <w:rPr>
                <w:sz w:val="1"/>
                <w:szCs w:val="1"/>
                <w:color w:val="auto"/>
              </w:rPr>
            </w:pPr>
          </w:p>
        </w:tc>
        <w:tc>
          <w:tcPr>
            <w:tcW w:w="160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77"/>
        </w:trPr>
        <w:tc>
          <w:tcPr>
            <w:tcW w:w="5340" w:type="dxa"/>
            <w:vAlign w:val="bottom"/>
            <w:tcBorders>
              <w:bottom w:val="single" w:sz="8" w:color="CCEEFF"/>
            </w:tcBorders>
            <w:vMerge w:val="continue"/>
          </w:tcPr>
          <w:p>
            <w:pPr>
              <w:spacing w:after="0"/>
              <w:rPr>
                <w:sz w:val="24"/>
                <w:szCs w:val="24"/>
                <w:color w:val="auto"/>
              </w:rPr>
            </w:pPr>
          </w:p>
        </w:tc>
        <w:tc>
          <w:tcPr>
            <w:tcW w:w="2580" w:type="dxa"/>
            <w:vAlign w:val="bottom"/>
            <w:tcBorders>
              <w:bottom w:val="single" w:sz="8" w:color="CCEEFF"/>
            </w:tcBorders>
          </w:tcPr>
          <w:p>
            <w:pPr>
              <w:spacing w:after="0"/>
              <w:rPr>
                <w:sz w:val="24"/>
                <w:szCs w:val="24"/>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0.9% to 3.75</w:t>
            </w:r>
          </w:p>
        </w:tc>
        <w:tc>
          <w:tcPr>
            <w:tcW w:w="280" w:type="dxa"/>
            <w:vAlign w:val="bottom"/>
            <w:tcBorders>
              <w:bottom w:val="single" w:sz="8" w:color="CCEEFF"/>
            </w:tcBorders>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3.75</w:t>
            </w:r>
          </w:p>
        </w:tc>
        <w:tc>
          <w:tcPr>
            <w:tcW w:w="16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37"/>
        </w:trPr>
        <w:tc>
          <w:tcPr>
            <w:tcW w:w="53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Range of fixed interest rates on debt in Australian dollars</w:t>
            </w:r>
          </w:p>
        </w:tc>
        <w:tc>
          <w:tcPr>
            <w:tcW w:w="2580" w:type="dxa"/>
            <w:vAlign w:val="bottom"/>
            <w:tcBorders>
              <w:bottom w:val="single" w:sz="8" w:color="CCEEFF"/>
            </w:tcBorders>
            <w:shd w:val="clear" w:color="auto" w:fill="CCEEFF"/>
          </w:tcPr>
          <w:p>
            <w:pPr>
              <w:spacing w:after="0"/>
              <w:rPr>
                <w:sz w:val="20"/>
                <w:szCs w:val="20"/>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0.00</w:t>
            </w:r>
          </w:p>
        </w:tc>
        <w:tc>
          <w:tcPr>
            <w:tcW w:w="28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87"/>
              </w:rPr>
              <w:t>%</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3.33</w:t>
            </w:r>
          </w:p>
        </w:tc>
        <w:tc>
          <w:tcPr>
            <w:tcW w:w="1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c>
          <w:tcPr>
            <w:tcW w:w="0" w:type="dxa"/>
            <w:vAlign w:val="bottom"/>
          </w:tcPr>
          <w:p>
            <w:pPr>
              <w:spacing w:after="0"/>
              <w:rPr>
                <w:sz w:val="1"/>
                <w:szCs w:val="1"/>
                <w:color w:val="auto"/>
              </w:rPr>
            </w:pPr>
          </w:p>
        </w:tc>
      </w:tr>
      <w:tr>
        <w:trPr>
          <w:trHeight w:val="20"/>
        </w:trPr>
        <w:tc>
          <w:tcPr>
            <w:tcW w:w="5340" w:type="dxa"/>
            <w:vAlign w:val="bottom"/>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534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gridSpan w:val="3"/>
          </w:tcPr>
          <w:p>
            <w:pPr>
              <w:jc w:val="right"/>
              <w:ind w:right="3710"/>
              <w:spacing w:after="0"/>
              <w:rPr>
                <w:sz w:val="20"/>
                <w:szCs w:val="20"/>
                <w:color w:val="auto"/>
              </w:rPr>
            </w:pPr>
            <w:r>
              <w:rPr>
                <w:rFonts w:ascii="Arial" w:cs="Arial" w:eastAsia="Arial" w:hAnsi="Arial"/>
                <w:sz w:val="18"/>
                <w:szCs w:val="18"/>
                <w:color w:val="auto"/>
              </w:rPr>
              <w:t>F-102</w:t>
            </w:r>
          </w:p>
        </w:tc>
        <w:tc>
          <w:tcPr>
            <w:tcW w:w="14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38" w:name="page239"/>
    <w:bookmarkEnd w:id="2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right="6960" w:hanging="332"/>
        <w:spacing w:after="0" w:line="532" w:lineRule="auto"/>
        <w:tabs>
          <w:tab w:leader="none" w:pos="340" w:val="left"/>
        </w:tabs>
        <w:numPr>
          <w:ilvl w:val="0"/>
          <w:numId w:val="270"/>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6860" w:type="dxa"/>
            <w:vAlign w:val="bottom"/>
          </w:tcPr>
          <w:p>
            <w:pPr>
              <w:spacing w:after="0"/>
              <w:rPr>
                <w:sz w:val="18"/>
                <w:szCs w:val="18"/>
                <w:color w:val="auto"/>
              </w:rPr>
            </w:pPr>
          </w:p>
        </w:tc>
        <w:tc>
          <w:tcPr>
            <w:tcW w:w="166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5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8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120" w:type="dxa"/>
            <w:vAlign w:val="bottom"/>
            <w:tcBorders>
              <w:bottom w:val="single" w:sz="8" w:color="CCEEFF"/>
            </w:tcBorders>
          </w:tcPr>
          <w:p>
            <w:pPr>
              <w:spacing w:after="0"/>
              <w:rPr>
                <w:sz w:val="20"/>
                <w:szCs w:val="20"/>
                <w:color w:val="auto"/>
              </w:rPr>
            </w:pPr>
          </w:p>
        </w:tc>
      </w:tr>
      <w:tr>
        <w:trPr>
          <w:trHeight w:val="210"/>
        </w:trPr>
        <w:tc>
          <w:tcPr>
            <w:tcW w:w="6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4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86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US dollar</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910,296</w:t>
            </w: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1,097,611</w:t>
            </w:r>
          </w:p>
        </w:tc>
        <w:tc>
          <w:tcPr>
            <w:tcW w:w="120" w:type="dxa"/>
            <w:vAlign w:val="bottom"/>
            <w:shd w:val="clear" w:color="auto" w:fill="CCEEFF"/>
          </w:tcPr>
          <w:p>
            <w:pPr>
              <w:spacing w:after="0"/>
              <w:rPr>
                <w:sz w:val="18"/>
                <w:szCs w:val="18"/>
                <w:color w:val="auto"/>
              </w:rPr>
            </w:pPr>
          </w:p>
        </w:tc>
      </w:tr>
      <w:tr>
        <w:trPr>
          <w:trHeight w:val="216"/>
        </w:trPr>
        <w:tc>
          <w:tcPr>
            <w:tcW w:w="6860" w:type="dxa"/>
            <w:vAlign w:val="bottom"/>
          </w:tcPr>
          <w:p>
            <w:pPr>
              <w:spacing w:after="0"/>
              <w:rPr>
                <w:sz w:val="20"/>
                <w:szCs w:val="20"/>
                <w:color w:val="auto"/>
              </w:rPr>
            </w:pPr>
            <w:r>
              <w:rPr>
                <w:rFonts w:ascii="Arial" w:cs="Arial" w:eastAsia="Arial" w:hAnsi="Arial"/>
                <w:sz w:val="18"/>
                <w:szCs w:val="18"/>
                <w:color w:val="auto"/>
              </w:rPr>
              <w:t>Mexican peso</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509,687</w:t>
            </w:r>
          </w:p>
        </w:tc>
        <w:tc>
          <w:tcPr>
            <w:tcW w:w="1460" w:type="dxa"/>
            <w:vAlign w:val="bottom"/>
          </w:tcPr>
          <w:p>
            <w:pPr>
              <w:jc w:val="right"/>
              <w:spacing w:after="0"/>
              <w:rPr>
                <w:sz w:val="20"/>
                <w:szCs w:val="20"/>
                <w:color w:val="auto"/>
              </w:rPr>
            </w:pPr>
            <w:r>
              <w:rPr>
                <w:rFonts w:ascii="Arial" w:cs="Arial" w:eastAsia="Arial" w:hAnsi="Arial"/>
                <w:sz w:val="18"/>
                <w:szCs w:val="18"/>
                <w:color w:val="auto"/>
              </w:rPr>
              <w:t>280,105</w:t>
            </w:r>
          </w:p>
        </w:tc>
        <w:tc>
          <w:tcPr>
            <w:tcW w:w="120" w:type="dxa"/>
            <w:vAlign w:val="bottom"/>
          </w:tcPr>
          <w:p>
            <w:pPr>
              <w:spacing w:after="0"/>
              <w:rPr>
                <w:sz w:val="18"/>
                <w:szCs w:val="18"/>
                <w:color w:val="auto"/>
              </w:rPr>
            </w:pPr>
          </w:p>
        </w:tc>
      </w:tr>
      <w:tr>
        <w:trPr>
          <w:trHeight w:val="216"/>
        </w:trPr>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Euro</w:t>
            </w:r>
          </w:p>
        </w:tc>
        <w:tc>
          <w:tcPr>
            <w:tcW w:w="16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101,469</w:t>
            </w:r>
          </w:p>
        </w:tc>
        <w:tc>
          <w:tcPr>
            <w:tcW w:w="15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59,465</w:t>
            </w:r>
          </w:p>
        </w:tc>
      </w:tr>
      <w:tr>
        <w:trPr>
          <w:trHeight w:val="216"/>
        </w:trPr>
        <w:tc>
          <w:tcPr>
            <w:tcW w:w="6860" w:type="dxa"/>
            <w:vAlign w:val="bottom"/>
          </w:tcPr>
          <w:p>
            <w:pPr>
              <w:spacing w:after="0"/>
              <w:rPr>
                <w:sz w:val="20"/>
                <w:szCs w:val="20"/>
                <w:color w:val="auto"/>
              </w:rPr>
            </w:pPr>
            <w:r>
              <w:rPr>
                <w:rFonts w:ascii="Arial" w:cs="Arial" w:eastAsia="Arial" w:hAnsi="Arial"/>
                <w:sz w:val="18"/>
                <w:szCs w:val="18"/>
                <w:color w:val="auto"/>
              </w:rPr>
              <w:t>Japanese yen</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71,591</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67,831</w:t>
            </w:r>
          </w:p>
        </w:tc>
      </w:tr>
      <w:tr>
        <w:trPr>
          <w:trHeight w:val="230"/>
        </w:trPr>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Australian dollar</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21,083</w:t>
            </w:r>
          </w:p>
        </w:tc>
      </w:tr>
      <w:tr>
        <w:trPr>
          <w:trHeight w:val="250"/>
        </w:trPr>
        <w:tc>
          <w:tcPr>
            <w:tcW w:w="6860" w:type="dxa"/>
            <w:vAlign w:val="bottom"/>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1,593,043</w:t>
            </w:r>
          </w:p>
        </w:tc>
        <w:tc>
          <w:tcPr>
            <w:tcW w:w="220" w:type="dxa"/>
            <w:vAlign w:val="bottom"/>
          </w:tcPr>
          <w:p>
            <w:pPr>
              <w:spacing w:after="0"/>
              <w:rPr>
                <w:sz w:val="21"/>
                <w:szCs w:val="21"/>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1,526,095</w:t>
            </w:r>
          </w:p>
        </w:tc>
        <w:tc>
          <w:tcPr>
            <w:tcW w:w="120" w:type="dxa"/>
            <w:vAlign w:val="bottom"/>
          </w:tcPr>
          <w:p>
            <w:pPr>
              <w:spacing w:after="0"/>
              <w:rPr>
                <w:sz w:val="21"/>
                <w:szCs w:val="21"/>
                <w:color w:val="auto"/>
              </w:rPr>
            </w:pPr>
          </w:p>
        </w:tc>
      </w:tr>
      <w:tr>
        <w:trPr>
          <w:trHeight w:val="20"/>
        </w:trPr>
        <w:tc>
          <w:tcPr>
            <w:tcW w:w="686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Future payments of long-term borrowings and debt outstanding as of December 31, 2020, are as follows (excluding lease liabilities):</w:t>
      </w:r>
    </w:p>
    <w:p>
      <w:pPr>
        <w:spacing w:after="0" w:line="243" w:lineRule="exact"/>
        <w:rPr>
          <w:sz w:val="20"/>
          <w:szCs w:val="20"/>
          <w:color w:val="auto"/>
        </w:rPr>
      </w:pPr>
    </w:p>
    <w:tbl>
      <w:tblPr>
        <w:tblLayout w:type="fixed"/>
        <w:tblInd w:w="1700" w:type="dxa"/>
        <w:tblCellMar>
          <w:top w:w="0" w:type="dxa"/>
          <w:left w:w="0" w:type="dxa"/>
          <w:bottom w:w="0" w:type="dxa"/>
          <w:right w:w="0" w:type="dxa"/>
        </w:tblCellMar>
      </w:tblPr>
      <w:tr>
        <w:trPr>
          <w:trHeight w:val="220"/>
        </w:trPr>
        <w:tc>
          <w:tcPr>
            <w:tcW w:w="6280" w:type="dxa"/>
            <w:vAlign w:val="bottom"/>
          </w:tcPr>
          <w:p>
            <w:pPr>
              <w:spacing w:after="0"/>
              <w:rPr>
                <w:sz w:val="20"/>
                <w:szCs w:val="20"/>
                <w:color w:val="auto"/>
              </w:rPr>
            </w:pPr>
            <w:r>
              <w:rPr>
                <w:rFonts w:ascii="Arial" w:cs="Arial" w:eastAsia="Arial" w:hAnsi="Arial"/>
                <w:sz w:val="17"/>
                <w:szCs w:val="17"/>
                <w:b w:val="1"/>
                <w:bCs w:val="1"/>
                <w:color w:val="auto"/>
              </w:rPr>
              <w:t>Payments</w:t>
            </w:r>
          </w:p>
        </w:tc>
        <w:tc>
          <w:tcPr>
            <w:tcW w:w="1580" w:type="dxa"/>
            <w:vAlign w:val="bottom"/>
            <w:gridSpan w:val="3"/>
          </w:tcPr>
          <w:p>
            <w:pPr>
              <w:ind w:left="280"/>
              <w:spacing w:after="0"/>
              <w:rPr>
                <w:sz w:val="20"/>
                <w:szCs w:val="20"/>
                <w:color w:val="auto"/>
              </w:rPr>
            </w:pPr>
            <w:r>
              <w:rPr>
                <w:rFonts w:ascii="Arial" w:cs="Arial" w:eastAsia="Arial" w:hAnsi="Arial"/>
                <w:sz w:val="17"/>
                <w:szCs w:val="17"/>
                <w:b w:val="1"/>
                <w:bCs w:val="1"/>
                <w:color w:val="auto"/>
              </w:rPr>
              <w:t>Outstanding</w:t>
            </w:r>
          </w:p>
        </w:tc>
      </w:tr>
      <w:tr>
        <w:trPr>
          <w:trHeight w:val="200"/>
        </w:trPr>
        <w:tc>
          <w:tcPr>
            <w:tcW w:w="6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2021</w:t>
            </w: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252,045</w:t>
            </w:r>
          </w:p>
        </w:tc>
        <w:tc>
          <w:tcPr>
            <w:tcW w:w="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6280" w:type="dxa"/>
            <w:vAlign w:val="bottom"/>
          </w:tcPr>
          <w:p>
            <w:pPr>
              <w:spacing w:after="0"/>
              <w:rPr>
                <w:sz w:val="20"/>
                <w:szCs w:val="20"/>
                <w:color w:val="auto"/>
              </w:rPr>
            </w:pPr>
            <w:r>
              <w:rPr>
                <w:rFonts w:ascii="Arial" w:cs="Arial" w:eastAsia="Arial" w:hAnsi="Arial"/>
                <w:sz w:val="17"/>
                <w:szCs w:val="17"/>
                <w:color w:val="auto"/>
              </w:rPr>
              <w:t>2022</w:t>
            </w:r>
          </w:p>
        </w:tc>
        <w:tc>
          <w:tcPr>
            <w:tcW w:w="1480" w:type="dxa"/>
            <w:vAlign w:val="bottom"/>
            <w:gridSpan w:val="2"/>
          </w:tcPr>
          <w:p>
            <w:pPr>
              <w:jc w:val="right"/>
              <w:ind w:right="20"/>
              <w:spacing w:after="0"/>
              <w:rPr>
                <w:sz w:val="20"/>
                <w:szCs w:val="20"/>
                <w:color w:val="auto"/>
              </w:rPr>
            </w:pPr>
            <w:r>
              <w:rPr>
                <w:rFonts w:ascii="Arial" w:cs="Arial" w:eastAsia="Arial" w:hAnsi="Arial"/>
                <w:sz w:val="17"/>
                <w:szCs w:val="17"/>
                <w:color w:val="auto"/>
              </w:rPr>
              <w:t>525,175</w:t>
            </w:r>
          </w:p>
        </w:tc>
        <w:tc>
          <w:tcPr>
            <w:tcW w:w="100" w:type="dxa"/>
            <w:vAlign w:val="bottom"/>
          </w:tcPr>
          <w:p>
            <w:pPr>
              <w:spacing w:after="0"/>
              <w:rPr>
                <w:sz w:val="17"/>
                <w:szCs w:val="17"/>
                <w:color w:val="auto"/>
              </w:rPr>
            </w:pPr>
          </w:p>
        </w:tc>
      </w:tr>
      <w:tr>
        <w:trPr>
          <w:trHeight w:val="203"/>
        </w:trPr>
        <w:tc>
          <w:tcPr>
            <w:tcW w:w="6280" w:type="dxa"/>
            <w:vAlign w:val="bottom"/>
            <w:shd w:val="clear" w:color="auto" w:fill="CCEEFF"/>
          </w:tcPr>
          <w:p>
            <w:pPr>
              <w:spacing w:after="0"/>
              <w:rPr>
                <w:sz w:val="20"/>
                <w:szCs w:val="20"/>
                <w:color w:val="auto"/>
              </w:rPr>
            </w:pPr>
            <w:r>
              <w:rPr>
                <w:rFonts w:ascii="Arial" w:cs="Arial" w:eastAsia="Arial" w:hAnsi="Arial"/>
                <w:sz w:val="17"/>
                <w:szCs w:val="17"/>
                <w:color w:val="auto"/>
              </w:rPr>
              <w:t>2023</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108,436</w:t>
            </w:r>
          </w:p>
        </w:tc>
        <w:tc>
          <w:tcPr>
            <w:tcW w:w="100" w:type="dxa"/>
            <w:vAlign w:val="bottom"/>
            <w:shd w:val="clear" w:color="auto" w:fill="CCEEFF"/>
          </w:tcPr>
          <w:p>
            <w:pPr>
              <w:spacing w:after="0"/>
              <w:rPr>
                <w:sz w:val="17"/>
                <w:szCs w:val="17"/>
                <w:color w:val="auto"/>
              </w:rPr>
            </w:pPr>
          </w:p>
        </w:tc>
      </w:tr>
      <w:tr>
        <w:trPr>
          <w:trHeight w:val="202"/>
        </w:trPr>
        <w:tc>
          <w:tcPr>
            <w:tcW w:w="6280" w:type="dxa"/>
            <w:vAlign w:val="bottom"/>
          </w:tcPr>
          <w:p>
            <w:pPr>
              <w:spacing w:after="0"/>
              <w:rPr>
                <w:sz w:val="20"/>
                <w:szCs w:val="20"/>
                <w:color w:val="auto"/>
              </w:rPr>
            </w:pPr>
            <w:r>
              <w:rPr>
                <w:rFonts w:ascii="Arial" w:cs="Arial" w:eastAsia="Arial" w:hAnsi="Arial"/>
                <w:sz w:val="17"/>
                <w:szCs w:val="17"/>
                <w:color w:val="auto"/>
              </w:rPr>
              <w:t>2024</w:t>
            </w:r>
          </w:p>
        </w:tc>
        <w:tc>
          <w:tcPr>
            <w:tcW w:w="1480" w:type="dxa"/>
            <w:vAlign w:val="bottom"/>
            <w:gridSpan w:val="2"/>
          </w:tcPr>
          <w:p>
            <w:pPr>
              <w:jc w:val="right"/>
              <w:ind w:right="20"/>
              <w:spacing w:after="0"/>
              <w:rPr>
                <w:sz w:val="20"/>
                <w:szCs w:val="20"/>
                <w:color w:val="auto"/>
              </w:rPr>
            </w:pPr>
            <w:r>
              <w:rPr>
                <w:rFonts w:ascii="Arial" w:cs="Arial" w:eastAsia="Arial" w:hAnsi="Arial"/>
                <w:sz w:val="17"/>
                <w:szCs w:val="17"/>
                <w:color w:val="auto"/>
              </w:rPr>
              <w:t>64,757</w:t>
            </w:r>
          </w:p>
        </w:tc>
        <w:tc>
          <w:tcPr>
            <w:tcW w:w="100" w:type="dxa"/>
            <w:vAlign w:val="bottom"/>
          </w:tcPr>
          <w:p>
            <w:pPr>
              <w:spacing w:after="0"/>
              <w:rPr>
                <w:sz w:val="17"/>
                <w:szCs w:val="17"/>
                <w:color w:val="auto"/>
              </w:rPr>
            </w:pPr>
          </w:p>
        </w:tc>
      </w:tr>
      <w:tr>
        <w:trPr>
          <w:trHeight w:val="203"/>
        </w:trPr>
        <w:tc>
          <w:tcPr>
            <w:tcW w:w="6280" w:type="dxa"/>
            <w:vAlign w:val="bottom"/>
            <w:shd w:val="clear" w:color="auto" w:fill="CCEEFF"/>
          </w:tcPr>
          <w:p>
            <w:pPr>
              <w:spacing w:after="0"/>
              <w:rPr>
                <w:sz w:val="20"/>
                <w:szCs w:val="20"/>
                <w:color w:val="auto"/>
              </w:rPr>
            </w:pPr>
            <w:r>
              <w:rPr>
                <w:rFonts w:ascii="Arial" w:cs="Arial" w:eastAsia="Arial" w:hAnsi="Arial"/>
                <w:sz w:val="17"/>
                <w:szCs w:val="17"/>
                <w:color w:val="auto"/>
              </w:rPr>
              <w:t>2025</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618,154</w:t>
            </w:r>
          </w:p>
        </w:tc>
        <w:tc>
          <w:tcPr>
            <w:tcW w:w="100" w:type="dxa"/>
            <w:vAlign w:val="bottom"/>
            <w:shd w:val="clear" w:color="auto" w:fill="CCEEFF"/>
          </w:tcPr>
          <w:p>
            <w:pPr>
              <w:spacing w:after="0"/>
              <w:rPr>
                <w:sz w:val="17"/>
                <w:szCs w:val="17"/>
                <w:color w:val="auto"/>
              </w:rPr>
            </w:pPr>
          </w:p>
        </w:tc>
      </w:tr>
      <w:tr>
        <w:trPr>
          <w:trHeight w:val="203"/>
        </w:trPr>
        <w:tc>
          <w:tcPr>
            <w:tcW w:w="6280" w:type="dxa"/>
            <w:vAlign w:val="bottom"/>
          </w:tcPr>
          <w:p>
            <w:pPr>
              <w:spacing w:after="0"/>
              <w:rPr>
                <w:sz w:val="20"/>
                <w:szCs w:val="20"/>
                <w:color w:val="auto"/>
              </w:rPr>
            </w:pPr>
            <w:r>
              <w:rPr>
                <w:rFonts w:ascii="Arial" w:cs="Arial" w:eastAsia="Arial" w:hAnsi="Arial"/>
                <w:sz w:val="17"/>
                <w:szCs w:val="17"/>
                <w:color w:val="auto"/>
              </w:rPr>
              <w:t>2026</w:t>
            </w:r>
          </w:p>
        </w:tc>
        <w:tc>
          <w:tcPr>
            <w:tcW w:w="1480" w:type="dxa"/>
            <w:vAlign w:val="bottom"/>
            <w:gridSpan w:val="2"/>
          </w:tcPr>
          <w:p>
            <w:pPr>
              <w:jc w:val="right"/>
              <w:ind w:right="20"/>
              <w:spacing w:after="0"/>
              <w:rPr>
                <w:sz w:val="20"/>
                <w:szCs w:val="20"/>
                <w:color w:val="auto"/>
              </w:rPr>
            </w:pPr>
            <w:r>
              <w:rPr>
                <w:rFonts w:ascii="Arial" w:cs="Arial" w:eastAsia="Arial" w:hAnsi="Arial"/>
                <w:sz w:val="17"/>
                <w:szCs w:val="17"/>
                <w:color w:val="auto"/>
              </w:rPr>
              <w:t>12,238</w:t>
            </w:r>
          </w:p>
        </w:tc>
        <w:tc>
          <w:tcPr>
            <w:tcW w:w="100" w:type="dxa"/>
            <w:vAlign w:val="bottom"/>
          </w:tcPr>
          <w:p>
            <w:pPr>
              <w:spacing w:after="0"/>
              <w:rPr>
                <w:sz w:val="17"/>
                <w:szCs w:val="17"/>
                <w:color w:val="auto"/>
              </w:rPr>
            </w:pPr>
          </w:p>
        </w:tc>
      </w:tr>
      <w:tr>
        <w:trPr>
          <w:trHeight w:val="203"/>
        </w:trPr>
        <w:tc>
          <w:tcPr>
            <w:tcW w:w="6280" w:type="dxa"/>
            <w:vAlign w:val="bottom"/>
            <w:shd w:val="clear" w:color="auto" w:fill="CCEEFF"/>
          </w:tcPr>
          <w:p>
            <w:pPr>
              <w:spacing w:after="0"/>
              <w:rPr>
                <w:sz w:val="20"/>
                <w:szCs w:val="20"/>
                <w:color w:val="auto"/>
              </w:rPr>
            </w:pPr>
            <w:r>
              <w:rPr>
                <w:rFonts w:ascii="Arial" w:cs="Arial" w:eastAsia="Arial" w:hAnsi="Arial"/>
                <w:sz w:val="17"/>
                <w:szCs w:val="17"/>
                <w:color w:val="auto"/>
              </w:rPr>
              <w:t>2027</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12,238</w:t>
            </w:r>
          </w:p>
        </w:tc>
        <w:tc>
          <w:tcPr>
            <w:tcW w:w="100" w:type="dxa"/>
            <w:vAlign w:val="bottom"/>
            <w:shd w:val="clear" w:color="auto" w:fill="CCEEFF"/>
          </w:tcPr>
          <w:p>
            <w:pPr>
              <w:spacing w:after="0"/>
              <w:rPr>
                <w:sz w:val="17"/>
                <w:szCs w:val="17"/>
                <w:color w:val="auto"/>
              </w:rPr>
            </w:pPr>
          </w:p>
        </w:tc>
      </w:tr>
      <w:tr>
        <w:trPr>
          <w:trHeight w:val="196"/>
        </w:trPr>
        <w:tc>
          <w:tcPr>
            <w:tcW w:w="6280" w:type="dxa"/>
            <w:vAlign w:val="bottom"/>
          </w:tcPr>
          <w:p>
            <w:pPr>
              <w:spacing w:after="0"/>
              <w:rPr>
                <w:sz w:val="17"/>
                <w:szCs w:val="17"/>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1,593,043</w:t>
            </w:r>
          </w:p>
        </w:tc>
        <w:tc>
          <w:tcPr>
            <w:tcW w:w="20" w:type="dxa"/>
            <w:vAlign w:val="bottom"/>
            <w:tcBorders>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0"/>
        </w:trPr>
        <w:tc>
          <w:tcPr>
            <w:tcW w:w="628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400"/>
        <w:spacing w:after="0"/>
        <w:rPr>
          <w:sz w:val="20"/>
          <w:szCs w:val="20"/>
          <w:color w:val="auto"/>
        </w:rPr>
      </w:pPr>
      <w:r>
        <w:rPr>
          <w:rFonts w:ascii="Arial" w:cs="Arial" w:eastAsia="Arial" w:hAnsi="Arial"/>
          <w:sz w:val="18"/>
          <w:szCs w:val="18"/>
          <w:color w:val="auto"/>
        </w:rPr>
        <w:t>F-103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80"/>
          </w:cols>
          <w:pgMar w:left="320" w:top="688" w:right="899" w:bottom="1440" w:gutter="0" w:footer="0" w:header="0"/>
        </w:sectPr>
      </w:pPr>
    </w:p>
    <w:bookmarkStart w:id="239" w:name="page240"/>
    <w:bookmarkEnd w:id="2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right="7500" w:hanging="332"/>
        <w:spacing w:after="0" w:line="565" w:lineRule="auto"/>
        <w:tabs>
          <w:tab w:leader="none" w:pos="340" w:val="left"/>
        </w:tabs>
        <w:numPr>
          <w:ilvl w:val="0"/>
          <w:numId w:val="271"/>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 (continued) Reconciliation – Movements of borrowings</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 presents the reconciliation of movements of borrowings and debt arising from financing activities, as presented in the consolidated statements of cash flows :</w:t>
      </w:r>
    </w:p>
    <w:p>
      <w:pPr>
        <w:spacing w:after="0" w:line="180" w:lineRule="exact"/>
        <w:rPr>
          <w:sz w:val="20"/>
          <w:szCs w:val="20"/>
          <w:color w:val="auto"/>
        </w:rPr>
      </w:pPr>
    </w:p>
    <w:tbl>
      <w:tblPr>
        <w:tblLayout w:type="fixed"/>
        <w:tblInd w:w="580" w:type="dxa"/>
        <w:tblCellMar>
          <w:top w:w="0" w:type="dxa"/>
          <w:left w:w="0" w:type="dxa"/>
          <w:bottom w:w="0" w:type="dxa"/>
          <w:right w:w="0" w:type="dxa"/>
        </w:tblCellMar>
      </w:tblPr>
      <w:tr>
        <w:trPr>
          <w:trHeight w:val="234"/>
        </w:trPr>
        <w:tc>
          <w:tcPr>
            <w:tcW w:w="586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2018</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8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2,211,567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Net decrease (increase) in short-term borrowings and debt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(1,212,023)</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(428,611)</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950,259</w:t>
            </w:r>
          </w:p>
        </w:tc>
        <w:tc>
          <w:tcPr>
            <w:tcW w:w="0" w:type="dxa"/>
            <w:vAlign w:val="bottom"/>
          </w:tcPr>
          <w:p>
            <w:pPr>
              <w:spacing w:after="0"/>
              <w:rPr>
                <w:sz w:val="1"/>
                <w:szCs w:val="1"/>
                <w:color w:val="auto"/>
              </w:rPr>
            </w:pP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827,732</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371,536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609,017</w:t>
            </w:r>
          </w:p>
        </w:tc>
        <w:tc>
          <w:tcPr>
            <w:tcW w:w="0" w:type="dxa"/>
            <w:vAlign w:val="bottom"/>
          </w:tcPr>
          <w:p>
            <w:pPr>
              <w:spacing w:after="0"/>
              <w:rPr>
                <w:sz w:val="1"/>
                <w:szCs w:val="1"/>
                <w:color w:val="auto"/>
              </w:rPr>
            </w:pP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(781,274)</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(368,843)</w:t>
            </w:r>
          </w:p>
        </w:tc>
        <w:tc>
          <w:tcPr>
            <w:tcW w:w="1360" w:type="dxa"/>
            <w:vAlign w:val="bottom"/>
            <w:gridSpan w:val="2"/>
          </w:tcPr>
          <w:p>
            <w:pPr>
              <w:jc w:val="right"/>
              <w:ind w:right="60"/>
              <w:spacing w:after="0"/>
              <w:rPr>
                <w:sz w:val="20"/>
                <w:szCs w:val="20"/>
                <w:color w:val="auto"/>
              </w:rPr>
            </w:pPr>
            <w:r>
              <w:rPr>
                <w:rFonts w:ascii="Arial" w:cs="Arial" w:eastAsia="Arial" w:hAnsi="Arial"/>
                <w:sz w:val="18"/>
                <w:szCs w:val="18"/>
                <w:color w:val="auto"/>
              </w:rPr>
              <w:t>(256,173)</w:t>
            </w:r>
          </w:p>
        </w:tc>
        <w:tc>
          <w:tcPr>
            <w:tcW w:w="0" w:type="dxa"/>
            <w:vAlign w:val="bottom"/>
          </w:tcPr>
          <w:p>
            <w:pPr>
              <w:spacing w:after="0"/>
              <w:rPr>
                <w:sz w:val="1"/>
                <w:szCs w:val="1"/>
                <w:color w:val="auto"/>
              </w:rPr>
            </w:pP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(1,114)</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(1,072)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Recognition of lease liabilities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20,979</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Net Increase in lease liabilities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860" w:type="dxa"/>
            <w:vAlign w:val="bottom"/>
          </w:tcPr>
          <w:p>
            <w:pPr>
              <w:spacing w:after="0"/>
              <w:rPr>
                <w:sz w:val="20"/>
                <w:szCs w:val="20"/>
                <w:color w:val="auto"/>
              </w:rPr>
            </w:pPr>
            <w:r>
              <w:rPr>
                <w:rFonts w:ascii="Arial" w:cs="Arial" w:eastAsia="Arial" w:hAnsi="Arial"/>
                <w:sz w:val="18"/>
                <w:szCs w:val="18"/>
                <w:color w:val="auto"/>
              </w:rPr>
              <w:t>Change in foreign currency</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15,853</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20,044</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1,903</w:t>
            </w:r>
          </w:p>
        </w:tc>
        <w:tc>
          <w:tcPr>
            <w:tcW w:w="0" w:type="dxa"/>
            <w:vAlign w:val="bottom"/>
          </w:tcPr>
          <w:p>
            <w:pPr>
              <w:spacing w:after="0"/>
              <w:rPr>
                <w:sz w:val="1"/>
                <w:szCs w:val="1"/>
                <w:color w:val="auto"/>
              </w:rPr>
            </w:pPr>
          </w:p>
        </w:tc>
      </w:tr>
      <w:tr>
        <w:trPr>
          <w:trHeight w:val="216"/>
        </w:trPr>
        <w:tc>
          <w:tcPr>
            <w:tcW w:w="5860" w:type="dxa"/>
            <w:vAlign w:val="bottom"/>
            <w:shd w:val="clear" w:color="auto" w:fill="CCEEFF"/>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826</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4,943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753</w:t>
            </w:r>
          </w:p>
        </w:tc>
        <w:tc>
          <w:tcPr>
            <w:tcW w:w="0" w:type="dxa"/>
            <w:vAlign w:val="bottom"/>
          </w:tcPr>
          <w:p>
            <w:pPr>
              <w:spacing w:after="0"/>
              <w:rPr>
                <w:sz w:val="1"/>
                <w:szCs w:val="1"/>
                <w:color w:val="auto"/>
              </w:rPr>
            </w:pPr>
          </w:p>
        </w:tc>
      </w:tr>
      <w:tr>
        <w:trPr>
          <w:trHeight w:val="229"/>
        </w:trPr>
        <w:tc>
          <w:tcPr>
            <w:tcW w:w="5860" w:type="dxa"/>
            <w:vAlign w:val="bottom"/>
          </w:tcPr>
          <w:p>
            <w:pPr>
              <w:spacing w:after="0"/>
              <w:rPr>
                <w:sz w:val="20"/>
                <w:szCs w:val="20"/>
                <w:color w:val="auto"/>
              </w:rPr>
            </w:pPr>
            <w:r>
              <w:rPr>
                <w:rFonts w:ascii="Arial" w:cs="Arial" w:eastAsia="Arial" w:hAnsi="Arial"/>
                <w:sz w:val="18"/>
                <w:szCs w:val="18"/>
                <w:color w:val="auto"/>
              </w:rPr>
              <w:t>Other adjustments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(3,288)</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888</w:t>
            </w:r>
          </w:p>
        </w:tc>
        <w:tc>
          <w:tcPr>
            <w:tcW w:w="1360" w:type="dxa"/>
            <w:vAlign w:val="bottom"/>
            <w:gridSpan w:val="2"/>
          </w:tcPr>
          <w:p>
            <w:pPr>
              <w:jc w:val="right"/>
              <w:ind w:right="120"/>
              <w:spacing w:after="0"/>
              <w:rPr>
                <w:sz w:val="20"/>
                <w:szCs w:val="20"/>
                <w:color w:val="auto"/>
              </w:rPr>
            </w:pPr>
            <w:r>
              <w:rPr>
                <w:rFonts w:ascii="Arial" w:cs="Arial" w:eastAsia="Arial" w:hAnsi="Arial"/>
                <w:sz w:val="18"/>
                <w:szCs w:val="18"/>
                <w:color w:val="auto"/>
              </w:rPr>
              <w:t>1,120</w:t>
            </w:r>
          </w:p>
        </w:tc>
        <w:tc>
          <w:tcPr>
            <w:tcW w:w="0" w:type="dxa"/>
            <w:vAlign w:val="bottom"/>
          </w:tcPr>
          <w:p>
            <w:pPr>
              <w:spacing w:after="0"/>
              <w:rPr>
                <w:sz w:val="1"/>
                <w:szCs w:val="1"/>
                <w:color w:val="auto"/>
              </w:rPr>
            </w:pPr>
          </w:p>
        </w:tc>
      </w:tr>
      <w:tr>
        <w:trPr>
          <w:trHeight w:val="20"/>
        </w:trPr>
        <w:tc>
          <w:tcPr>
            <w:tcW w:w="586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w:t>
            </w: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5860" w:type="dxa"/>
            <w:vAlign w:val="bottom"/>
            <w:vMerge w:val="continue"/>
            <w:shd w:val="clear" w:color="auto" w:fill="CCEEFF"/>
          </w:tcPr>
          <w:p>
            <w:pPr>
              <w:spacing w:after="0"/>
              <w:rPr>
                <w:sz w:val="21"/>
                <w:szCs w:val="21"/>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1,985,070</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3,138,310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3,518,446</w:t>
            </w:r>
          </w:p>
        </w:tc>
        <w:tc>
          <w:tcPr>
            <w:tcW w:w="0" w:type="dxa"/>
            <w:vAlign w:val="bottom"/>
          </w:tcPr>
          <w:p>
            <w:pPr>
              <w:spacing w:after="0"/>
              <w:rPr>
                <w:sz w:val="1"/>
                <w:szCs w:val="1"/>
                <w:color w:val="auto"/>
              </w:rPr>
            </w:pPr>
          </w:p>
        </w:tc>
      </w:tr>
      <w:tr>
        <w:trPr>
          <w:trHeight w:val="20"/>
        </w:trPr>
        <w:tc>
          <w:tcPr>
            <w:tcW w:w="586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reconciliation of equity account movements is presented in the consolidated statement of changes in equity.</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688" w:right="359" w:bottom="1440" w:gutter="0" w:footer="0" w:header="0"/>
        </w:sectPr>
      </w:pPr>
    </w:p>
    <w:bookmarkStart w:id="240" w:name="page241"/>
    <w:bookmarkEnd w:id="2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1"/>
          <w:szCs w:val="21"/>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37465</wp:posOffset>
            </wp:positionV>
            <wp:extent cx="7132320" cy="8255"/>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5" w:lineRule="exact"/>
        <w:rPr>
          <w:sz w:val="20"/>
          <w:szCs w:val="20"/>
          <w:color w:val="auto"/>
        </w:rPr>
      </w:pPr>
    </w:p>
    <w:p>
      <w:pPr>
        <w:ind w:left="340" w:right="8360" w:hanging="332"/>
        <w:spacing w:after="0" w:line="503" w:lineRule="auto"/>
        <w:tabs>
          <w:tab w:leader="none" w:pos="340" w:val="left"/>
        </w:tabs>
        <w:numPr>
          <w:ilvl w:val="0"/>
          <w:numId w:val="27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of contractual undiscounted cash flows of the lease liabilities is detailed below:</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58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580"/>
        <w:spacing w:after="0"/>
        <w:rPr>
          <w:sz w:val="20"/>
          <w:szCs w:val="20"/>
          <w:color w:val="auto"/>
        </w:rPr>
      </w:pPr>
      <w:r>
        <w:rPr>
          <w:rFonts w:ascii="Arial" w:cs="Arial" w:eastAsia="Arial" w:hAnsi="Arial"/>
          <w:sz w:val="18"/>
          <w:szCs w:val="18"/>
          <w:color w:val="auto"/>
        </w:rPr>
        <w:t>After 1 year but within 5 years</w:t>
      </w:r>
    </w:p>
    <w:p>
      <w:pPr>
        <w:spacing w:after="0" w:line="9" w:lineRule="exact"/>
        <w:rPr>
          <w:sz w:val="20"/>
          <w:szCs w:val="20"/>
          <w:color w:val="auto"/>
        </w:rPr>
      </w:pPr>
    </w:p>
    <w:p>
      <w:pPr>
        <w:ind w:left="580"/>
        <w:spacing w:after="0"/>
        <w:rPr>
          <w:sz w:val="20"/>
          <w:szCs w:val="20"/>
          <w:color w:val="auto"/>
        </w:rPr>
      </w:pPr>
      <w:r>
        <w:rPr>
          <w:rFonts w:ascii="Arial" w:cs="Arial" w:eastAsia="Arial" w:hAnsi="Arial"/>
          <w:sz w:val="17"/>
          <w:szCs w:val="17"/>
          <w:color w:val="auto"/>
        </w:rPr>
        <w:t>After 5 years but within 10 years</w:t>
      </w:r>
    </w:p>
    <w:p>
      <w:pPr>
        <w:spacing w:after="0" w:line="47" w:lineRule="exact"/>
        <w:rPr>
          <w:sz w:val="20"/>
          <w:szCs w:val="20"/>
          <w:color w:val="auto"/>
        </w:rPr>
      </w:pPr>
    </w:p>
    <w:p>
      <w:pPr>
        <w:ind w:left="580"/>
        <w:spacing w:after="0"/>
        <w:rPr>
          <w:sz w:val="20"/>
          <w:szCs w:val="20"/>
          <w:color w:val="auto"/>
        </w:rPr>
      </w:pPr>
      <w:r>
        <w:rPr>
          <w:rFonts w:ascii="Arial" w:cs="Arial" w:eastAsia="Arial" w:hAnsi="Arial"/>
          <w:sz w:val="16"/>
          <w:szCs w:val="16"/>
          <w:color w:val="auto"/>
        </w:rPr>
        <w:t>Total undiscounted lease liabilities</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6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4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 w:type="dxa"/>
            <w:vAlign w:val="bottom"/>
          </w:tcPr>
          <w:p>
            <w:pPr>
              <w:spacing w:after="0"/>
              <w:rPr>
                <w:sz w:val="20"/>
                <w:szCs w:val="20"/>
                <w:color w:val="auto"/>
              </w:rPr>
            </w:pPr>
          </w:p>
        </w:tc>
      </w:tr>
      <w:tr>
        <w:trPr>
          <w:trHeight w:val="195"/>
        </w:trPr>
        <w:tc>
          <w:tcPr>
            <w:tcW w:w="1440" w:type="dxa"/>
            <w:vAlign w:val="bottom"/>
          </w:tcPr>
          <w:p>
            <w:pPr>
              <w:jc w:val="right"/>
              <w:spacing w:after="0" w:line="195" w:lineRule="exact"/>
              <w:rPr>
                <w:sz w:val="20"/>
                <w:szCs w:val="20"/>
                <w:color w:val="auto"/>
              </w:rPr>
            </w:pPr>
            <w:r>
              <w:rPr>
                <w:rFonts w:ascii="Arial" w:cs="Arial" w:eastAsia="Arial" w:hAnsi="Arial"/>
                <w:sz w:val="18"/>
                <w:szCs w:val="18"/>
                <w:color w:val="auto"/>
              </w:rPr>
              <w:t>2,058</w:t>
            </w:r>
          </w:p>
        </w:tc>
        <w:tc>
          <w:tcPr>
            <w:tcW w:w="220" w:type="dxa"/>
            <w:vAlign w:val="bottom"/>
          </w:tcPr>
          <w:p>
            <w:pPr>
              <w:spacing w:after="0"/>
              <w:rPr>
                <w:sz w:val="16"/>
                <w:szCs w:val="16"/>
                <w:color w:val="auto"/>
              </w:rPr>
            </w:pPr>
          </w:p>
        </w:tc>
        <w:tc>
          <w:tcPr>
            <w:tcW w:w="1460" w:type="dxa"/>
            <w:vAlign w:val="bottom"/>
          </w:tcPr>
          <w:p>
            <w:pPr>
              <w:jc w:val="right"/>
              <w:spacing w:after="0" w:line="195" w:lineRule="exact"/>
              <w:rPr>
                <w:sz w:val="20"/>
                <w:szCs w:val="20"/>
                <w:color w:val="auto"/>
              </w:rPr>
            </w:pPr>
            <w:r>
              <w:rPr>
                <w:rFonts w:ascii="Arial" w:cs="Arial" w:eastAsia="Arial" w:hAnsi="Arial"/>
                <w:sz w:val="18"/>
                <w:szCs w:val="18"/>
                <w:color w:val="auto"/>
              </w:rPr>
              <w:t>2,005</w:t>
            </w:r>
          </w:p>
        </w:tc>
        <w:tc>
          <w:tcPr>
            <w:tcW w:w="20" w:type="dxa"/>
            <w:vAlign w:val="bottom"/>
          </w:tcPr>
          <w:p>
            <w:pPr>
              <w:spacing w:after="0"/>
              <w:rPr>
                <w:sz w:val="16"/>
                <w:szCs w:val="16"/>
                <w:color w:val="auto"/>
              </w:rPr>
            </w:pPr>
          </w:p>
        </w:tc>
      </w:tr>
      <w:tr>
        <w:trPr>
          <w:trHeight w:val="229"/>
        </w:trPr>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10,641</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10,470</w:t>
            </w:r>
          </w:p>
        </w:tc>
      </w:tr>
      <w:tr>
        <w:trPr>
          <w:trHeight w:val="230"/>
        </w:trPr>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11,354</w:t>
            </w:r>
          </w:p>
        </w:tc>
        <w:tc>
          <w:tcPr>
            <w:tcW w:w="220" w:type="dxa"/>
            <w:vAlign w:val="bottom"/>
          </w:tcPr>
          <w:p>
            <w:pPr>
              <w:spacing w:after="0"/>
              <w:rPr>
                <w:sz w:val="20"/>
                <w:szCs w:val="20"/>
                <w:color w:val="auto"/>
              </w:rPr>
            </w:pPr>
          </w:p>
        </w:tc>
        <w:tc>
          <w:tcPr>
            <w:tcW w:w="148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13,492</w:t>
            </w:r>
          </w:p>
        </w:tc>
      </w:tr>
      <w:tr>
        <w:trPr>
          <w:trHeight w:val="250"/>
        </w:trPr>
        <w:tc>
          <w:tcPr>
            <w:tcW w:w="16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24,053</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25,967</w:t>
            </w:r>
          </w:p>
        </w:tc>
      </w:tr>
      <w:tr>
        <w:trPr>
          <w:trHeight w:val="20"/>
        </w:trPr>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-4358640</wp:posOffset>
            </wp:positionH>
            <wp:positionV relativeFrom="paragraph">
              <wp:posOffset>-625475</wp:posOffset>
            </wp:positionV>
            <wp:extent cx="6412230" cy="14605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7">
                      <a:extLst>
                        <a:ext uri="{28A0092B-C50C-407E-A947-70E740481C1C}"/>
                      </a:extLst>
                    </a:blip>
                    <a:srcRect/>
                    <a:stretch>
                      <a:fillRect/>
                    </a:stretch>
                  </pic:blipFill>
                  <pic:spPr bwMode="auto">
                    <a:xfrm>
                      <a:off x="0" y="0"/>
                      <a:ext cx="6412230" cy="146050"/>
                    </a:xfrm>
                    <a:prstGeom prst="rect">
                      <a:avLst/>
                    </a:prstGeom>
                    <a:noFill/>
                  </pic:spPr>
                </pic:pic>
              </a:graphicData>
            </a:graphic>
          </wp:anchor>
        </w:drawing>
        <w:drawing>
          <wp:anchor simplePos="0" relativeHeight="251657728" behindDoc="1" locked="0" layoutInCell="0" allowOverlap="1">
            <wp:simplePos x="0" y="0"/>
            <wp:positionH relativeFrom="column">
              <wp:posOffset>-4358640</wp:posOffset>
            </wp:positionH>
            <wp:positionV relativeFrom="paragraph">
              <wp:posOffset>-342265</wp:posOffset>
            </wp:positionV>
            <wp:extent cx="6412230" cy="145415"/>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8">
                      <a:extLst>
                        <a:ext uri="{28A0092B-C50C-407E-A947-70E740481C1C}"/>
                      </a:extLst>
                    </a:blip>
                    <a:srcRect/>
                    <a:stretch>
                      <a:fillRect/>
                    </a:stretch>
                  </pic:blipFill>
                  <pic:spPr bwMode="auto">
                    <a:xfrm>
                      <a:off x="0" y="0"/>
                      <a:ext cx="6412230" cy="14541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720" w:space="720"/>
            <w:col w:w="3800"/>
          </w:cols>
          <w:pgMar w:left="320" w:top="688" w:right="3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580" w:type="dxa"/>
            <w:vAlign w:val="bottom"/>
          </w:tcPr>
          <w:p>
            <w:pPr>
              <w:spacing w:after="0"/>
              <w:rPr>
                <w:sz w:val="17"/>
                <w:szCs w:val="17"/>
                <w:color w:val="auto"/>
              </w:rPr>
            </w:pPr>
          </w:p>
        </w:tc>
        <w:tc>
          <w:tcPr>
            <w:tcW w:w="686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Short-term</w:t>
            </w:r>
          </w:p>
        </w:tc>
        <w:tc>
          <w:tcPr>
            <w:tcW w:w="1660" w:type="dxa"/>
            <w:vAlign w:val="bottom"/>
            <w:gridSpan w:val="2"/>
          </w:tcPr>
          <w:p>
            <w:pPr>
              <w:jc w:val="right"/>
              <w:ind w:right="141"/>
              <w:spacing w:after="0"/>
              <w:rPr>
                <w:sz w:val="20"/>
                <w:szCs w:val="20"/>
                <w:color w:val="auto"/>
              </w:rPr>
            </w:pPr>
            <w:r>
              <w:rPr>
                <w:rFonts w:ascii="Arial" w:cs="Arial" w:eastAsia="Arial" w:hAnsi="Arial"/>
                <w:sz w:val="18"/>
                <w:szCs w:val="18"/>
                <w:color w:val="auto"/>
              </w:rPr>
              <w:t>1,244</w:t>
            </w:r>
          </w:p>
        </w:tc>
        <w:tc>
          <w:tcPr>
            <w:tcW w:w="1580" w:type="dxa"/>
            <w:vAlign w:val="bottom"/>
            <w:gridSpan w:val="2"/>
          </w:tcPr>
          <w:p>
            <w:pPr>
              <w:jc w:val="right"/>
              <w:ind w:right="41"/>
              <w:spacing w:after="0"/>
              <w:rPr>
                <w:sz w:val="20"/>
                <w:szCs w:val="20"/>
                <w:color w:val="auto"/>
              </w:rPr>
            </w:pPr>
            <w:r>
              <w:rPr>
                <w:rFonts w:ascii="Arial" w:cs="Arial" w:eastAsia="Arial" w:hAnsi="Arial"/>
                <w:sz w:val="18"/>
                <w:szCs w:val="18"/>
                <w:color w:val="auto"/>
              </w:rPr>
              <w:t>1,145</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Long-term</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17,555</w:t>
            </w:r>
          </w:p>
        </w:tc>
        <w:tc>
          <w:tcPr>
            <w:tcW w:w="220" w:type="dxa"/>
            <w:vAlign w:val="bottom"/>
            <w:shd w:val="clear" w:color="auto" w:fill="CCEEFF"/>
          </w:tcPr>
          <w:p>
            <w:pPr>
              <w:spacing w:after="0"/>
              <w:rPr>
                <w:sz w:val="18"/>
                <w:szCs w:val="18"/>
                <w:color w:val="auto"/>
              </w:rPr>
            </w:pPr>
          </w:p>
        </w:tc>
        <w:tc>
          <w:tcPr>
            <w:tcW w:w="15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18,769</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Lease liabilities included in the consolidated statement of financial position</w:t>
            </w:r>
          </w:p>
        </w:tc>
        <w:tc>
          <w:tcPr>
            <w:tcW w:w="14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580" w:type="dxa"/>
            <w:vAlign w:val="bottom"/>
          </w:tcPr>
          <w:p>
            <w:pPr>
              <w:spacing w:after="0"/>
              <w:rPr>
                <w:sz w:val="21"/>
                <w:szCs w:val="21"/>
                <w:color w:val="auto"/>
              </w:rPr>
            </w:pPr>
          </w:p>
        </w:tc>
        <w:tc>
          <w:tcPr>
            <w:tcW w:w="6860" w:type="dxa"/>
            <w:vAlign w:val="bottom"/>
            <w:vMerge w:val="continue"/>
          </w:tcPr>
          <w:p>
            <w:pPr>
              <w:spacing w:after="0"/>
              <w:rPr>
                <w:sz w:val="21"/>
                <w:szCs w:val="21"/>
                <w:color w:val="auto"/>
              </w:rPr>
            </w:pPr>
          </w:p>
        </w:tc>
        <w:tc>
          <w:tcPr>
            <w:tcW w:w="1440" w:type="dxa"/>
            <w:vAlign w:val="bottom"/>
          </w:tcPr>
          <w:p>
            <w:pPr>
              <w:jc w:val="right"/>
              <w:spacing w:after="0"/>
              <w:rPr>
                <w:sz w:val="20"/>
                <w:szCs w:val="20"/>
                <w:color w:val="auto"/>
              </w:rPr>
            </w:pPr>
            <w:r>
              <w:rPr>
                <w:rFonts w:ascii="Arial" w:cs="Arial" w:eastAsia="Arial" w:hAnsi="Arial"/>
                <w:sz w:val="18"/>
                <w:szCs w:val="18"/>
                <w:b w:val="1"/>
                <w:bCs w:val="1"/>
                <w:color w:val="auto"/>
              </w:rPr>
              <w:t>18,799</w:t>
            </w:r>
          </w:p>
        </w:tc>
        <w:tc>
          <w:tcPr>
            <w:tcW w:w="220" w:type="dxa"/>
            <w:vAlign w:val="bottom"/>
          </w:tcPr>
          <w:p>
            <w:pPr>
              <w:spacing w:after="0"/>
              <w:rPr>
                <w:sz w:val="21"/>
                <w:szCs w:val="21"/>
                <w:color w:val="auto"/>
              </w:rPr>
            </w:pPr>
          </w:p>
        </w:tc>
        <w:tc>
          <w:tcPr>
            <w:tcW w:w="1580" w:type="dxa"/>
            <w:vAlign w:val="bottom"/>
            <w:gridSpan w:val="2"/>
          </w:tcPr>
          <w:p>
            <w:pPr>
              <w:jc w:val="right"/>
              <w:ind w:right="41"/>
              <w:spacing w:after="0"/>
              <w:rPr>
                <w:sz w:val="20"/>
                <w:szCs w:val="20"/>
                <w:color w:val="auto"/>
              </w:rPr>
            </w:pPr>
            <w:r>
              <w:rPr>
                <w:rFonts w:ascii="Arial" w:cs="Arial" w:eastAsia="Arial" w:hAnsi="Arial"/>
                <w:sz w:val="18"/>
                <w:szCs w:val="18"/>
                <w:b w:val="1"/>
                <w:bCs w:val="1"/>
                <w:color w:val="auto"/>
              </w:rPr>
              <w:t>19,914</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440" w:type="dxa"/>
            <w:vAlign w:val="bottom"/>
            <w:gridSpan w:val="2"/>
            <w:vMerge w:val="restart"/>
          </w:tcPr>
          <w:p>
            <w:pPr>
              <w:ind w:left="340"/>
              <w:spacing w:after="0"/>
              <w:rPr>
                <w:sz w:val="20"/>
                <w:szCs w:val="20"/>
                <w:color w:val="auto"/>
              </w:rPr>
            </w:pPr>
            <w:r>
              <w:rPr>
                <w:rFonts w:ascii="Arial" w:cs="Arial" w:eastAsia="Arial" w:hAnsi="Arial"/>
                <w:sz w:val="18"/>
                <w:szCs w:val="18"/>
                <w:color w:val="auto"/>
              </w:rPr>
              <w:t>Amounts recognized in the statement of cash flows:</w:t>
            </w: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0"/>
        </w:trPr>
        <w:tc>
          <w:tcPr>
            <w:tcW w:w="7440" w:type="dxa"/>
            <w:vAlign w:val="bottom"/>
            <w:gridSpan w:val="2"/>
            <w:vMerge w:val="continue"/>
          </w:tcPr>
          <w:p>
            <w:pPr>
              <w:spacing w:after="0"/>
              <w:rPr>
                <w:sz w:val="24"/>
                <w:szCs w:val="24"/>
                <w:color w:val="auto"/>
              </w:rPr>
            </w:pPr>
          </w:p>
        </w:tc>
        <w:tc>
          <w:tcPr>
            <w:tcW w:w="14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80" w:type="dxa"/>
            <w:vAlign w:val="bottom"/>
          </w:tcPr>
          <w:p>
            <w:pPr>
              <w:spacing w:after="0"/>
              <w:rPr>
                <w:sz w:val="24"/>
                <w:szCs w:val="24"/>
                <w:color w:val="auto"/>
              </w:rPr>
            </w:pPr>
          </w:p>
        </w:tc>
        <w:tc>
          <w:tcPr>
            <w:tcW w:w="6860" w:type="dxa"/>
            <w:vAlign w:val="bottom"/>
          </w:tcPr>
          <w:p>
            <w:pPr>
              <w:spacing w:after="0"/>
              <w:rPr>
                <w:sz w:val="24"/>
                <w:szCs w:val="24"/>
                <w:color w:val="auto"/>
              </w:rPr>
            </w:pPr>
          </w:p>
        </w:tc>
        <w:tc>
          <w:tcPr>
            <w:tcW w:w="1660" w:type="dxa"/>
            <w:vAlign w:val="bottom"/>
            <w:gridSpan w:val="2"/>
          </w:tcPr>
          <w:p>
            <w:pPr>
              <w:jc w:val="center"/>
              <w:ind w:right="201"/>
              <w:spacing w:after="0"/>
              <w:rPr>
                <w:sz w:val="20"/>
                <w:szCs w:val="20"/>
                <w:color w:val="auto"/>
              </w:rPr>
            </w:pPr>
            <w:r>
              <w:rPr>
                <w:rFonts w:ascii="Arial" w:cs="Arial" w:eastAsia="Arial" w:hAnsi="Arial"/>
                <w:sz w:val="18"/>
                <w:szCs w:val="18"/>
                <w:b w:val="1"/>
                <w:bCs w:val="1"/>
                <w:color w:val="auto"/>
                <w:w w:val="90"/>
              </w:rPr>
              <w:t>December 31,</w:t>
            </w:r>
          </w:p>
        </w:tc>
        <w:tc>
          <w:tcPr>
            <w:tcW w:w="1580" w:type="dxa"/>
            <w:vAlign w:val="bottom"/>
            <w:gridSpan w:val="2"/>
          </w:tcPr>
          <w:p>
            <w:pPr>
              <w:jc w:val="center"/>
              <w:ind w:right="81"/>
              <w:spacing w:after="0"/>
              <w:rPr>
                <w:sz w:val="20"/>
                <w:szCs w:val="20"/>
                <w:color w:val="auto"/>
              </w:rPr>
            </w:pPr>
            <w:r>
              <w:rPr>
                <w:rFonts w:ascii="Arial" w:cs="Arial" w:eastAsia="Arial" w:hAnsi="Arial"/>
                <w:sz w:val="18"/>
                <w:szCs w:val="18"/>
                <w:b w:val="1"/>
                <w:bCs w:val="1"/>
                <w:color w:val="auto"/>
                <w:w w:val="90"/>
              </w:rPr>
              <w:t>December 31,</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80" w:type="dxa"/>
            <w:vAlign w:val="bottom"/>
          </w:tcPr>
          <w:p>
            <w:pPr>
              <w:spacing w:after="0"/>
              <w:rPr>
                <w:sz w:val="20"/>
                <w:szCs w:val="20"/>
                <w:color w:val="auto"/>
              </w:rPr>
            </w:pPr>
          </w:p>
        </w:tc>
        <w:tc>
          <w:tcPr>
            <w:tcW w:w="68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20" w:type="dxa"/>
            <w:vAlign w:val="bottom"/>
            <w:tcBorders>
              <w:bottom w:val="single" w:sz="8" w:color="CCEEFF"/>
            </w:tcBorders>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580" w:type="dxa"/>
            <w:vAlign w:val="bottom"/>
          </w:tcPr>
          <w:p>
            <w:pPr>
              <w:spacing w:after="0"/>
              <w:rPr>
                <w:sz w:val="21"/>
                <w:szCs w:val="21"/>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Payments of lease liabilities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1,114</w:t>
            </w:r>
          </w:p>
        </w:tc>
        <w:tc>
          <w:tcPr>
            <w:tcW w:w="220" w:type="dxa"/>
            <w:vAlign w:val="bottom"/>
            <w:shd w:val="clear" w:color="auto" w:fill="CCEEFF"/>
          </w:tcPr>
          <w:p>
            <w:pPr>
              <w:spacing w:after="0"/>
              <w:rPr>
                <w:sz w:val="21"/>
                <w:szCs w:val="21"/>
                <w:color w:val="auto"/>
              </w:rPr>
            </w:pPr>
          </w:p>
        </w:tc>
        <w:tc>
          <w:tcPr>
            <w:tcW w:w="15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1,072</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860" w:type="dxa"/>
            <w:vAlign w:val="bottom"/>
            <w:shd w:val="clear" w:color="auto" w:fill="CCEEFF"/>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
        </w:trPr>
        <w:tc>
          <w:tcPr>
            <w:tcW w:w="7440" w:type="dxa"/>
            <w:vAlign w:val="bottom"/>
            <w:gridSpan w:val="2"/>
            <w:vMerge w:val="restart"/>
          </w:tcPr>
          <w:p>
            <w:pPr>
              <w:ind w:left="340"/>
              <w:spacing w:after="0"/>
              <w:rPr>
                <w:sz w:val="20"/>
                <w:szCs w:val="20"/>
                <w:color w:val="auto"/>
              </w:rPr>
            </w:pPr>
            <w:r>
              <w:rPr>
                <w:rFonts w:ascii="Arial" w:cs="Arial" w:eastAsia="Arial" w:hAnsi="Arial"/>
                <w:sz w:val="18"/>
                <w:szCs w:val="18"/>
                <w:color w:val="auto"/>
              </w:rPr>
              <w:t>Amounts recognized in profit or loss:</w:t>
            </w: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440" w:type="dxa"/>
            <w:vAlign w:val="bottom"/>
            <w:gridSpan w:val="2"/>
            <w:vMerge w:val="continue"/>
          </w:tcPr>
          <w:p>
            <w:pPr>
              <w:spacing w:after="0"/>
              <w:rPr>
                <w:sz w:val="24"/>
                <w:szCs w:val="24"/>
                <w:color w:val="auto"/>
              </w:rPr>
            </w:pPr>
          </w:p>
        </w:tc>
        <w:tc>
          <w:tcPr>
            <w:tcW w:w="14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80" w:type="dxa"/>
            <w:vAlign w:val="bottom"/>
          </w:tcPr>
          <w:p>
            <w:pPr>
              <w:spacing w:after="0"/>
              <w:rPr>
                <w:sz w:val="24"/>
                <w:szCs w:val="24"/>
                <w:color w:val="auto"/>
              </w:rPr>
            </w:pPr>
          </w:p>
        </w:tc>
        <w:tc>
          <w:tcPr>
            <w:tcW w:w="6860" w:type="dxa"/>
            <w:vAlign w:val="bottom"/>
          </w:tcPr>
          <w:p>
            <w:pPr>
              <w:spacing w:after="0"/>
              <w:rPr>
                <w:sz w:val="24"/>
                <w:szCs w:val="24"/>
                <w:color w:val="auto"/>
              </w:rPr>
            </w:pPr>
          </w:p>
        </w:tc>
        <w:tc>
          <w:tcPr>
            <w:tcW w:w="1660" w:type="dxa"/>
            <w:vAlign w:val="bottom"/>
            <w:gridSpan w:val="2"/>
          </w:tcPr>
          <w:p>
            <w:pPr>
              <w:jc w:val="center"/>
              <w:ind w:right="201"/>
              <w:spacing w:after="0"/>
              <w:rPr>
                <w:sz w:val="20"/>
                <w:szCs w:val="20"/>
                <w:color w:val="auto"/>
              </w:rPr>
            </w:pPr>
            <w:r>
              <w:rPr>
                <w:rFonts w:ascii="Arial" w:cs="Arial" w:eastAsia="Arial" w:hAnsi="Arial"/>
                <w:sz w:val="18"/>
                <w:szCs w:val="18"/>
                <w:b w:val="1"/>
                <w:bCs w:val="1"/>
                <w:color w:val="auto"/>
                <w:w w:val="90"/>
              </w:rPr>
              <w:t>December 31,</w:t>
            </w:r>
          </w:p>
        </w:tc>
        <w:tc>
          <w:tcPr>
            <w:tcW w:w="1580" w:type="dxa"/>
            <w:vAlign w:val="bottom"/>
            <w:gridSpan w:val="2"/>
          </w:tcPr>
          <w:p>
            <w:pPr>
              <w:jc w:val="center"/>
              <w:ind w:right="81"/>
              <w:spacing w:after="0"/>
              <w:rPr>
                <w:sz w:val="20"/>
                <w:szCs w:val="20"/>
                <w:color w:val="auto"/>
              </w:rPr>
            </w:pPr>
            <w:r>
              <w:rPr>
                <w:rFonts w:ascii="Arial" w:cs="Arial" w:eastAsia="Arial" w:hAnsi="Arial"/>
                <w:sz w:val="18"/>
                <w:szCs w:val="18"/>
                <w:b w:val="1"/>
                <w:bCs w:val="1"/>
                <w:color w:val="auto"/>
                <w:w w:val="90"/>
              </w:rPr>
              <w:t>December 31,</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80" w:type="dxa"/>
            <w:vAlign w:val="bottom"/>
          </w:tcPr>
          <w:p>
            <w:pPr>
              <w:spacing w:after="0"/>
              <w:rPr>
                <w:sz w:val="20"/>
                <w:szCs w:val="20"/>
                <w:color w:val="auto"/>
              </w:rPr>
            </w:pPr>
          </w:p>
        </w:tc>
        <w:tc>
          <w:tcPr>
            <w:tcW w:w="68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20" w:type="dxa"/>
            <w:vAlign w:val="bottom"/>
            <w:tcBorders>
              <w:bottom w:val="single" w:sz="8" w:color="CCEEFF"/>
            </w:tcBorders>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580" w:type="dxa"/>
            <w:vAlign w:val="bottom"/>
          </w:tcPr>
          <w:p>
            <w:pPr>
              <w:spacing w:after="0"/>
              <w:rPr>
                <w:sz w:val="21"/>
                <w:szCs w:val="21"/>
                <w:color w:val="auto"/>
              </w:rPr>
            </w:pPr>
          </w:p>
        </w:tc>
        <w:tc>
          <w:tcPr>
            <w:tcW w:w="68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9"/>
                <w:szCs w:val="19"/>
                <w:b w:val="1"/>
                <w:bCs w:val="1"/>
                <w:color w:val="auto"/>
              </w:rPr>
              <w:t>(862</w:t>
            </w:r>
          </w:p>
        </w:tc>
        <w:tc>
          <w:tcPr>
            <w:tcW w:w="220" w:type="dxa"/>
            <w:vAlign w:val="bottom"/>
            <w:tcBorders>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9"/>
                <w:szCs w:val="19"/>
                <w:b w:val="1"/>
                <w:bCs w:val="1"/>
                <w:color w:val="auto"/>
              </w:rPr>
              <w:t>(912</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860" w:type="dxa"/>
            <w:vAlign w:val="bottom"/>
            <w:vMerge w:val="restart"/>
          </w:tcPr>
          <w:p>
            <w:pPr>
              <w:spacing w:after="0"/>
              <w:rPr>
                <w:sz w:val="20"/>
                <w:szCs w:val="20"/>
                <w:color w:val="auto"/>
              </w:rPr>
            </w:pPr>
            <w:r>
              <w:rPr>
                <w:rFonts w:ascii="Arial" w:cs="Arial" w:eastAsia="Arial" w:hAnsi="Arial"/>
                <w:sz w:val="18"/>
                <w:szCs w:val="18"/>
                <w:color w:val="auto"/>
              </w:rPr>
              <w:t>Income from sub-leasing right-of-use assets</w:t>
            </w: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80" w:type="dxa"/>
            <w:vAlign w:val="bottom"/>
          </w:tcPr>
          <w:p>
            <w:pPr>
              <w:spacing w:after="0"/>
              <w:rPr>
                <w:sz w:val="20"/>
                <w:szCs w:val="20"/>
                <w:color w:val="auto"/>
              </w:rPr>
            </w:pPr>
          </w:p>
        </w:tc>
        <w:tc>
          <w:tcPr>
            <w:tcW w:w="6860" w:type="dxa"/>
            <w:vAlign w:val="bottom"/>
            <w:vMerge w:val="continue"/>
          </w:tcPr>
          <w:p>
            <w:pPr>
              <w:spacing w:after="0"/>
              <w:rPr>
                <w:sz w:val="20"/>
                <w:szCs w:val="20"/>
                <w:color w:val="auto"/>
              </w:rPr>
            </w:pPr>
          </w:p>
        </w:tc>
        <w:tc>
          <w:tcPr>
            <w:tcW w:w="1440" w:type="dxa"/>
            <w:vAlign w:val="bottom"/>
          </w:tcPr>
          <w:p>
            <w:pPr>
              <w:jc w:val="right"/>
              <w:spacing w:after="0"/>
              <w:rPr>
                <w:sz w:val="20"/>
                <w:szCs w:val="20"/>
                <w:color w:val="auto"/>
              </w:rPr>
            </w:pPr>
            <w:r>
              <w:rPr>
                <w:rFonts w:ascii="Arial" w:cs="Arial" w:eastAsia="Arial" w:hAnsi="Arial"/>
                <w:sz w:val="19"/>
                <w:szCs w:val="19"/>
                <w:b w:val="1"/>
                <w:bCs w:val="1"/>
                <w:color w:val="auto"/>
              </w:rPr>
              <w:t>265</w:t>
            </w:r>
          </w:p>
        </w:tc>
        <w:tc>
          <w:tcPr>
            <w:tcW w:w="220" w:type="dxa"/>
            <w:vAlign w:val="bottom"/>
          </w:tcPr>
          <w:p>
            <w:pPr>
              <w:spacing w:after="0"/>
              <w:rPr>
                <w:sz w:val="20"/>
                <w:szCs w:val="20"/>
                <w:color w:val="auto"/>
              </w:rPr>
            </w:pPr>
          </w:p>
        </w:tc>
        <w:tc>
          <w:tcPr>
            <w:tcW w:w="1580" w:type="dxa"/>
            <w:vAlign w:val="bottom"/>
            <w:gridSpan w:val="2"/>
          </w:tcPr>
          <w:p>
            <w:pPr>
              <w:jc w:val="right"/>
              <w:ind w:right="41"/>
              <w:spacing w:after="0"/>
              <w:rPr>
                <w:sz w:val="20"/>
                <w:szCs w:val="20"/>
                <w:color w:val="auto"/>
              </w:rPr>
            </w:pPr>
            <w:r>
              <w:rPr>
                <w:rFonts w:ascii="Arial" w:cs="Arial" w:eastAsia="Arial" w:hAnsi="Arial"/>
                <w:sz w:val="19"/>
                <w:szCs w:val="19"/>
                <w:b w:val="1"/>
                <w:bCs w:val="1"/>
                <w:color w:val="auto"/>
              </w:rPr>
              <w:t>277</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6860" w:type="dxa"/>
            <w:vAlign w:val="bottom"/>
            <w:vMerge w:val="restart"/>
          </w:tcPr>
          <w:p>
            <w:pPr>
              <w:ind w:left="4820"/>
              <w:spacing w:after="0"/>
              <w:rPr>
                <w:sz w:val="20"/>
                <w:szCs w:val="20"/>
                <w:color w:val="auto"/>
              </w:rPr>
            </w:pPr>
            <w:r>
              <w:rPr>
                <w:rFonts w:ascii="Arial" w:cs="Arial" w:eastAsia="Arial" w:hAnsi="Arial"/>
                <w:sz w:val="18"/>
                <w:szCs w:val="18"/>
                <w:color w:val="auto"/>
              </w:rPr>
              <w:t>F-105</w:t>
            </w: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580" w:type="dxa"/>
            <w:vAlign w:val="bottom"/>
            <w:tcBorders>
              <w:bottom w:val="single" w:sz="8" w:color="auto"/>
            </w:tcBorders>
          </w:tcPr>
          <w:p>
            <w:pPr>
              <w:spacing w:after="0"/>
              <w:rPr>
                <w:sz w:val="24"/>
                <w:szCs w:val="24"/>
                <w:color w:val="auto"/>
              </w:rPr>
            </w:pPr>
          </w:p>
        </w:tc>
        <w:tc>
          <w:tcPr>
            <w:tcW w:w="6860" w:type="dxa"/>
            <w:vAlign w:val="bottom"/>
            <w:tcBorders>
              <w:bottom w:val="single" w:sz="8" w:color="auto"/>
            </w:tcBorders>
            <w:vMerge w:val="continue"/>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type w:val="continuous"/>
        </w:sectPr>
      </w:pPr>
    </w:p>
    <w:bookmarkStart w:id="241" w:name="page242"/>
    <w:bookmarkEnd w:id="2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9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440" w:type="dxa"/>
            <w:vAlign w:val="bottom"/>
            <w:gridSpan w:val="2"/>
          </w:tcPr>
          <w:p>
            <w:pPr>
              <w:spacing w:after="0"/>
              <w:rPr>
                <w:sz w:val="20"/>
                <w:szCs w:val="20"/>
                <w:color w:val="auto"/>
              </w:rPr>
            </w:pPr>
            <w:r>
              <w:rPr>
                <w:rFonts w:ascii="Arial" w:cs="Arial" w:eastAsia="Arial" w:hAnsi="Arial"/>
                <w:sz w:val="18"/>
                <w:szCs w:val="18"/>
                <w:b w:val="1"/>
                <w:bCs w:val="1"/>
                <w:color w:val="auto"/>
              </w:rPr>
              <w:t>22. Other liabilities</w:t>
            </w: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7440" w:type="dxa"/>
            <w:vAlign w:val="bottom"/>
            <w:gridSpan w:val="2"/>
          </w:tcPr>
          <w:p>
            <w:pPr>
              <w:ind w:left="340"/>
              <w:spacing w:after="0"/>
              <w:rPr>
                <w:sz w:val="20"/>
                <w:szCs w:val="20"/>
                <w:color w:val="auto"/>
              </w:rPr>
            </w:pPr>
            <w:r>
              <w:rPr>
                <w:rFonts w:ascii="Arial" w:cs="Arial" w:eastAsia="Arial" w:hAnsi="Arial"/>
                <w:sz w:val="18"/>
                <w:szCs w:val="18"/>
                <w:color w:val="auto"/>
              </w:rPr>
              <w:t>Following is a summary of other liabilities:</w:t>
            </w:r>
          </w:p>
        </w:tc>
        <w:tc>
          <w:tcPr>
            <w:tcW w:w="14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4"/>
        </w:trPr>
        <w:tc>
          <w:tcPr>
            <w:tcW w:w="580" w:type="dxa"/>
            <w:vAlign w:val="bottom"/>
          </w:tcPr>
          <w:p>
            <w:pPr>
              <w:spacing w:after="0"/>
              <w:rPr>
                <w:sz w:val="24"/>
                <w:szCs w:val="24"/>
                <w:color w:val="auto"/>
              </w:rPr>
            </w:pPr>
          </w:p>
        </w:tc>
        <w:tc>
          <w:tcPr>
            <w:tcW w:w="6860" w:type="dxa"/>
            <w:vAlign w:val="bottom"/>
          </w:tcPr>
          <w:p>
            <w:pPr>
              <w:spacing w:after="0"/>
              <w:rPr>
                <w:sz w:val="24"/>
                <w:szCs w:val="24"/>
                <w:color w:val="auto"/>
              </w:rPr>
            </w:pPr>
          </w:p>
        </w:tc>
        <w:tc>
          <w:tcPr>
            <w:tcW w:w="166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1580" w:type="dxa"/>
            <w:vAlign w:val="bottom"/>
            <w:gridSpan w:val="3"/>
          </w:tcPr>
          <w:p>
            <w:pPr>
              <w:ind w:left="1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580" w:type="dxa"/>
            <w:vAlign w:val="bottom"/>
          </w:tcPr>
          <w:p>
            <w:pPr>
              <w:spacing w:after="0"/>
              <w:rPr>
                <w:sz w:val="20"/>
                <w:szCs w:val="20"/>
                <w:color w:val="auto"/>
              </w:rPr>
            </w:pPr>
          </w:p>
        </w:tc>
        <w:tc>
          <w:tcPr>
            <w:tcW w:w="686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r>
      <w:tr>
        <w:trPr>
          <w:trHeight w:val="209"/>
        </w:trPr>
        <w:tc>
          <w:tcPr>
            <w:tcW w:w="580" w:type="dxa"/>
            <w:vAlign w:val="bottom"/>
          </w:tcPr>
          <w:p>
            <w:pPr>
              <w:spacing w:after="0"/>
              <w:rPr>
                <w:sz w:val="18"/>
                <w:szCs w:val="18"/>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9,213</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11,901</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6860" w:type="dxa"/>
            <w:vAlign w:val="bottom"/>
          </w:tcPr>
          <w:p>
            <w:pPr>
              <w:spacing w:after="0"/>
              <w:rPr>
                <w:sz w:val="20"/>
                <w:szCs w:val="20"/>
                <w:color w:val="auto"/>
              </w:rPr>
            </w:pPr>
            <w:r>
              <w:rPr>
                <w:rFonts w:ascii="Arial" w:cs="Arial" w:eastAsia="Arial" w:hAnsi="Arial"/>
                <w:sz w:val="18"/>
                <w:szCs w:val="18"/>
                <w:color w:val="auto"/>
              </w:rPr>
              <w:t>Accounts payable</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6,307</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2,526</w:t>
            </w:r>
          </w:p>
        </w:tc>
        <w:tc>
          <w:tcPr>
            <w:tcW w:w="10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686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3,194</w:t>
            </w:r>
          </w:p>
        </w:tc>
        <w:tc>
          <w:tcPr>
            <w:tcW w:w="22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2,722</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50"/>
        </w:trPr>
        <w:tc>
          <w:tcPr>
            <w:tcW w:w="580" w:type="dxa"/>
            <w:vAlign w:val="bottom"/>
          </w:tcPr>
          <w:p>
            <w:pPr>
              <w:spacing w:after="0"/>
              <w:rPr>
                <w:sz w:val="21"/>
                <w:szCs w:val="21"/>
                <w:color w:val="auto"/>
              </w:rPr>
            </w:pPr>
          </w:p>
        </w:tc>
        <w:tc>
          <w:tcPr>
            <w:tcW w:w="6860" w:type="dxa"/>
            <w:vAlign w:val="bottom"/>
          </w:tcPr>
          <w:p>
            <w:pPr>
              <w:spacing w:after="0"/>
              <w:rPr>
                <w:sz w:val="21"/>
                <w:szCs w:val="21"/>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18,714</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17,149</w:t>
            </w:r>
          </w:p>
        </w:tc>
        <w:tc>
          <w:tcPr>
            <w:tcW w:w="100" w:type="dxa"/>
            <w:vAlign w:val="bottom"/>
          </w:tcPr>
          <w:p>
            <w:pPr>
              <w:spacing w:after="0"/>
              <w:rPr>
                <w:sz w:val="21"/>
                <w:szCs w:val="21"/>
                <w:color w:val="auto"/>
              </w:rPr>
            </w:pPr>
          </w:p>
        </w:tc>
      </w:tr>
      <w:tr>
        <w:trPr>
          <w:trHeight w:val="20"/>
        </w:trPr>
        <w:tc>
          <w:tcPr>
            <w:tcW w:w="580" w:type="dxa"/>
            <w:vAlign w:val="bottom"/>
          </w:tcPr>
          <w:p>
            <w:pPr>
              <w:spacing w:after="0" w:line="20" w:lineRule="exact"/>
              <w:rPr>
                <w:sz w:val="1"/>
                <w:szCs w:val="1"/>
                <w:color w:val="auto"/>
              </w:rPr>
            </w:pPr>
          </w:p>
        </w:tc>
        <w:tc>
          <w:tcPr>
            <w:tcW w:w="686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273"/>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pacing w:after="0" w:line="180" w:lineRule="exact"/>
        <w:rPr>
          <w:sz w:val="20"/>
          <w:szCs w:val="20"/>
          <w:color w:val="auto"/>
        </w:rPr>
      </w:pPr>
    </w:p>
    <w:p>
      <w:pPr>
        <w:ind w:left="7940"/>
        <w:spacing w:after="0"/>
        <w:rPr>
          <w:sz w:val="20"/>
          <w:szCs w:val="20"/>
          <w:color w:val="auto"/>
        </w:rPr>
      </w:pPr>
      <w:r>
        <w:rPr>
          <w:rFonts w:ascii="Arial" w:cs="Arial" w:eastAsia="Arial" w:hAnsi="Arial"/>
          <w:sz w:val="18"/>
          <w:szCs w:val="18"/>
          <w:b w:val="1"/>
          <w:bCs w:val="1"/>
          <w:color w:val="auto"/>
        </w:rPr>
        <w:t>December 31,</w:t>
      </w:r>
    </w:p>
    <w:p>
      <w:pPr>
        <w:spacing w:after="0" w:line="27" w:lineRule="exact"/>
        <w:rPr>
          <w:sz w:val="20"/>
          <w:szCs w:val="20"/>
          <w:color w:val="auto"/>
        </w:rPr>
      </w:pPr>
    </w:p>
    <w:tbl>
      <w:tblPr>
        <w:tblLayout w:type="fixed"/>
        <w:tblInd w:w="300" w:type="dxa"/>
        <w:tblCellMar>
          <w:top w:w="0" w:type="dxa"/>
          <w:left w:w="0" w:type="dxa"/>
          <w:bottom w:w="0" w:type="dxa"/>
          <w:right w:w="0" w:type="dxa"/>
        </w:tblCellMar>
      </w:tblPr>
      <w:tr>
        <w:trPr>
          <w:trHeight w:val="209"/>
        </w:trPr>
        <w:tc>
          <w:tcPr>
            <w:tcW w:w="5760" w:type="dxa"/>
            <w:vAlign w:val="bottom"/>
            <w:tcBorders>
              <w:bottom w:val="single" w:sz="8" w:color="CCEEFF"/>
            </w:tcBorders>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2020</w:t>
            </w:r>
          </w:p>
        </w:tc>
        <w:tc>
          <w:tcPr>
            <w:tcW w:w="50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2019</w:t>
            </w:r>
          </w:p>
        </w:tc>
        <w:tc>
          <w:tcPr>
            <w:tcW w:w="180" w:type="dxa"/>
            <w:vAlign w:val="bottom"/>
            <w:tcBorders>
              <w:top w:val="single" w:sz="8" w:color="auto"/>
              <w:bottom w:val="single" w:sz="8" w:color="CCEEFF"/>
            </w:tcBorders>
          </w:tcPr>
          <w:p>
            <w:pPr>
              <w:spacing w:after="0"/>
              <w:rPr>
                <w:sz w:val="18"/>
                <w:szCs w:val="18"/>
                <w:color w:val="auto"/>
              </w:rPr>
            </w:pPr>
          </w:p>
        </w:tc>
        <w:tc>
          <w:tcPr>
            <w:tcW w:w="1500" w:type="dxa"/>
            <w:vAlign w:val="bottom"/>
            <w:tcBorders>
              <w:top w:val="single" w:sz="8" w:color="auto"/>
              <w:bottom w:val="single" w:sz="8" w:color="auto"/>
            </w:tcBorders>
          </w:tcPr>
          <w:p>
            <w:pPr>
              <w:jc w:val="right"/>
              <w:ind w:right="499"/>
              <w:spacing w:after="0"/>
              <w:rPr>
                <w:sz w:val="20"/>
                <w:szCs w:val="20"/>
                <w:color w:val="auto"/>
              </w:rPr>
            </w:pPr>
            <w:r>
              <w:rPr>
                <w:rFonts w:ascii="Arial" w:cs="Arial" w:eastAsia="Arial" w:hAnsi="Arial"/>
                <w:sz w:val="16"/>
                <w:szCs w:val="16"/>
                <w:b w:val="1"/>
                <w:bCs w:val="1"/>
                <w:color w:val="auto"/>
              </w:rPr>
              <w:t>2018</w:t>
            </w:r>
          </w:p>
        </w:tc>
        <w:tc>
          <w:tcPr>
            <w:tcW w:w="1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7"/>
        </w:trPr>
        <w:tc>
          <w:tcPr>
            <w:tcW w:w="5760" w:type="dxa"/>
            <w:vAlign w:val="bottom"/>
            <w:shd w:val="clear" w:color="auto" w:fill="CCEEFF"/>
          </w:tcPr>
          <w:p>
            <w:pPr>
              <w:spacing w:after="0"/>
              <w:rPr>
                <w:sz w:val="20"/>
                <w:szCs w:val="20"/>
                <w:color w:val="auto"/>
              </w:rPr>
            </w:pPr>
            <w:r>
              <w:rPr>
                <w:rFonts w:ascii="Arial" w:cs="Arial" w:eastAsia="Arial" w:hAnsi="Arial"/>
                <w:sz w:val="16"/>
                <w:szCs w:val="16"/>
                <w:color w:val="auto"/>
              </w:rPr>
              <w:t>Profit for the year</w:t>
            </w:r>
          </w:p>
        </w:tc>
        <w:tc>
          <w:tcPr>
            <w:tcW w:w="960" w:type="dxa"/>
            <w:vAlign w:val="bottom"/>
            <w:shd w:val="clear" w:color="auto" w:fill="CCEEFF"/>
          </w:tcPr>
          <w:p>
            <w:pPr>
              <w:spacing w:after="0"/>
              <w:rPr>
                <w:sz w:val="17"/>
                <w:szCs w:val="17"/>
                <w:color w:val="auto"/>
              </w:rPr>
            </w:pP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w w:val="98"/>
              </w:rPr>
              <w:t>63,593</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86,053</w:t>
            </w: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11,138</w:t>
            </w:r>
          </w:p>
        </w:tc>
        <w:tc>
          <w:tcPr>
            <w:tcW w:w="0" w:type="dxa"/>
            <w:vAlign w:val="bottom"/>
          </w:tcPr>
          <w:p>
            <w:pPr>
              <w:spacing w:after="0"/>
              <w:rPr>
                <w:sz w:val="1"/>
                <w:szCs w:val="1"/>
                <w:color w:val="auto"/>
              </w:rPr>
            </w:pPr>
          </w:p>
        </w:tc>
      </w:tr>
      <w:tr>
        <w:trPr>
          <w:trHeight w:val="212"/>
        </w:trPr>
        <w:tc>
          <w:tcPr>
            <w:tcW w:w="57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20" w:type="dxa"/>
            <w:vAlign w:val="bottom"/>
            <w:gridSpan w:val="2"/>
            <w:shd w:val="clear" w:color="auto" w:fill="CCEEFF"/>
          </w:tcPr>
          <w:p>
            <w:pPr>
              <w:spacing w:after="0"/>
              <w:rPr>
                <w:sz w:val="20"/>
                <w:szCs w:val="20"/>
                <w:color w:val="auto"/>
              </w:rPr>
            </w:pPr>
            <w:r>
              <w:rPr>
                <w:rFonts w:ascii="Arial" w:cs="Arial" w:eastAsia="Arial" w:hAnsi="Arial"/>
                <w:sz w:val="16"/>
                <w:szCs w:val="16"/>
                <w:i w:val="1"/>
                <w:iCs w:val="1"/>
                <w:color w:val="auto"/>
              </w:rPr>
              <w:t>(U.S. dollars)</w:t>
            </w:r>
          </w:p>
        </w:tc>
        <w:tc>
          <w:tcPr>
            <w:tcW w:w="5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5760" w:type="dxa"/>
            <w:vAlign w:val="bottom"/>
          </w:tcPr>
          <w:p>
            <w:pPr>
              <w:spacing w:after="0"/>
              <w:rPr>
                <w:sz w:val="20"/>
                <w:szCs w:val="20"/>
                <w:color w:val="auto"/>
              </w:rPr>
            </w:pPr>
            <w:r>
              <w:rPr>
                <w:rFonts w:ascii="Arial" w:cs="Arial" w:eastAsia="Arial" w:hAnsi="Arial"/>
                <w:sz w:val="16"/>
                <w:szCs w:val="16"/>
                <w:color w:val="auto"/>
              </w:rPr>
              <w:t>Basic earnings per share</w:t>
            </w:r>
          </w:p>
        </w:tc>
        <w:tc>
          <w:tcPr>
            <w:tcW w:w="960" w:type="dxa"/>
            <w:vAlign w:val="bottom"/>
          </w:tcPr>
          <w:p>
            <w:pPr>
              <w:spacing w:after="0"/>
              <w:rPr>
                <w:sz w:val="18"/>
                <w:szCs w:val="18"/>
                <w:color w:val="auto"/>
              </w:rPr>
            </w:pPr>
          </w:p>
        </w:tc>
        <w:tc>
          <w:tcPr>
            <w:tcW w:w="500" w:type="dxa"/>
            <w:vAlign w:val="bottom"/>
          </w:tcPr>
          <w:p>
            <w:pPr>
              <w:jc w:val="right"/>
              <w:spacing w:after="0"/>
              <w:rPr>
                <w:sz w:val="20"/>
                <w:szCs w:val="20"/>
                <w:color w:val="auto"/>
              </w:rPr>
            </w:pPr>
            <w:r>
              <w:rPr>
                <w:rFonts w:ascii="Arial" w:cs="Arial" w:eastAsia="Arial" w:hAnsi="Arial"/>
                <w:sz w:val="16"/>
                <w:szCs w:val="16"/>
                <w:color w:val="auto"/>
              </w:rPr>
              <w:t>1.60</w:t>
            </w:r>
          </w:p>
        </w:tc>
        <w:tc>
          <w:tcPr>
            <w:tcW w:w="180" w:type="dxa"/>
            <w:vAlign w:val="bottom"/>
          </w:tcPr>
          <w:p>
            <w:pPr>
              <w:spacing w:after="0"/>
              <w:rPr>
                <w:sz w:val="18"/>
                <w:szCs w:val="18"/>
                <w:color w:val="auto"/>
              </w:rPr>
            </w:pPr>
          </w:p>
        </w:tc>
        <w:tc>
          <w:tcPr>
            <w:tcW w:w="1640" w:type="dxa"/>
            <w:vAlign w:val="bottom"/>
            <w:gridSpan w:val="2"/>
          </w:tcPr>
          <w:p>
            <w:pPr>
              <w:jc w:val="right"/>
              <w:ind w:right="180"/>
              <w:spacing w:after="0"/>
              <w:rPr>
                <w:sz w:val="20"/>
                <w:szCs w:val="20"/>
                <w:color w:val="auto"/>
              </w:rPr>
            </w:pPr>
            <w:r>
              <w:rPr>
                <w:rFonts w:ascii="Arial" w:cs="Arial" w:eastAsia="Arial" w:hAnsi="Arial"/>
                <w:sz w:val="16"/>
                <w:szCs w:val="16"/>
                <w:color w:val="auto"/>
              </w:rPr>
              <w:t>2.17</w:t>
            </w:r>
          </w:p>
        </w:tc>
        <w:tc>
          <w:tcPr>
            <w:tcW w:w="1500" w:type="dxa"/>
            <w:vAlign w:val="bottom"/>
          </w:tcPr>
          <w:p>
            <w:pPr>
              <w:jc w:val="right"/>
              <w:spacing w:after="0"/>
              <w:rPr>
                <w:sz w:val="20"/>
                <w:szCs w:val="20"/>
                <w:color w:val="auto"/>
              </w:rPr>
            </w:pPr>
            <w:r>
              <w:rPr>
                <w:rFonts w:ascii="Arial" w:cs="Arial" w:eastAsia="Arial" w:hAnsi="Arial"/>
                <w:sz w:val="16"/>
                <w:szCs w:val="16"/>
                <w:color w:val="auto"/>
              </w:rPr>
              <w:t>0.28</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760" w:type="dxa"/>
            <w:vAlign w:val="bottom"/>
            <w:vMerge w:val="restart"/>
            <w:shd w:val="clear" w:color="auto" w:fill="CCEEFF"/>
          </w:tcPr>
          <w:p>
            <w:pPr>
              <w:spacing w:after="0"/>
              <w:rPr>
                <w:sz w:val="20"/>
                <w:szCs w:val="20"/>
                <w:color w:val="auto"/>
              </w:rPr>
            </w:pPr>
            <w:r>
              <w:rPr>
                <w:rFonts w:ascii="Arial" w:cs="Arial" w:eastAsia="Arial" w:hAnsi="Arial"/>
                <w:sz w:val="16"/>
                <w:szCs w:val="16"/>
                <w:color w:val="auto"/>
              </w:rPr>
              <w:t>Diluted earnings per share</w:t>
            </w:r>
          </w:p>
        </w:tc>
        <w:tc>
          <w:tcPr>
            <w:tcW w:w="96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5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9"/>
        </w:trPr>
        <w:tc>
          <w:tcPr>
            <w:tcW w:w="5760" w:type="dxa"/>
            <w:vAlign w:val="bottom"/>
            <w:vMerge w:val="continue"/>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1.60</w:t>
            </w:r>
          </w:p>
        </w:tc>
        <w:tc>
          <w:tcPr>
            <w:tcW w:w="180" w:type="dxa"/>
            <w:vAlign w:val="bottom"/>
            <w:shd w:val="clear" w:color="auto" w:fill="CCEEFF"/>
          </w:tcPr>
          <w:p>
            <w:pPr>
              <w:spacing w:after="0"/>
              <w:rPr>
                <w:sz w:val="18"/>
                <w:szCs w:val="18"/>
                <w:color w:val="auto"/>
              </w:rPr>
            </w:pP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2.17</w:t>
            </w:r>
          </w:p>
        </w:tc>
        <w:tc>
          <w:tcPr>
            <w:tcW w:w="15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0.28</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57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20" w:type="dxa"/>
            <w:vAlign w:val="bottom"/>
            <w:gridSpan w:val="2"/>
            <w:shd w:val="clear" w:color="auto" w:fill="CCEEFF"/>
          </w:tcPr>
          <w:p>
            <w:pPr>
              <w:spacing w:after="0"/>
              <w:rPr>
                <w:sz w:val="20"/>
                <w:szCs w:val="20"/>
                <w:color w:val="auto"/>
              </w:rPr>
            </w:pPr>
            <w:r>
              <w:rPr>
                <w:rFonts w:ascii="Arial" w:cs="Arial" w:eastAsia="Arial" w:hAnsi="Arial"/>
                <w:sz w:val="16"/>
                <w:szCs w:val="16"/>
                <w:i w:val="1"/>
                <w:iCs w:val="1"/>
                <w:color w:val="auto"/>
              </w:rPr>
              <w:t>(Thousands of shares)</w:t>
            </w:r>
          </w:p>
        </w:tc>
        <w:tc>
          <w:tcPr>
            <w:tcW w:w="5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720" w:type="dxa"/>
            <w:vAlign w:val="bottom"/>
            <w:gridSpan w:val="2"/>
          </w:tcPr>
          <w:p>
            <w:pPr>
              <w:spacing w:after="0"/>
              <w:rPr>
                <w:sz w:val="20"/>
                <w:szCs w:val="20"/>
                <w:color w:val="auto"/>
              </w:rPr>
            </w:pPr>
            <w:r>
              <w:rPr>
                <w:rFonts w:ascii="Arial" w:cs="Arial" w:eastAsia="Arial" w:hAnsi="Arial"/>
                <w:sz w:val="16"/>
                <w:szCs w:val="16"/>
                <w:color w:val="auto"/>
              </w:rPr>
              <w:t>Weighted average of common shares outstanding applicable to basic EPS</w:t>
            </w:r>
          </w:p>
        </w:tc>
        <w:tc>
          <w:tcPr>
            <w:tcW w:w="680" w:type="dxa"/>
            <w:vAlign w:val="bottom"/>
            <w:gridSpan w:val="2"/>
          </w:tcPr>
          <w:p>
            <w:pPr>
              <w:jc w:val="right"/>
              <w:ind w:right="180"/>
              <w:spacing w:after="0"/>
              <w:rPr>
                <w:sz w:val="20"/>
                <w:szCs w:val="20"/>
                <w:color w:val="auto"/>
              </w:rPr>
            </w:pPr>
            <w:r>
              <w:rPr>
                <w:rFonts w:ascii="Arial" w:cs="Arial" w:eastAsia="Arial" w:hAnsi="Arial"/>
                <w:sz w:val="16"/>
                <w:szCs w:val="16"/>
                <w:color w:val="auto"/>
                <w:w w:val="98"/>
              </w:rPr>
              <w:t>39,656</w:t>
            </w:r>
          </w:p>
        </w:tc>
        <w:tc>
          <w:tcPr>
            <w:tcW w:w="1640" w:type="dxa"/>
            <w:vAlign w:val="bottom"/>
            <w:gridSpan w:val="2"/>
          </w:tcPr>
          <w:p>
            <w:pPr>
              <w:jc w:val="right"/>
              <w:ind w:right="180"/>
              <w:spacing w:after="0"/>
              <w:rPr>
                <w:sz w:val="20"/>
                <w:szCs w:val="20"/>
                <w:color w:val="auto"/>
              </w:rPr>
            </w:pPr>
            <w:r>
              <w:rPr>
                <w:rFonts w:ascii="Arial" w:cs="Arial" w:eastAsia="Arial" w:hAnsi="Arial"/>
                <w:sz w:val="16"/>
                <w:szCs w:val="16"/>
                <w:color w:val="auto"/>
              </w:rPr>
              <w:t>39,575</w:t>
            </w:r>
          </w:p>
        </w:tc>
        <w:tc>
          <w:tcPr>
            <w:tcW w:w="1500" w:type="dxa"/>
            <w:vAlign w:val="bottom"/>
          </w:tcPr>
          <w:p>
            <w:pPr>
              <w:jc w:val="right"/>
              <w:spacing w:after="0"/>
              <w:rPr>
                <w:sz w:val="20"/>
                <w:szCs w:val="20"/>
                <w:color w:val="auto"/>
              </w:rPr>
            </w:pPr>
            <w:r>
              <w:rPr>
                <w:rFonts w:ascii="Arial" w:cs="Arial" w:eastAsia="Arial" w:hAnsi="Arial"/>
                <w:sz w:val="16"/>
                <w:szCs w:val="16"/>
                <w:color w:val="auto"/>
              </w:rPr>
              <w:t>39,543</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7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6720" w:type="dxa"/>
            <w:vAlign w:val="bottom"/>
            <w:gridSpan w:val="2"/>
          </w:tcPr>
          <w:p>
            <w:pPr>
              <w:spacing w:after="0"/>
              <w:rPr>
                <w:sz w:val="20"/>
                <w:szCs w:val="20"/>
                <w:color w:val="auto"/>
              </w:rPr>
            </w:pPr>
            <w:r>
              <w:rPr>
                <w:rFonts w:ascii="Arial" w:cs="Arial" w:eastAsia="Arial" w:hAnsi="Arial"/>
                <w:sz w:val="16"/>
                <w:szCs w:val="16"/>
                <w:color w:val="auto"/>
              </w:rPr>
              <w:t>Effect of diluted securities:</w:t>
            </w:r>
          </w:p>
        </w:tc>
        <w:tc>
          <w:tcPr>
            <w:tcW w:w="5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720" w:type="dxa"/>
            <w:vAlign w:val="bottom"/>
            <w:gridSpan w:val="2"/>
            <w:shd w:val="clear" w:color="auto" w:fill="CCEEFF"/>
          </w:tcPr>
          <w:p>
            <w:pPr>
              <w:ind w:left="160"/>
              <w:spacing w:after="0"/>
              <w:rPr>
                <w:sz w:val="20"/>
                <w:szCs w:val="20"/>
                <w:color w:val="auto"/>
              </w:rPr>
            </w:pPr>
            <w:r>
              <w:rPr>
                <w:rFonts w:ascii="Arial" w:cs="Arial" w:eastAsia="Arial" w:hAnsi="Arial"/>
                <w:sz w:val="16"/>
                <w:szCs w:val="16"/>
                <w:color w:val="auto"/>
              </w:rPr>
              <w:t>Stock options and restricted stock units plan</w:t>
            </w: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13"/>
        </w:trPr>
        <w:tc>
          <w:tcPr>
            <w:tcW w:w="576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5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0"/>
        </w:trPr>
        <w:tc>
          <w:tcPr>
            <w:tcW w:w="672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Adjusted weighted average of common shares outstanding applicable to diluted EPS</w:t>
            </w:r>
          </w:p>
        </w:tc>
        <w:tc>
          <w:tcPr>
            <w:tcW w:w="6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b w:val="1"/>
                <w:bCs w:val="1"/>
                <w:color w:val="auto"/>
                <w:w w:val="98"/>
              </w:rPr>
              <w:t>39,656</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b w:val="1"/>
                <w:bCs w:val="1"/>
                <w:color w:val="auto"/>
              </w:rPr>
              <w:t>39,575</w:t>
            </w:r>
          </w:p>
        </w:tc>
        <w:tc>
          <w:tcPr>
            <w:tcW w:w="15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39,543</w:t>
            </w: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576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F-106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688" w:right="419" w:bottom="1440" w:gutter="0" w:footer="0" w:header="0"/>
        </w:sectPr>
      </w:pPr>
    </w:p>
    <w:bookmarkStart w:id="242" w:name="page243"/>
    <w:bookmarkEnd w:id="2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74"/>
        </w:numPr>
        <w:rPr>
          <w:rFonts w:ascii="Arial" w:cs="Arial" w:eastAsia="Arial" w:hAnsi="Arial"/>
          <w:sz w:val="18"/>
          <w:szCs w:val="18"/>
          <w:b w:val="1"/>
          <w:bCs w:val="1"/>
          <w:color w:val="222222"/>
        </w:rPr>
      </w:pPr>
      <w:r>
        <w:rPr>
          <w:rFonts w:ascii="Arial" w:cs="Arial" w:eastAsia="Arial" w:hAnsi="Arial"/>
          <w:sz w:val="18"/>
          <w:szCs w:val="18"/>
          <w:b w:val="1"/>
          <w:bCs w:val="1"/>
          <w:color w:val="auto"/>
        </w:rPr>
        <w:t>Capital and Reserves</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Common stock and additional paid-in capital</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Common stock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Bank’s common stock is divided into four categories:</w:t>
      </w:r>
    </w:p>
    <w:p>
      <w:pPr>
        <w:spacing w:after="0" w:line="225" w:lineRule="exact"/>
        <w:rPr>
          <w:sz w:val="20"/>
          <w:szCs w:val="20"/>
          <w:color w:val="auto"/>
        </w:rPr>
      </w:pPr>
    </w:p>
    <w:p>
      <w:pPr>
        <w:ind w:left="1220" w:right="20" w:hanging="321"/>
        <w:spacing w:after="0" w:line="258" w:lineRule="auto"/>
        <w:tabs>
          <w:tab w:leader="none" w:pos="122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1220" w:hanging="321"/>
        <w:spacing w:after="0"/>
        <w:tabs>
          <w:tab w:leader="none" w:pos="122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1220" w:hanging="321"/>
        <w:spacing w:after="0"/>
        <w:tabs>
          <w:tab w:leader="none" w:pos="1220" w:val="left"/>
        </w:tabs>
        <w:numPr>
          <w:ilvl w:val="0"/>
          <w:numId w:val="275"/>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1220" w:hanging="321"/>
        <w:spacing w:after="0" w:line="290" w:lineRule="auto"/>
        <w:tabs>
          <w:tab w:leader="none" w:pos="1220" w:val="left"/>
        </w:tabs>
        <w:numPr>
          <w:ilvl w:val="0"/>
          <w:numId w:val="275"/>
        </w:numPr>
        <w:rPr>
          <w:rFonts w:ascii="Arial" w:cs="Arial" w:eastAsia="Arial" w:hAnsi="Arial"/>
          <w:sz w:val="17"/>
          <w:szCs w:val="17"/>
          <w:color w:val="auto"/>
        </w:rPr>
      </w:pPr>
      <w:r>
        <w:rPr>
          <w:rFonts w:ascii="Arial" w:cs="Arial" w:eastAsia="Arial" w:hAnsi="Arial"/>
          <w:sz w:val="17"/>
          <w:szCs w:val="17"/>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6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exchanging one share for another share.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detailed information on the movement of the shares by class for each of the years ended December 31, 2020, 2019 and 2018:</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40" w:type="dxa"/>
            <w:vAlign w:val="bottom"/>
          </w:tcPr>
          <w:p>
            <w:pPr>
              <w:spacing w:after="0"/>
              <w:rPr>
                <w:sz w:val="20"/>
                <w:szCs w:val="20"/>
                <w:color w:val="auto"/>
              </w:rPr>
            </w:pPr>
            <w:r>
              <w:rPr>
                <w:rFonts w:ascii="Arial" w:cs="Arial" w:eastAsia="Arial" w:hAnsi="Arial"/>
                <w:sz w:val="18"/>
                <w:szCs w:val="18"/>
                <w:color w:val="auto"/>
              </w:rPr>
              <w:t>(Share units)</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“Class A”</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“Class B”</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“Class E”</w:t>
            </w:r>
          </w:p>
        </w:tc>
        <w:tc>
          <w:tcPr>
            <w:tcW w:w="1340" w:type="dxa"/>
            <w:vAlign w:val="bottom"/>
            <w:gridSpan w:val="2"/>
          </w:tcPr>
          <w:p>
            <w:pPr>
              <w:ind w:left="200"/>
              <w:spacing w:after="0"/>
              <w:rPr>
                <w:sz w:val="20"/>
                <w:szCs w:val="20"/>
                <w:color w:val="auto"/>
              </w:rPr>
            </w:pPr>
            <w:r>
              <w:rPr>
                <w:rFonts w:ascii="Arial" w:cs="Arial" w:eastAsia="Arial" w:hAnsi="Arial"/>
                <w:sz w:val="18"/>
                <w:szCs w:val="18"/>
                <w:b w:val="1"/>
                <w:bCs w:val="1"/>
                <w:color w:val="auto"/>
              </w:rPr>
              <w:t>“Class F”</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2018</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2,408,805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30,677,840</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39,428,834</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color w:val="auto"/>
              </w:rPr>
              <w:t>Conversions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(64,386)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64,386</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Repurchased common stock</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(99,193)</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(99,257)</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102,918</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102,918</w:t>
            </w:r>
          </w:p>
        </w:tc>
        <w:tc>
          <w:tcPr>
            <w:tcW w:w="0" w:type="dxa"/>
            <w:vAlign w:val="bottom"/>
          </w:tcPr>
          <w:p>
            <w:pPr>
              <w:spacing w:after="0"/>
              <w:rPr>
                <w:sz w:val="1"/>
                <w:szCs w:val="1"/>
                <w:color w:val="auto"/>
              </w:rPr>
            </w:pPr>
          </w:p>
        </w:tc>
      </w:tr>
      <w:tr>
        <w:trPr>
          <w:trHeight w:val="230"/>
        </w:trPr>
        <w:tc>
          <w:tcPr>
            <w:tcW w:w="384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49,055</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49,055</w:t>
            </w:r>
          </w:p>
        </w:tc>
        <w:tc>
          <w:tcPr>
            <w:tcW w:w="0" w:type="dxa"/>
            <w:vAlign w:val="bottom"/>
          </w:tcPr>
          <w:p>
            <w:pPr>
              <w:spacing w:after="0"/>
              <w:rPr>
                <w:sz w:val="1"/>
                <w:szCs w:val="1"/>
                <w:color w:val="auto"/>
              </w:rPr>
            </w:pPr>
          </w:p>
        </w:tc>
      </w:tr>
      <w:tr>
        <w:trPr>
          <w:trHeight w:val="209"/>
        </w:trPr>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2018</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2,245,226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30,951,135</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39,538,550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(62,799)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62,799</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color w:val="auto"/>
              </w:rPr>
              <w:t>Repurchased common stock</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57,000</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30"/>
        </w:trPr>
        <w:tc>
          <w:tcPr>
            <w:tcW w:w="384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6,727</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6,727</w:t>
            </w:r>
          </w:p>
        </w:tc>
        <w:tc>
          <w:tcPr>
            <w:tcW w:w="0" w:type="dxa"/>
            <w:vAlign w:val="bottom"/>
          </w:tcPr>
          <w:p>
            <w:pPr>
              <w:spacing w:after="0"/>
              <w:rPr>
                <w:sz w:val="1"/>
                <w:szCs w:val="1"/>
                <w:color w:val="auto"/>
              </w:rPr>
            </w:pPr>
          </w:p>
        </w:tc>
      </w:tr>
      <w:tr>
        <w:trPr>
          <w:trHeight w:val="209"/>
        </w:trPr>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2019</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2,182,426</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31,077,662</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39,602,277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Conversions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(4,060)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4,060</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color w:val="auto"/>
              </w:rPr>
              <w:t>Repurchased common stock</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63,000</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63,000</w:t>
            </w:r>
          </w:p>
        </w:tc>
        <w:tc>
          <w:tcPr>
            <w:tcW w:w="0" w:type="dxa"/>
            <w:vAlign w:val="bottom"/>
          </w:tcPr>
          <w:p>
            <w:pPr>
              <w:spacing w:after="0"/>
              <w:rPr>
                <w:sz w:val="1"/>
                <w:szCs w:val="1"/>
                <w:color w:val="auto"/>
              </w:rPr>
            </w:pPr>
          </w:p>
        </w:tc>
      </w:tr>
      <w:tr>
        <w:trPr>
          <w:trHeight w:val="230"/>
        </w:trPr>
        <w:tc>
          <w:tcPr>
            <w:tcW w:w="384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12,664</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12,664</w:t>
            </w:r>
          </w:p>
        </w:tc>
        <w:tc>
          <w:tcPr>
            <w:tcW w:w="0" w:type="dxa"/>
            <w:vAlign w:val="bottom"/>
          </w:tcPr>
          <w:p>
            <w:pPr>
              <w:spacing w:after="0"/>
              <w:rPr>
                <w:sz w:val="1"/>
                <w:szCs w:val="1"/>
                <w:color w:val="auto"/>
              </w:rPr>
            </w:pPr>
          </w:p>
        </w:tc>
      </w:tr>
      <w:tr>
        <w:trPr>
          <w:trHeight w:val="20"/>
        </w:trPr>
        <w:tc>
          <w:tcPr>
            <w:tcW w:w="384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Outstanding at December 31, 2020</w:t>
            </w:r>
          </w:p>
        </w:tc>
        <w:tc>
          <w:tcPr>
            <w:tcW w:w="11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3840" w:type="dxa"/>
            <w:vAlign w:val="bottom"/>
            <w:vMerge w:val="continue"/>
            <w:shd w:val="clear" w:color="auto" w:fill="CCEEFF"/>
          </w:tcPr>
          <w:p>
            <w:pPr>
              <w:spacing w:after="0"/>
              <w:rPr>
                <w:sz w:val="21"/>
                <w:szCs w:val="21"/>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2,178,365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31,157,386</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39,677,940</w:t>
            </w:r>
          </w:p>
        </w:tc>
        <w:tc>
          <w:tcPr>
            <w:tcW w:w="0" w:type="dxa"/>
            <w:vAlign w:val="bottom"/>
          </w:tcPr>
          <w:p>
            <w:pPr>
              <w:spacing w:after="0"/>
              <w:rPr>
                <w:sz w:val="1"/>
                <w:szCs w:val="1"/>
                <w:color w:val="auto"/>
              </w:rPr>
            </w:pPr>
          </w:p>
        </w:tc>
      </w:tr>
      <w:tr>
        <w:trPr>
          <w:trHeight w:val="20"/>
        </w:trPr>
        <w:tc>
          <w:tcPr>
            <w:tcW w:w="384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Additional paid-in capital</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As of December 31, 2020, 2019 and 2018, additional paid-in capital consists of additional cash contributions to the common capital paid by shareholders.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43" w:name="page244"/>
    <w:bookmarkEnd w:id="2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76"/>
        </w:numPr>
        <w:rPr>
          <w:rFonts w:ascii="Arial" w:cs="Arial" w:eastAsia="Arial" w:hAnsi="Arial"/>
          <w:sz w:val="18"/>
          <w:szCs w:val="18"/>
          <w:b w:val="1"/>
          <w:bCs w:val="1"/>
          <w:color w:val="222222"/>
        </w:rPr>
      </w:pPr>
      <w:r>
        <w:rPr>
          <w:rFonts w:ascii="Arial" w:cs="Arial" w:eastAsia="Arial" w:hAnsi="Arial"/>
          <w:sz w:val="18"/>
          <w:szCs w:val="18"/>
          <w:b w:val="1"/>
          <w:bCs w:val="1"/>
          <w:color w:val="auto"/>
        </w:rPr>
        <w:t>Capital and Reserves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6"/>
          <w:szCs w:val="16"/>
          <w:b w:val="1"/>
          <w:bCs w:val="1"/>
          <w:color w:val="auto"/>
        </w:rPr>
        <w:t>Treasury stock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1940" w:type="dxa"/>
            <w:vAlign w:val="bottom"/>
            <w:gridSpan w:val="4"/>
          </w:tcPr>
          <w:p>
            <w:pPr>
              <w:jc w:val="right"/>
              <w:ind w:right="700"/>
              <w:spacing w:after="0"/>
              <w:rPr>
                <w:sz w:val="20"/>
                <w:szCs w:val="20"/>
                <w:color w:val="auto"/>
              </w:rPr>
            </w:pPr>
            <w:r>
              <w:rPr>
                <w:rFonts w:ascii="Arial" w:cs="Arial" w:eastAsia="Arial" w:hAnsi="Arial"/>
                <w:sz w:val="18"/>
                <w:szCs w:val="18"/>
                <w:b w:val="1"/>
                <w:bCs w:val="1"/>
                <w:color w:val="auto"/>
              </w:rPr>
              <w:t>“Class A”</w:t>
            </w:r>
          </w:p>
        </w:tc>
        <w:tc>
          <w:tcPr>
            <w:tcW w:w="1940" w:type="dxa"/>
            <w:vAlign w:val="bottom"/>
            <w:gridSpan w:val="4"/>
          </w:tcPr>
          <w:p>
            <w:pPr>
              <w:jc w:val="right"/>
              <w:ind w:right="700"/>
              <w:spacing w:after="0"/>
              <w:rPr>
                <w:sz w:val="20"/>
                <w:szCs w:val="20"/>
                <w:color w:val="auto"/>
              </w:rPr>
            </w:pPr>
            <w:r>
              <w:rPr>
                <w:rFonts w:ascii="Arial" w:cs="Arial" w:eastAsia="Arial" w:hAnsi="Arial"/>
                <w:sz w:val="18"/>
                <w:szCs w:val="18"/>
                <w:b w:val="1"/>
                <w:bCs w:val="1"/>
                <w:color w:val="auto"/>
              </w:rPr>
              <w:t>“Class B”</w:t>
            </w:r>
          </w:p>
        </w:tc>
        <w:tc>
          <w:tcPr>
            <w:tcW w:w="1900" w:type="dxa"/>
            <w:vAlign w:val="bottom"/>
            <w:gridSpan w:val="4"/>
          </w:tcPr>
          <w:p>
            <w:pPr>
              <w:jc w:val="right"/>
              <w:ind w:right="660"/>
              <w:spacing w:after="0"/>
              <w:rPr>
                <w:sz w:val="20"/>
                <w:szCs w:val="20"/>
                <w:color w:val="auto"/>
              </w:rPr>
            </w:pPr>
            <w:r>
              <w:rPr>
                <w:rFonts w:ascii="Arial" w:cs="Arial" w:eastAsia="Arial" w:hAnsi="Arial"/>
                <w:sz w:val="18"/>
                <w:szCs w:val="18"/>
                <w:b w:val="1"/>
                <w:bCs w:val="1"/>
                <w:color w:val="auto"/>
              </w:rPr>
              <w:t>“Class E”</w:t>
            </w:r>
          </w:p>
        </w:tc>
        <w:tc>
          <w:tcPr>
            <w:tcW w:w="1780" w:type="dxa"/>
            <w:vAlign w:val="bottom"/>
            <w:gridSpan w:val="4"/>
          </w:tcPr>
          <w:p>
            <w:pPr>
              <w:jc w:val="right"/>
              <w:ind w:right="74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00" w:type="dxa"/>
            <w:vAlign w:val="bottom"/>
          </w:tcPr>
          <w:p>
            <w:pPr>
              <w:spacing w:after="0"/>
              <w:rPr>
                <w:sz w:val="19"/>
                <w:szCs w:val="19"/>
                <w:color w:val="auto"/>
              </w:rPr>
            </w:pPr>
          </w:p>
        </w:tc>
        <w:tc>
          <w:tcPr>
            <w:tcW w:w="3100" w:type="dxa"/>
            <w:vAlign w:val="bottom"/>
          </w:tcPr>
          <w:p>
            <w:pPr>
              <w:spacing w:after="0"/>
              <w:rPr>
                <w:sz w:val="19"/>
                <w:szCs w:val="19"/>
                <w:color w:val="auto"/>
              </w:rPr>
            </w:pPr>
          </w:p>
        </w:tc>
        <w:tc>
          <w:tcPr>
            <w:tcW w:w="960" w:type="dxa"/>
            <w:vAlign w:val="bottom"/>
            <w:tcBorders>
              <w:top w:val="single" w:sz="8" w:color="auto"/>
            </w:tcBorders>
            <w:gridSpan w:val="2"/>
          </w:tcPr>
          <w:p>
            <w:pPr>
              <w:ind w:left="120"/>
              <w:spacing w:after="0"/>
              <w:rPr>
                <w:sz w:val="20"/>
                <w:szCs w:val="20"/>
                <w:color w:val="auto"/>
              </w:rPr>
            </w:pPr>
            <w:r>
              <w:rPr>
                <w:rFonts w:ascii="Arial" w:cs="Arial" w:eastAsia="Arial" w:hAnsi="Arial"/>
                <w:sz w:val="18"/>
                <w:szCs w:val="18"/>
                <w:b w:val="1"/>
                <w:bCs w:val="1"/>
                <w:color w:val="auto"/>
              </w:rPr>
              <w:t>Shares</w:t>
            </w: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Amount</w:t>
            </w:r>
          </w:p>
        </w:tc>
        <w:tc>
          <w:tcPr>
            <w:tcW w:w="220" w:type="dxa"/>
            <w:vAlign w:val="bottom"/>
          </w:tcPr>
          <w:p>
            <w:pPr>
              <w:spacing w:after="0"/>
              <w:rPr>
                <w:sz w:val="19"/>
                <w:szCs w:val="19"/>
                <w:color w:val="auto"/>
              </w:rPr>
            </w:pPr>
          </w:p>
        </w:tc>
        <w:tc>
          <w:tcPr>
            <w:tcW w:w="980" w:type="dxa"/>
            <w:vAlign w:val="bottom"/>
            <w:tcBorders>
              <w:top w:val="single" w:sz="8" w:color="auto"/>
            </w:tcBorders>
            <w:gridSpan w:val="2"/>
          </w:tcPr>
          <w:p>
            <w:pPr>
              <w:ind w:left="120"/>
              <w:spacing w:after="0"/>
              <w:rPr>
                <w:sz w:val="20"/>
                <w:szCs w:val="20"/>
                <w:color w:val="auto"/>
              </w:rPr>
            </w:pPr>
            <w:r>
              <w:rPr>
                <w:rFonts w:ascii="Arial" w:cs="Arial" w:eastAsia="Arial" w:hAnsi="Arial"/>
                <w:sz w:val="18"/>
                <w:szCs w:val="18"/>
                <w:b w:val="1"/>
                <w:bCs w:val="1"/>
                <w:color w:val="auto"/>
              </w:rPr>
              <w:t>Shares</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Amount</w:t>
            </w:r>
          </w:p>
        </w:tc>
        <w:tc>
          <w:tcPr>
            <w:tcW w:w="220" w:type="dxa"/>
            <w:vAlign w:val="bottom"/>
          </w:tcPr>
          <w:p>
            <w:pPr>
              <w:spacing w:after="0"/>
              <w:rPr>
                <w:sz w:val="19"/>
                <w:szCs w:val="19"/>
                <w:color w:val="auto"/>
              </w:rPr>
            </w:pPr>
          </w:p>
        </w:tc>
        <w:tc>
          <w:tcPr>
            <w:tcW w:w="98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Shares</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Amount</w:t>
            </w:r>
          </w:p>
        </w:tc>
        <w:tc>
          <w:tcPr>
            <w:tcW w:w="180" w:type="dxa"/>
            <w:vAlign w:val="bottom"/>
          </w:tcPr>
          <w:p>
            <w:pPr>
              <w:spacing w:after="0"/>
              <w:rPr>
                <w:sz w:val="19"/>
                <w:szCs w:val="19"/>
                <w:color w:val="auto"/>
              </w:rPr>
            </w:pPr>
          </w:p>
        </w:tc>
        <w:tc>
          <w:tcPr>
            <w:tcW w:w="94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8"/>
                <w:szCs w:val="18"/>
                <w:b w:val="1"/>
                <w:bCs w:val="1"/>
                <w:color w:val="auto"/>
              </w:rPr>
              <w:t>Shares</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Amount</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3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2018</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318,140</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10,708</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590,174</w:t>
            </w:r>
          </w:p>
        </w:tc>
        <w:tc>
          <w:tcPr>
            <w:tcW w:w="22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16,270</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1,642,690</w:t>
            </w:r>
          </w:p>
        </w:tc>
        <w:tc>
          <w:tcPr>
            <w:tcW w:w="22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36,270</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2,551,004</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63,248</w:t>
            </w: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3100" w:type="dxa"/>
            <w:vAlign w:val="bottom"/>
          </w:tcPr>
          <w:p>
            <w:pPr>
              <w:spacing w:after="0"/>
              <w:rPr>
                <w:sz w:val="20"/>
                <w:szCs w:val="20"/>
                <w:color w:val="auto"/>
              </w:rPr>
            </w:pPr>
            <w:r>
              <w:rPr>
                <w:rFonts w:ascii="Arial" w:cs="Arial" w:eastAsia="Arial" w:hAnsi="Arial"/>
                <w:sz w:val="18"/>
                <w:szCs w:val="18"/>
                <w:color w:val="auto"/>
              </w:rPr>
              <w:t>Repurchase of common stock</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99,193</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2,441</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64</w:t>
            </w: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1</w:t>
            </w:r>
          </w:p>
        </w:tc>
        <w:tc>
          <w:tcPr>
            <w:tcW w:w="940" w:type="dxa"/>
            <w:vAlign w:val="bottom"/>
            <w:gridSpan w:val="2"/>
          </w:tcPr>
          <w:p>
            <w:pPr>
              <w:jc w:val="right"/>
              <w:ind w:right="180"/>
              <w:spacing w:after="0"/>
              <w:rPr>
                <w:sz w:val="20"/>
                <w:szCs w:val="20"/>
                <w:color w:val="auto"/>
              </w:rPr>
            </w:pPr>
            <w:r>
              <w:rPr>
                <w:rFonts w:ascii="Arial" w:cs="Arial" w:eastAsia="Arial" w:hAnsi="Arial"/>
                <w:sz w:val="18"/>
                <w:szCs w:val="18"/>
                <w:color w:val="auto"/>
              </w:rPr>
              <w:t>99,257</w:t>
            </w: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2,442</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tcPr>
          <w:p>
            <w:pPr>
              <w:spacing w:after="0"/>
              <w:rPr>
                <w:sz w:val="18"/>
                <w:szCs w:val="18"/>
                <w:color w:val="auto"/>
              </w:rPr>
            </w:pPr>
          </w:p>
        </w:tc>
        <w:tc>
          <w:tcPr>
            <w:tcW w:w="3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issued - directors</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(57,000)</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(1,259)</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(57,000)</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(1,259)</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00" w:type="dxa"/>
            <w:vAlign w:val="bottom"/>
          </w:tcPr>
          <w:p>
            <w:pPr>
              <w:spacing w:after="0"/>
              <w:rPr>
                <w:sz w:val="17"/>
                <w:szCs w:val="17"/>
                <w:color w:val="auto"/>
              </w:rPr>
            </w:pPr>
          </w:p>
        </w:tc>
        <w:tc>
          <w:tcPr>
            <w:tcW w:w="3100" w:type="dxa"/>
            <w:vAlign w:val="bottom"/>
          </w:tcPr>
          <w:p>
            <w:pPr>
              <w:spacing w:after="0" w:line="201" w:lineRule="exact"/>
              <w:rPr>
                <w:sz w:val="20"/>
                <w:szCs w:val="20"/>
                <w:color w:val="auto"/>
              </w:rPr>
            </w:pPr>
            <w:r>
              <w:rPr>
                <w:rFonts w:ascii="Arial" w:cs="Arial" w:eastAsia="Arial" w:hAnsi="Arial"/>
                <w:sz w:val="18"/>
                <w:szCs w:val="18"/>
                <w:color w:val="auto"/>
                <w:w w:val="97"/>
              </w:rPr>
              <w:t>Exercised stock options - compensation</w:t>
            </w: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0" w:type="dxa"/>
            <w:vAlign w:val="bottom"/>
            <w:gridSpan w:val="2"/>
          </w:tcPr>
          <w:p>
            <w:pPr>
              <w:ind w:left="300"/>
              <w:spacing w:after="0"/>
              <w:rPr>
                <w:sz w:val="20"/>
                <w:szCs w:val="20"/>
                <w:color w:val="auto"/>
              </w:rPr>
            </w:pPr>
            <w:r>
              <w:rPr>
                <w:rFonts w:ascii="Arial" w:cs="Arial" w:eastAsia="Arial" w:hAnsi="Arial"/>
                <w:sz w:val="18"/>
                <w:szCs w:val="18"/>
                <w:color w:val="auto"/>
              </w:rPr>
              <w:t>plans</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(102,918)</w:t>
            </w: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(2,272)</w:t>
            </w: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(102,918)</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(2,272)</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300" w:type="dxa"/>
            <w:vAlign w:val="bottom"/>
          </w:tcPr>
          <w:p>
            <w:pPr>
              <w:spacing w:after="0"/>
              <w:rPr>
                <w:sz w:val="19"/>
                <w:szCs w:val="19"/>
                <w:color w:val="auto"/>
              </w:rPr>
            </w:pPr>
          </w:p>
        </w:tc>
        <w:tc>
          <w:tcPr>
            <w:tcW w:w="3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(49,055)</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(1,083)</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(49,055)</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(1,083)</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3100" w:type="dxa"/>
            <w:vAlign w:val="bottom"/>
          </w:tcPr>
          <w:p>
            <w:pPr>
              <w:spacing w:after="0"/>
              <w:rPr>
                <w:sz w:val="20"/>
                <w:szCs w:val="20"/>
                <w:color w:val="auto"/>
              </w:rPr>
            </w:pPr>
            <w:r>
              <w:rPr>
                <w:rFonts w:ascii="Arial" w:cs="Arial" w:eastAsia="Arial" w:hAnsi="Arial"/>
                <w:sz w:val="18"/>
                <w:szCs w:val="18"/>
                <w:b w:val="1"/>
                <w:bCs w:val="1"/>
                <w:color w:val="auto"/>
              </w:rPr>
              <w:t>Outstanding at December 31, 2018</w:t>
            </w: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689,367</w:t>
            </w:r>
          </w:p>
        </w:tc>
        <w:tc>
          <w:tcPr>
            <w:tcW w:w="22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18,711</w:t>
            </w:r>
          </w:p>
        </w:tc>
        <w:tc>
          <w:tcPr>
            <w:tcW w:w="22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1,433,781</w:t>
            </w:r>
          </w:p>
        </w:tc>
        <w:tc>
          <w:tcPr>
            <w:tcW w:w="22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31,657</w:t>
            </w:r>
          </w:p>
        </w:tc>
        <w:tc>
          <w:tcPr>
            <w:tcW w:w="18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2,441,288</w:t>
            </w:r>
          </w:p>
        </w:tc>
        <w:tc>
          <w:tcPr>
            <w:tcW w:w="18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61,076</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vMerge w:val="restart"/>
          </w:tcPr>
          <w:p>
            <w:pPr>
              <w:spacing w:after="0"/>
              <w:rPr>
                <w:sz w:val="18"/>
                <w:szCs w:val="18"/>
                <w:color w:val="auto"/>
              </w:rPr>
            </w:pPr>
          </w:p>
        </w:tc>
        <w:tc>
          <w:tcPr>
            <w:tcW w:w="3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vMerge w:val="continue"/>
          </w:tcPr>
          <w:p>
            <w:pPr>
              <w:spacing w:after="0"/>
              <w:rPr>
                <w:sz w:val="18"/>
                <w:szCs w:val="18"/>
                <w:color w:val="auto"/>
              </w:rPr>
            </w:pPr>
          </w:p>
        </w:tc>
        <w:tc>
          <w:tcPr>
            <w:tcW w:w="3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(57,000)</w:t>
            </w: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(1,259)</w:t>
            </w: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(57,000)</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0" w:type="dxa"/>
            <w:vAlign w:val="bottom"/>
          </w:tcPr>
          <w:p>
            <w:pPr>
              <w:spacing w:after="0"/>
              <w:rPr>
                <w:sz w:val="19"/>
                <w:szCs w:val="19"/>
                <w:color w:val="auto"/>
              </w:rPr>
            </w:pPr>
          </w:p>
        </w:tc>
        <w:tc>
          <w:tcPr>
            <w:tcW w:w="3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(6,727)</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(148)</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(6,727)</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(148)</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00" w:type="dxa"/>
            <w:vAlign w:val="bottom"/>
          </w:tcPr>
          <w:p>
            <w:pPr>
              <w:spacing w:after="0"/>
              <w:rPr>
                <w:sz w:val="18"/>
                <w:szCs w:val="18"/>
                <w:color w:val="auto"/>
              </w:rPr>
            </w:pPr>
          </w:p>
        </w:tc>
        <w:tc>
          <w:tcPr>
            <w:tcW w:w="3100" w:type="dxa"/>
            <w:vAlign w:val="bottom"/>
          </w:tcPr>
          <w:p>
            <w:pPr>
              <w:spacing w:after="0"/>
              <w:rPr>
                <w:sz w:val="20"/>
                <w:szCs w:val="20"/>
                <w:color w:val="auto"/>
              </w:rPr>
            </w:pPr>
            <w:r>
              <w:rPr>
                <w:rFonts w:ascii="Arial" w:cs="Arial" w:eastAsia="Arial" w:hAnsi="Arial"/>
                <w:sz w:val="18"/>
                <w:szCs w:val="18"/>
                <w:b w:val="1"/>
                <w:bCs w:val="1"/>
                <w:color w:val="auto"/>
              </w:rPr>
              <w:t>Outstanding at December 31, 2019</w:t>
            </w: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689,367</w:t>
            </w:r>
          </w:p>
        </w:tc>
        <w:tc>
          <w:tcPr>
            <w:tcW w:w="22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18,711</w:t>
            </w:r>
          </w:p>
        </w:tc>
        <w:tc>
          <w:tcPr>
            <w:tcW w:w="22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1,370,054</w:t>
            </w:r>
          </w:p>
        </w:tc>
        <w:tc>
          <w:tcPr>
            <w:tcW w:w="22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30,250</w:t>
            </w:r>
          </w:p>
        </w:tc>
        <w:tc>
          <w:tcPr>
            <w:tcW w:w="180" w:type="dxa"/>
            <w:vAlign w:val="bottom"/>
          </w:tcPr>
          <w:p>
            <w:pPr>
              <w:spacing w:after="0"/>
              <w:rPr>
                <w:sz w:val="18"/>
                <w:szCs w:val="18"/>
                <w:color w:val="auto"/>
              </w:rPr>
            </w:pP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2,377,561</w:t>
            </w:r>
          </w:p>
        </w:tc>
        <w:tc>
          <w:tcPr>
            <w:tcW w:w="180" w:type="dxa"/>
            <w:vAlign w:val="bottom"/>
          </w:tcPr>
          <w:p>
            <w:pPr>
              <w:spacing w:after="0"/>
              <w:rPr>
                <w:sz w:val="18"/>
                <w:szCs w:val="18"/>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59,669</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vMerge w:val="restart"/>
          </w:tcPr>
          <w:p>
            <w:pPr>
              <w:spacing w:after="0"/>
              <w:rPr>
                <w:sz w:val="18"/>
                <w:szCs w:val="18"/>
                <w:color w:val="auto"/>
              </w:rPr>
            </w:pPr>
          </w:p>
        </w:tc>
        <w:tc>
          <w:tcPr>
            <w:tcW w:w="31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0" w:type="dxa"/>
            <w:vAlign w:val="bottom"/>
            <w:vMerge w:val="continue"/>
          </w:tcPr>
          <w:p>
            <w:pPr>
              <w:spacing w:after="0"/>
              <w:rPr>
                <w:sz w:val="18"/>
                <w:szCs w:val="18"/>
                <w:color w:val="auto"/>
              </w:rPr>
            </w:pPr>
          </w:p>
        </w:tc>
        <w:tc>
          <w:tcPr>
            <w:tcW w:w="3100" w:type="dxa"/>
            <w:vAlign w:val="bottom"/>
          </w:tcPr>
          <w:p>
            <w:pPr>
              <w:spacing w:after="0"/>
              <w:rPr>
                <w:sz w:val="20"/>
                <w:szCs w:val="20"/>
                <w:color w:val="auto"/>
              </w:rPr>
            </w:pPr>
            <w:r>
              <w:rPr>
                <w:rFonts w:ascii="Arial" w:cs="Arial" w:eastAsia="Arial" w:hAnsi="Arial"/>
                <w:sz w:val="18"/>
                <w:szCs w:val="18"/>
                <w:color w:val="auto"/>
              </w:rPr>
              <w:t>Restricted stock issued - directors</w:t>
            </w:r>
          </w:p>
        </w:tc>
        <w:tc>
          <w:tcPr>
            <w:tcW w:w="9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(63,000)</w:t>
            </w:r>
          </w:p>
        </w:tc>
        <w:tc>
          <w:tcPr>
            <w:tcW w:w="920" w:type="dxa"/>
            <w:vAlign w:val="bottom"/>
            <w:gridSpan w:val="2"/>
          </w:tcPr>
          <w:p>
            <w:pPr>
              <w:jc w:val="right"/>
              <w:ind w:right="120"/>
              <w:spacing w:after="0"/>
              <w:rPr>
                <w:sz w:val="20"/>
                <w:szCs w:val="20"/>
                <w:color w:val="auto"/>
              </w:rPr>
            </w:pPr>
            <w:r>
              <w:rPr>
                <w:rFonts w:ascii="Arial" w:cs="Arial" w:eastAsia="Arial" w:hAnsi="Arial"/>
                <w:sz w:val="18"/>
                <w:szCs w:val="18"/>
                <w:color w:val="auto"/>
              </w:rPr>
              <w:t>(1,391)</w:t>
            </w:r>
          </w:p>
        </w:tc>
        <w:tc>
          <w:tcPr>
            <w:tcW w:w="940" w:type="dxa"/>
            <w:vAlign w:val="bottom"/>
            <w:gridSpan w:val="2"/>
          </w:tcPr>
          <w:p>
            <w:pPr>
              <w:jc w:val="right"/>
              <w:ind w:right="120"/>
              <w:spacing w:after="0"/>
              <w:rPr>
                <w:sz w:val="20"/>
                <w:szCs w:val="20"/>
                <w:color w:val="auto"/>
              </w:rPr>
            </w:pPr>
            <w:r>
              <w:rPr>
                <w:rFonts w:ascii="Arial" w:cs="Arial" w:eastAsia="Arial" w:hAnsi="Arial"/>
                <w:sz w:val="18"/>
                <w:szCs w:val="18"/>
                <w:color w:val="auto"/>
              </w:rPr>
              <w:t>(63,000)</w:t>
            </w:r>
          </w:p>
        </w:tc>
        <w:tc>
          <w:tcPr>
            <w:tcW w:w="840" w:type="dxa"/>
            <w:vAlign w:val="bottom"/>
            <w:gridSpan w:val="2"/>
          </w:tcPr>
          <w:p>
            <w:pPr>
              <w:jc w:val="right"/>
              <w:ind w:right="40"/>
              <w:spacing w:after="0"/>
              <w:rPr>
                <w:sz w:val="20"/>
                <w:szCs w:val="20"/>
                <w:color w:val="auto"/>
              </w:rPr>
            </w:pPr>
            <w:r>
              <w:rPr>
                <w:rFonts w:ascii="Arial" w:cs="Arial" w:eastAsia="Arial" w:hAnsi="Arial"/>
                <w:sz w:val="18"/>
                <w:szCs w:val="18"/>
                <w:color w:val="auto"/>
              </w:rPr>
              <w:t>(1,391)</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0" w:type="dxa"/>
            <w:vAlign w:val="bottom"/>
          </w:tcPr>
          <w:p>
            <w:pPr>
              <w:spacing w:after="0"/>
              <w:rPr>
                <w:sz w:val="19"/>
                <w:szCs w:val="19"/>
                <w:color w:val="auto"/>
              </w:rPr>
            </w:pPr>
          </w:p>
        </w:tc>
        <w:tc>
          <w:tcPr>
            <w:tcW w:w="3100" w:type="dxa"/>
            <w:vAlign w:val="bottom"/>
            <w:shd w:val="clear" w:color="auto" w:fill="CCEEFF"/>
          </w:tcPr>
          <w:p>
            <w:pPr>
              <w:spacing w:after="0"/>
              <w:rPr>
                <w:sz w:val="20"/>
                <w:szCs w:val="20"/>
                <w:color w:val="auto"/>
              </w:rPr>
            </w:pPr>
            <w:r>
              <w:rPr>
                <w:rFonts w:ascii="Arial" w:cs="Arial" w:eastAsia="Arial" w:hAnsi="Arial"/>
                <w:sz w:val="18"/>
                <w:szCs w:val="18"/>
                <w:color w:val="auto"/>
              </w:rPr>
              <w:t>Restricted stock units - vested</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(12,664)</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(279)</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(12,664)</w:t>
            </w: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(279)</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00" w:type="dxa"/>
            <w:vAlign w:val="bottom"/>
          </w:tcPr>
          <w:p>
            <w:pPr>
              <w:spacing w:after="0"/>
              <w:rPr>
                <w:sz w:val="19"/>
                <w:szCs w:val="19"/>
                <w:color w:val="auto"/>
              </w:rPr>
            </w:pPr>
          </w:p>
        </w:tc>
        <w:tc>
          <w:tcPr>
            <w:tcW w:w="3100" w:type="dxa"/>
            <w:vAlign w:val="bottom"/>
          </w:tcPr>
          <w:p>
            <w:pPr>
              <w:spacing w:after="0"/>
              <w:rPr>
                <w:sz w:val="20"/>
                <w:szCs w:val="20"/>
                <w:color w:val="auto"/>
              </w:rPr>
            </w:pPr>
            <w:r>
              <w:rPr>
                <w:rFonts w:ascii="Arial" w:cs="Arial" w:eastAsia="Arial" w:hAnsi="Arial"/>
                <w:sz w:val="18"/>
                <w:szCs w:val="18"/>
                <w:b w:val="1"/>
                <w:bCs w:val="1"/>
                <w:color w:val="auto"/>
              </w:rPr>
              <w:t>Outstanding at December 31, 2020</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689,367</w:t>
            </w:r>
          </w:p>
        </w:tc>
        <w:tc>
          <w:tcPr>
            <w:tcW w:w="22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18,711</w:t>
            </w:r>
          </w:p>
        </w:tc>
        <w:tc>
          <w:tcPr>
            <w:tcW w:w="22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1,294,390</w:t>
            </w:r>
          </w:p>
        </w:tc>
        <w:tc>
          <w:tcPr>
            <w:tcW w:w="22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28,580</w:t>
            </w:r>
          </w:p>
        </w:tc>
        <w:tc>
          <w:tcPr>
            <w:tcW w:w="180" w:type="dxa"/>
            <w:vAlign w:val="bottom"/>
          </w:tcPr>
          <w:p>
            <w:pPr>
              <w:spacing w:after="0"/>
              <w:rPr>
                <w:sz w:val="19"/>
                <w:szCs w:val="19"/>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2,301,897</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57,999</w:t>
            </w: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0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gridSpan w:val="2"/>
          </w:tcPr>
          <w:p>
            <w:pPr>
              <w:ind w:left="60"/>
              <w:spacing w:after="0"/>
              <w:rPr>
                <w:sz w:val="20"/>
                <w:szCs w:val="20"/>
                <w:color w:val="auto"/>
              </w:rPr>
            </w:pPr>
            <w:r>
              <w:rPr>
                <w:rFonts w:ascii="Arial" w:cs="Arial" w:eastAsia="Arial" w:hAnsi="Arial"/>
                <w:sz w:val="18"/>
                <w:szCs w:val="18"/>
                <w:color w:val="auto"/>
              </w:rPr>
              <w:t>F-108</w:t>
            </w: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44" w:name="page245"/>
    <w:bookmarkEnd w:id="2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77"/>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other comprehensive income (loss) relating to financial instruments at FVOCI, derivative financial instruments, and foreign currency translation is as follows:</w:t>
      </w:r>
    </w:p>
    <w:p>
      <w:pPr>
        <w:spacing w:after="0" w:line="166" w:lineRule="exact"/>
        <w:rPr>
          <w:sz w:val="20"/>
          <w:szCs w:val="20"/>
          <w:color w:val="auto"/>
        </w:rPr>
      </w:pPr>
    </w:p>
    <w:tbl>
      <w:tblPr>
        <w:tblLayout w:type="fixed"/>
        <w:tblInd w:w="300" w:type="dxa"/>
        <w:tblCellMar>
          <w:top w:w="0" w:type="dxa"/>
          <w:left w:w="0" w:type="dxa"/>
          <w:bottom w:w="0" w:type="dxa"/>
          <w:right w:w="0" w:type="dxa"/>
        </w:tblCellMar>
      </w:tblPr>
      <w:tr>
        <w:trPr>
          <w:trHeight w:val="216"/>
        </w:trPr>
        <w:tc>
          <w:tcPr>
            <w:tcW w:w="49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4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Foreign</w:t>
            </w: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4980" w:type="dxa"/>
            <w:vAlign w:val="bottom"/>
          </w:tcPr>
          <w:p>
            <w:pPr>
              <w:spacing w:after="0"/>
              <w:rPr>
                <w:sz w:val="18"/>
                <w:szCs w:val="18"/>
                <w:color w:val="auto"/>
              </w:rPr>
            </w:pPr>
          </w:p>
        </w:tc>
        <w:tc>
          <w:tcPr>
            <w:tcW w:w="1420" w:type="dxa"/>
            <w:vAlign w:val="bottom"/>
            <w:gridSpan w:val="2"/>
          </w:tcPr>
          <w:p>
            <w:pPr>
              <w:jc w:val="right"/>
              <w:ind w:right="381"/>
              <w:spacing w:after="0"/>
              <w:rPr>
                <w:sz w:val="20"/>
                <w:szCs w:val="20"/>
                <w:color w:val="auto"/>
              </w:rPr>
            </w:pPr>
            <w:r>
              <w:rPr>
                <w:rFonts w:ascii="Arial" w:cs="Arial" w:eastAsia="Arial" w:hAnsi="Arial"/>
                <w:sz w:val="18"/>
                <w:szCs w:val="18"/>
                <w:b w:val="1"/>
                <w:bCs w:val="1"/>
                <w:color w:val="auto"/>
              </w:rPr>
              <w:t>Financial</w:t>
            </w:r>
          </w:p>
        </w:tc>
        <w:tc>
          <w:tcPr>
            <w:tcW w:w="1420" w:type="dxa"/>
            <w:vAlign w:val="bottom"/>
            <w:gridSpan w:val="2"/>
          </w:tcPr>
          <w:p>
            <w:pPr>
              <w:jc w:val="right"/>
              <w:ind w:right="361"/>
              <w:spacing w:after="0"/>
              <w:rPr>
                <w:sz w:val="20"/>
                <w:szCs w:val="20"/>
                <w:color w:val="auto"/>
              </w:rPr>
            </w:pPr>
            <w:r>
              <w:rPr>
                <w:rFonts w:ascii="Arial" w:cs="Arial" w:eastAsia="Arial" w:hAnsi="Arial"/>
                <w:sz w:val="18"/>
                <w:szCs w:val="18"/>
                <w:b w:val="1"/>
                <w:bCs w:val="1"/>
                <w:color w:val="auto"/>
              </w:rPr>
              <w:t>Financial</w:t>
            </w:r>
          </w:p>
        </w:tc>
        <w:tc>
          <w:tcPr>
            <w:tcW w:w="144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9"/>
              </w:rPr>
              <w:t>currency</w:t>
            </w: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4980" w:type="dxa"/>
            <w:vAlign w:val="bottom"/>
          </w:tcPr>
          <w:p>
            <w:pPr>
              <w:spacing w:after="0"/>
              <w:rPr>
                <w:sz w:val="18"/>
                <w:szCs w:val="18"/>
                <w:color w:val="auto"/>
              </w:rPr>
            </w:pPr>
          </w:p>
        </w:tc>
        <w:tc>
          <w:tcPr>
            <w:tcW w:w="1420" w:type="dxa"/>
            <w:vAlign w:val="bottom"/>
            <w:gridSpan w:val="2"/>
          </w:tcPr>
          <w:p>
            <w:pPr>
              <w:jc w:val="right"/>
              <w:ind w:right="301"/>
              <w:spacing w:after="0"/>
              <w:rPr>
                <w:sz w:val="20"/>
                <w:szCs w:val="20"/>
                <w:color w:val="auto"/>
              </w:rPr>
            </w:pPr>
            <w:r>
              <w:rPr>
                <w:rFonts w:ascii="Arial" w:cs="Arial" w:eastAsia="Arial" w:hAnsi="Arial"/>
                <w:sz w:val="18"/>
                <w:szCs w:val="18"/>
                <w:b w:val="1"/>
                <w:bCs w:val="1"/>
                <w:color w:val="auto"/>
                <w:w w:val="98"/>
              </w:rPr>
              <w:t>instruments</w:t>
            </w:r>
          </w:p>
        </w:tc>
        <w:tc>
          <w:tcPr>
            <w:tcW w:w="1420" w:type="dxa"/>
            <w:vAlign w:val="bottom"/>
            <w:gridSpan w:val="2"/>
          </w:tcPr>
          <w:p>
            <w:pPr>
              <w:jc w:val="right"/>
              <w:ind w:right="281"/>
              <w:spacing w:after="0"/>
              <w:rPr>
                <w:sz w:val="20"/>
                <w:szCs w:val="20"/>
                <w:color w:val="auto"/>
              </w:rPr>
            </w:pPr>
            <w:r>
              <w:rPr>
                <w:rFonts w:ascii="Arial" w:cs="Arial" w:eastAsia="Arial" w:hAnsi="Arial"/>
                <w:sz w:val="18"/>
                <w:szCs w:val="18"/>
                <w:b w:val="1"/>
                <w:bCs w:val="1"/>
                <w:color w:val="auto"/>
              </w:rPr>
              <w:t>Instruments</w:t>
            </w:r>
          </w:p>
        </w:tc>
        <w:tc>
          <w:tcPr>
            <w:tcW w:w="144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1"/>
              </w:rPr>
              <w:t>translation</w:t>
            </w:r>
          </w:p>
        </w:tc>
        <w:tc>
          <w:tcPr>
            <w:tcW w:w="12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34"/>
        </w:trPr>
        <w:tc>
          <w:tcPr>
            <w:tcW w:w="4980" w:type="dxa"/>
            <w:vAlign w:val="bottom"/>
          </w:tcPr>
          <w:p>
            <w:pPr>
              <w:spacing w:after="0"/>
              <w:rPr>
                <w:sz w:val="20"/>
                <w:szCs w:val="20"/>
                <w:color w:val="auto"/>
              </w:rPr>
            </w:pPr>
          </w:p>
        </w:tc>
        <w:tc>
          <w:tcPr>
            <w:tcW w:w="1420" w:type="dxa"/>
            <w:vAlign w:val="bottom"/>
            <w:gridSpan w:val="2"/>
          </w:tcPr>
          <w:p>
            <w:pPr>
              <w:jc w:val="right"/>
              <w:ind w:right="541"/>
              <w:spacing w:after="0"/>
              <w:rPr>
                <w:sz w:val="20"/>
                <w:szCs w:val="20"/>
                <w:color w:val="auto"/>
              </w:rPr>
            </w:pPr>
            <w:r>
              <w:rPr>
                <w:rFonts w:ascii="Arial" w:cs="Arial" w:eastAsia="Arial" w:hAnsi="Arial"/>
                <w:sz w:val="18"/>
                <w:szCs w:val="18"/>
                <w:b w:val="1"/>
                <w:bCs w:val="1"/>
                <w:color w:val="auto"/>
              </w:rPr>
              <w:t>FVH</w:t>
            </w:r>
          </w:p>
        </w:tc>
        <w:tc>
          <w:tcPr>
            <w:tcW w:w="1420" w:type="dxa"/>
            <w:vAlign w:val="bottom"/>
            <w:gridSpan w:val="2"/>
          </w:tcPr>
          <w:p>
            <w:pPr>
              <w:jc w:val="right"/>
              <w:ind w:right="541"/>
              <w:spacing w:after="0"/>
              <w:rPr>
                <w:sz w:val="20"/>
                <w:szCs w:val="20"/>
                <w:color w:val="auto"/>
              </w:rPr>
            </w:pPr>
            <w:r>
              <w:rPr>
                <w:rFonts w:ascii="Arial" w:cs="Arial" w:eastAsia="Arial" w:hAnsi="Arial"/>
                <w:sz w:val="18"/>
                <w:szCs w:val="18"/>
                <w:b w:val="1"/>
                <w:bCs w:val="1"/>
                <w:color w:val="auto"/>
              </w:rPr>
              <w:t>CFH</w:t>
            </w:r>
          </w:p>
        </w:tc>
        <w:tc>
          <w:tcPr>
            <w:tcW w:w="1440" w:type="dxa"/>
            <w:vAlign w:val="bottom"/>
            <w:gridSpan w:val="2"/>
          </w:tcPr>
          <w:p>
            <w:pPr>
              <w:jc w:val="right"/>
              <w:ind w:right="301"/>
              <w:spacing w:after="0"/>
              <w:rPr>
                <w:sz w:val="20"/>
                <w:szCs w:val="20"/>
                <w:color w:val="auto"/>
              </w:rPr>
            </w:pPr>
            <w:r>
              <w:rPr>
                <w:rFonts w:ascii="Arial" w:cs="Arial" w:eastAsia="Arial" w:hAnsi="Arial"/>
                <w:sz w:val="18"/>
                <w:szCs w:val="18"/>
                <w:b w:val="1"/>
                <w:bCs w:val="1"/>
                <w:color w:val="auto"/>
              </w:rPr>
              <w:t>adjustment</w:t>
            </w:r>
          </w:p>
        </w:tc>
        <w:tc>
          <w:tcPr>
            <w:tcW w:w="1400" w:type="dxa"/>
            <w:vAlign w:val="bottom"/>
            <w:gridSpan w:val="2"/>
          </w:tcPr>
          <w:p>
            <w:pPr>
              <w:jc w:val="right"/>
              <w:ind w:right="481"/>
              <w:spacing w:after="0"/>
              <w:rPr>
                <w:sz w:val="20"/>
                <w:szCs w:val="20"/>
                <w:color w:val="auto"/>
              </w:rPr>
            </w:pPr>
            <w:r>
              <w:rPr>
                <w:rFonts w:ascii="Arial" w:cs="Arial" w:eastAsia="Arial" w:hAnsi="Arial"/>
                <w:sz w:val="18"/>
                <w:szCs w:val="18"/>
                <w:b w:val="1"/>
                <w:bCs w:val="1"/>
                <w:color w:val="auto"/>
              </w:rPr>
              <w:t>Total</w:t>
            </w:r>
          </w:p>
        </w:tc>
      </w:tr>
      <w:tr>
        <w:trPr>
          <w:trHeight w:val="209"/>
        </w:trPr>
        <w:tc>
          <w:tcPr>
            <w:tcW w:w="4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2018</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w:t>
            </w:r>
          </w:p>
        </w:tc>
        <w:tc>
          <w:tcPr>
            <w:tcW w:w="1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1,490</w:t>
            </w: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1,963</w:t>
            </w:r>
          </w:p>
        </w:tc>
        <w:tc>
          <w:tcPr>
            <w:tcW w:w="120" w:type="dxa"/>
            <w:vAlign w:val="bottom"/>
            <w:tcBorders>
              <w:top w:val="single" w:sz="8" w:color="CCEEFF"/>
            </w:tcBorders>
            <w:shd w:val="clear" w:color="auto" w:fill="CCEEFF"/>
          </w:tcPr>
          <w:p>
            <w:pPr>
              <w:spacing w:after="0"/>
              <w:rPr>
                <w:sz w:val="18"/>
                <w:szCs w:val="18"/>
                <w:color w:val="auto"/>
              </w:rPr>
            </w:pPr>
          </w:p>
        </w:tc>
      </w:tr>
      <w:tr>
        <w:trPr>
          <w:trHeight w:val="209"/>
        </w:trPr>
        <w:tc>
          <w:tcPr>
            <w:tcW w:w="498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220" w:type="dxa"/>
            <w:vAlign w:val="bottom"/>
          </w:tcPr>
          <w:p>
            <w:pPr>
              <w:jc w:val="right"/>
              <w:spacing w:after="0"/>
              <w:rPr>
                <w:sz w:val="20"/>
                <w:szCs w:val="20"/>
                <w:color w:val="auto"/>
              </w:rPr>
            </w:pPr>
            <w:r>
              <w:rPr>
                <w:rFonts w:ascii="Arial" w:cs="Arial" w:eastAsia="Arial" w:hAnsi="Arial"/>
                <w:sz w:val="18"/>
                <w:szCs w:val="18"/>
                <w:color w:val="auto"/>
              </w:rPr>
              <w:t>(174)</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2,841</w:t>
            </w:r>
          </w:p>
        </w:tc>
        <w:tc>
          <w:tcPr>
            <w:tcW w:w="18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2,667</w:t>
            </w:r>
          </w:p>
        </w:tc>
        <w:tc>
          <w:tcPr>
            <w:tcW w:w="120" w:type="dxa"/>
            <w:vAlign w:val="bottom"/>
          </w:tcPr>
          <w:p>
            <w:pPr>
              <w:spacing w:after="0"/>
              <w:rPr>
                <w:sz w:val="18"/>
                <w:szCs w:val="18"/>
                <w:color w:val="auto"/>
              </w:rPr>
            </w:pPr>
          </w:p>
        </w:tc>
      </w:tr>
      <w:tr>
        <w:trPr>
          <w:trHeight w:val="202"/>
        </w:trPr>
        <w:tc>
          <w:tcPr>
            <w:tcW w:w="4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4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4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(1,224)</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(1,224)</w:t>
            </w:r>
          </w:p>
        </w:tc>
      </w:tr>
      <w:tr>
        <w:trPr>
          <w:trHeight w:val="205"/>
        </w:trPr>
        <w:tc>
          <w:tcPr>
            <w:tcW w:w="4980" w:type="dxa"/>
            <w:vAlign w:val="bottom"/>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w:t>
            </w: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67"/>
        </w:trPr>
        <w:tc>
          <w:tcPr>
            <w:tcW w:w="4980" w:type="dxa"/>
            <w:vAlign w:val="bottom"/>
          </w:tcPr>
          <w:p>
            <w:pPr>
              <w:ind w:left="160"/>
              <w:spacing w:after="0" w:line="267" w:lineRule="exact"/>
              <w:rPr>
                <w:sz w:val="20"/>
                <w:szCs w:val="20"/>
                <w:color w:val="auto"/>
              </w:rPr>
            </w:pPr>
            <w:r>
              <w:rPr>
                <w:rFonts w:ascii="Arial" w:cs="Arial" w:eastAsia="Arial" w:hAnsi="Arial"/>
                <w:sz w:val="18"/>
                <w:szCs w:val="18"/>
                <w:color w:val="auto"/>
              </w:rPr>
              <w:t xml:space="preserve">in profit or loss </w:t>
            </w:r>
            <w:r>
              <w:rPr>
                <w:rFonts w:ascii="Arial" w:cs="Arial" w:eastAsia="Arial" w:hAnsi="Arial"/>
                <w:sz w:val="29"/>
                <w:szCs w:val="29"/>
                <w:color w:val="auto"/>
                <w:vertAlign w:val="superscript"/>
              </w:rPr>
              <w:t>(1)</w:t>
            </w:r>
          </w:p>
        </w:tc>
        <w:tc>
          <w:tcPr>
            <w:tcW w:w="1420" w:type="dxa"/>
            <w:vAlign w:val="bottom"/>
            <w:gridSpan w:val="2"/>
          </w:tcPr>
          <w:p>
            <w:pPr>
              <w:jc w:val="right"/>
              <w:ind w:right="61"/>
              <w:spacing w:after="0"/>
              <w:rPr>
                <w:sz w:val="20"/>
                <w:szCs w:val="20"/>
                <w:color w:val="auto"/>
              </w:rPr>
            </w:pPr>
            <w:r>
              <w:rPr>
                <w:rFonts w:ascii="Arial" w:cs="Arial" w:eastAsia="Arial" w:hAnsi="Arial"/>
                <w:sz w:val="18"/>
                <w:szCs w:val="18"/>
                <w:color w:val="auto"/>
              </w:rPr>
              <w:t>(170)</w:t>
            </w:r>
          </w:p>
        </w:tc>
        <w:tc>
          <w:tcPr>
            <w:tcW w:w="1420" w:type="dxa"/>
            <w:vAlign w:val="bottom"/>
            <w:gridSpan w:val="2"/>
          </w:tcPr>
          <w:p>
            <w:pPr>
              <w:jc w:val="right"/>
              <w:ind w:right="41"/>
              <w:spacing w:after="0"/>
              <w:rPr>
                <w:sz w:val="20"/>
                <w:szCs w:val="20"/>
                <w:color w:val="auto"/>
              </w:rPr>
            </w:pPr>
            <w:r>
              <w:rPr>
                <w:rFonts w:ascii="Arial" w:cs="Arial" w:eastAsia="Arial" w:hAnsi="Arial"/>
                <w:sz w:val="18"/>
                <w:szCs w:val="18"/>
                <w:color w:val="auto"/>
              </w:rPr>
              <w:t>(1,534)</w:t>
            </w:r>
          </w:p>
        </w:tc>
        <w:tc>
          <w:tcPr>
            <w:tcW w:w="144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(1,704)</w:t>
            </w:r>
          </w:p>
        </w:tc>
      </w:tr>
      <w:tr>
        <w:trPr>
          <w:trHeight w:val="229"/>
        </w:trPr>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w w:val="97"/>
              </w:rPr>
              <w:t>Exchange difference in conversion of foreign operating currency</w:t>
            </w:r>
          </w:p>
        </w:tc>
        <w:tc>
          <w:tcPr>
            <w:tcW w:w="14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(1,282)</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(1,282)</w:t>
            </w:r>
          </w:p>
        </w:tc>
      </w:tr>
      <w:tr>
        <w:trPr>
          <w:trHeight w:val="209"/>
        </w:trPr>
        <w:tc>
          <w:tcPr>
            <w:tcW w:w="4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year</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(1,568</w:t>
            </w:r>
          </w:p>
        </w:tc>
        <w:tc>
          <w:tcPr>
            <w:tcW w:w="200" w:type="dxa"/>
            <w:vAlign w:val="bottom"/>
            <w:tcBorders>
              <w:bottom w:val="single" w:sz="8" w:color="CCEEFF"/>
            </w:tcBorders>
          </w:tcPr>
          <w:p>
            <w:pPr>
              <w:jc w:val="right"/>
              <w:ind w:right="61"/>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1,307</w:t>
            </w:r>
          </w:p>
        </w:tc>
        <w:tc>
          <w:tcPr>
            <w:tcW w:w="1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(1,282</w:t>
            </w:r>
          </w:p>
        </w:tc>
        <w:tc>
          <w:tcPr>
            <w:tcW w:w="180" w:type="dxa"/>
            <w:vAlign w:val="bottom"/>
            <w:tcBorders>
              <w:bottom w:val="single" w:sz="8" w:color="CCEEFF"/>
            </w:tcBorders>
          </w:tcPr>
          <w:p>
            <w:pPr>
              <w:jc w:val="right"/>
              <w:ind w:right="41"/>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(1,543</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4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2018</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(1,265)</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1,477</w:t>
            </w: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208</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420</w:t>
            </w:r>
          </w:p>
        </w:tc>
        <w:tc>
          <w:tcPr>
            <w:tcW w:w="120" w:type="dxa"/>
            <w:vAlign w:val="bottom"/>
            <w:shd w:val="clear" w:color="auto" w:fill="CCEEFF"/>
          </w:tcPr>
          <w:p>
            <w:pPr>
              <w:spacing w:after="0"/>
              <w:rPr>
                <w:sz w:val="18"/>
                <w:szCs w:val="18"/>
                <w:color w:val="auto"/>
              </w:rPr>
            </w:pPr>
          </w:p>
        </w:tc>
      </w:tr>
      <w:tr>
        <w:trPr>
          <w:trHeight w:val="216"/>
        </w:trPr>
        <w:tc>
          <w:tcPr>
            <w:tcW w:w="498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420" w:type="dxa"/>
            <w:vAlign w:val="bottom"/>
            <w:gridSpan w:val="2"/>
          </w:tcPr>
          <w:p>
            <w:pPr>
              <w:jc w:val="right"/>
              <w:ind w:right="121"/>
              <w:spacing w:after="0"/>
              <w:rPr>
                <w:sz w:val="20"/>
                <w:szCs w:val="20"/>
                <w:color w:val="auto"/>
              </w:rPr>
            </w:pPr>
            <w:r>
              <w:rPr>
                <w:rFonts w:ascii="Arial" w:cs="Arial" w:eastAsia="Arial" w:hAnsi="Arial"/>
                <w:sz w:val="18"/>
                <w:szCs w:val="18"/>
                <w:color w:val="auto"/>
              </w:rPr>
              <w:t>4</w:t>
            </w:r>
          </w:p>
        </w:tc>
        <w:tc>
          <w:tcPr>
            <w:tcW w:w="1420" w:type="dxa"/>
            <w:vAlign w:val="bottom"/>
            <w:gridSpan w:val="2"/>
          </w:tcPr>
          <w:p>
            <w:pPr>
              <w:jc w:val="right"/>
              <w:ind w:right="41"/>
              <w:spacing w:after="0"/>
              <w:rPr>
                <w:sz w:val="20"/>
                <w:szCs w:val="20"/>
                <w:color w:val="auto"/>
              </w:rPr>
            </w:pPr>
            <w:r>
              <w:rPr>
                <w:rFonts w:ascii="Arial" w:cs="Arial" w:eastAsia="Arial" w:hAnsi="Arial"/>
                <w:sz w:val="18"/>
                <w:szCs w:val="18"/>
                <w:color w:val="auto"/>
              </w:rPr>
              <w:t>(2,698)</w:t>
            </w:r>
          </w:p>
        </w:tc>
        <w:tc>
          <w:tcPr>
            <w:tcW w:w="144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(2,694)</w:t>
            </w:r>
          </w:p>
        </w:tc>
      </w:tr>
      <w:tr>
        <w:trPr>
          <w:trHeight w:val="202"/>
        </w:trPr>
        <w:tc>
          <w:tcPr>
            <w:tcW w:w="4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4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4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491</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491</w:t>
            </w:r>
          </w:p>
        </w:tc>
      </w:tr>
      <w:tr>
        <w:trPr>
          <w:trHeight w:val="205"/>
        </w:trPr>
        <w:tc>
          <w:tcPr>
            <w:tcW w:w="4980" w:type="dxa"/>
            <w:vAlign w:val="bottom"/>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w:t>
            </w: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67"/>
        </w:trPr>
        <w:tc>
          <w:tcPr>
            <w:tcW w:w="4980" w:type="dxa"/>
            <w:vAlign w:val="bottom"/>
          </w:tcPr>
          <w:p>
            <w:pPr>
              <w:ind w:left="160"/>
              <w:spacing w:after="0" w:line="267" w:lineRule="exact"/>
              <w:rPr>
                <w:sz w:val="20"/>
                <w:szCs w:val="20"/>
                <w:color w:val="auto"/>
              </w:rPr>
            </w:pPr>
            <w:r>
              <w:rPr>
                <w:rFonts w:ascii="Arial" w:cs="Arial" w:eastAsia="Arial" w:hAnsi="Arial"/>
                <w:sz w:val="18"/>
                <w:szCs w:val="18"/>
                <w:color w:val="auto"/>
              </w:rPr>
              <w:t xml:space="preserve">in profit or loss </w:t>
            </w:r>
            <w:r>
              <w:rPr>
                <w:rFonts w:ascii="Arial" w:cs="Arial" w:eastAsia="Arial" w:hAnsi="Arial"/>
                <w:sz w:val="29"/>
                <w:szCs w:val="29"/>
                <w:color w:val="auto"/>
                <w:vertAlign w:val="superscript"/>
              </w:rPr>
              <w:t>(1)</w:t>
            </w:r>
          </w:p>
        </w:tc>
        <w:tc>
          <w:tcPr>
            <w:tcW w:w="1420" w:type="dxa"/>
            <w:vAlign w:val="bottom"/>
            <w:gridSpan w:val="2"/>
          </w:tcPr>
          <w:p>
            <w:pPr>
              <w:jc w:val="right"/>
              <w:ind w:right="121"/>
              <w:spacing w:after="0"/>
              <w:rPr>
                <w:sz w:val="20"/>
                <w:szCs w:val="20"/>
                <w:color w:val="auto"/>
              </w:rPr>
            </w:pPr>
            <w:r>
              <w:rPr>
                <w:rFonts w:ascii="Arial" w:cs="Arial" w:eastAsia="Arial" w:hAnsi="Arial"/>
                <w:sz w:val="18"/>
                <w:szCs w:val="18"/>
                <w:color w:val="auto"/>
              </w:rPr>
              <w:t>157</w:t>
            </w:r>
          </w:p>
        </w:tc>
        <w:tc>
          <w:tcPr>
            <w:tcW w:w="1420" w:type="dxa"/>
            <w:vAlign w:val="bottom"/>
            <w:gridSpan w:val="2"/>
          </w:tcPr>
          <w:p>
            <w:pPr>
              <w:jc w:val="right"/>
              <w:ind w:right="101"/>
              <w:spacing w:after="0"/>
              <w:rPr>
                <w:sz w:val="20"/>
                <w:szCs w:val="20"/>
                <w:color w:val="auto"/>
              </w:rPr>
            </w:pPr>
            <w:r>
              <w:rPr>
                <w:rFonts w:ascii="Arial" w:cs="Arial" w:eastAsia="Arial" w:hAnsi="Arial"/>
                <w:sz w:val="18"/>
                <w:szCs w:val="18"/>
                <w:color w:val="auto"/>
              </w:rPr>
              <w:t>104</w:t>
            </w:r>
          </w:p>
        </w:tc>
        <w:tc>
          <w:tcPr>
            <w:tcW w:w="144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261</w:t>
            </w:r>
          </w:p>
        </w:tc>
      </w:tr>
      <w:tr>
        <w:trPr>
          <w:trHeight w:val="229"/>
        </w:trPr>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w w:val="97"/>
              </w:rPr>
              <w:t>Exchange difference in conversion of foreign operating currency</w:t>
            </w:r>
          </w:p>
        </w:tc>
        <w:tc>
          <w:tcPr>
            <w:tcW w:w="14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(296)</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(296)</w:t>
            </w:r>
          </w:p>
        </w:tc>
      </w:tr>
      <w:tr>
        <w:trPr>
          <w:trHeight w:val="210"/>
        </w:trPr>
        <w:tc>
          <w:tcPr>
            <w:tcW w:w="4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year</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652</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(2,594</w:t>
            </w:r>
          </w:p>
        </w:tc>
        <w:tc>
          <w:tcPr>
            <w:tcW w:w="180" w:type="dxa"/>
            <w:vAlign w:val="bottom"/>
            <w:tcBorders>
              <w:bottom w:val="single" w:sz="8" w:color="CCEEFF"/>
            </w:tcBorders>
          </w:tcPr>
          <w:p>
            <w:pPr>
              <w:jc w:val="right"/>
              <w:ind w:right="41"/>
              <w:spacing w:after="0"/>
              <w:rPr>
                <w:sz w:val="20"/>
                <w:szCs w:val="20"/>
                <w:color w:val="auto"/>
              </w:rPr>
            </w:pPr>
            <w:r>
              <w:rPr>
                <w:rFonts w:ascii="Arial" w:cs="Arial" w:eastAsia="Arial" w:hAnsi="Arial"/>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(296</w:t>
            </w:r>
          </w:p>
        </w:tc>
        <w:tc>
          <w:tcPr>
            <w:tcW w:w="180" w:type="dxa"/>
            <w:vAlign w:val="bottom"/>
            <w:tcBorders>
              <w:bottom w:val="single" w:sz="8" w:color="CCEEFF"/>
            </w:tcBorders>
          </w:tcPr>
          <w:p>
            <w:pPr>
              <w:jc w:val="right"/>
              <w:ind w:right="41"/>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(2,238</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4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2019</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(613)</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(1,117)</w:t>
            </w: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(88)</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(1,818)</w:t>
            </w:r>
          </w:p>
        </w:tc>
        <w:tc>
          <w:tcPr>
            <w:tcW w:w="120" w:type="dxa"/>
            <w:vAlign w:val="bottom"/>
            <w:shd w:val="clear" w:color="auto" w:fill="CCEEFF"/>
          </w:tcPr>
          <w:p>
            <w:pPr>
              <w:spacing w:after="0"/>
              <w:rPr>
                <w:sz w:val="18"/>
                <w:szCs w:val="18"/>
                <w:color w:val="auto"/>
              </w:rPr>
            </w:pPr>
          </w:p>
        </w:tc>
      </w:tr>
      <w:tr>
        <w:trPr>
          <w:trHeight w:val="216"/>
        </w:trPr>
        <w:tc>
          <w:tcPr>
            <w:tcW w:w="4980" w:type="dxa"/>
            <w:vAlign w:val="bottom"/>
          </w:tcPr>
          <w:p>
            <w:pPr>
              <w:spacing w:after="0"/>
              <w:rPr>
                <w:sz w:val="20"/>
                <w:szCs w:val="20"/>
                <w:color w:val="auto"/>
              </w:rPr>
            </w:pPr>
            <w:r>
              <w:rPr>
                <w:rFonts w:ascii="Arial" w:cs="Arial" w:eastAsia="Arial" w:hAnsi="Arial"/>
                <w:sz w:val="18"/>
                <w:szCs w:val="18"/>
                <w:color w:val="auto"/>
              </w:rPr>
              <w:t>Change in fair value of debt instruments, net of hedging</w:t>
            </w:r>
          </w:p>
        </w:tc>
        <w:tc>
          <w:tcPr>
            <w:tcW w:w="1420" w:type="dxa"/>
            <w:vAlign w:val="bottom"/>
            <w:gridSpan w:val="2"/>
          </w:tcPr>
          <w:p>
            <w:pPr>
              <w:jc w:val="right"/>
              <w:ind w:right="121"/>
              <w:spacing w:after="0"/>
              <w:rPr>
                <w:sz w:val="20"/>
                <w:szCs w:val="20"/>
                <w:color w:val="auto"/>
              </w:rPr>
            </w:pPr>
            <w:r>
              <w:rPr>
                <w:rFonts w:ascii="Arial" w:cs="Arial" w:eastAsia="Arial" w:hAnsi="Arial"/>
                <w:sz w:val="18"/>
                <w:szCs w:val="18"/>
                <w:color w:val="auto"/>
              </w:rPr>
              <w:t>264</w:t>
            </w:r>
          </w:p>
        </w:tc>
        <w:tc>
          <w:tcPr>
            <w:tcW w:w="1420" w:type="dxa"/>
            <w:vAlign w:val="bottom"/>
            <w:gridSpan w:val="2"/>
          </w:tcPr>
          <w:p>
            <w:pPr>
              <w:jc w:val="right"/>
              <w:ind w:right="101"/>
              <w:spacing w:after="0"/>
              <w:rPr>
                <w:sz w:val="20"/>
                <w:szCs w:val="20"/>
                <w:color w:val="auto"/>
              </w:rPr>
            </w:pPr>
            <w:r>
              <w:rPr>
                <w:rFonts w:ascii="Arial" w:cs="Arial" w:eastAsia="Arial" w:hAnsi="Arial"/>
                <w:sz w:val="18"/>
                <w:szCs w:val="18"/>
                <w:color w:val="auto"/>
              </w:rPr>
              <w:t>2,001</w:t>
            </w:r>
          </w:p>
        </w:tc>
        <w:tc>
          <w:tcPr>
            <w:tcW w:w="144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41"/>
              <w:spacing w:after="0"/>
              <w:rPr>
                <w:sz w:val="20"/>
                <w:szCs w:val="20"/>
                <w:color w:val="auto"/>
              </w:rPr>
            </w:pPr>
            <w:r>
              <w:rPr>
                <w:rFonts w:ascii="Arial" w:cs="Arial" w:eastAsia="Arial" w:hAnsi="Arial"/>
                <w:sz w:val="18"/>
                <w:szCs w:val="18"/>
                <w:color w:val="auto"/>
              </w:rPr>
              <w:t>2,265</w:t>
            </w:r>
          </w:p>
        </w:tc>
      </w:tr>
      <w:tr>
        <w:trPr>
          <w:trHeight w:val="202"/>
        </w:trPr>
        <w:tc>
          <w:tcPr>
            <w:tcW w:w="49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Change in fair value of equity instruments at FVOCI, net of</w:t>
            </w:r>
          </w:p>
        </w:tc>
        <w:tc>
          <w:tcPr>
            <w:tcW w:w="12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4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4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546</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546</w:t>
            </w:r>
          </w:p>
        </w:tc>
      </w:tr>
      <w:tr>
        <w:trPr>
          <w:trHeight w:val="205"/>
        </w:trPr>
        <w:tc>
          <w:tcPr>
            <w:tcW w:w="4980" w:type="dxa"/>
            <w:vAlign w:val="bottom"/>
          </w:tcPr>
          <w:p>
            <w:pPr>
              <w:spacing w:after="0" w:line="206" w:lineRule="exact"/>
              <w:rPr>
                <w:sz w:val="20"/>
                <w:szCs w:val="20"/>
                <w:color w:val="auto"/>
              </w:rPr>
            </w:pPr>
            <w:r>
              <w:rPr>
                <w:rFonts w:ascii="Arial" w:cs="Arial" w:eastAsia="Arial" w:hAnsi="Arial"/>
                <w:sz w:val="18"/>
                <w:szCs w:val="18"/>
                <w:color w:val="auto"/>
                <w:w w:val="94"/>
              </w:rPr>
              <w:t>Reclassification of gains (losses) on financial instruments included</w:t>
            </w:r>
          </w:p>
        </w:tc>
        <w:tc>
          <w:tcPr>
            <w:tcW w:w="1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67"/>
        </w:trPr>
        <w:tc>
          <w:tcPr>
            <w:tcW w:w="4980" w:type="dxa"/>
            <w:vAlign w:val="bottom"/>
          </w:tcPr>
          <w:p>
            <w:pPr>
              <w:ind w:left="160"/>
              <w:spacing w:after="0" w:line="267" w:lineRule="exact"/>
              <w:rPr>
                <w:sz w:val="20"/>
                <w:szCs w:val="20"/>
                <w:color w:val="auto"/>
              </w:rPr>
            </w:pPr>
            <w:r>
              <w:rPr>
                <w:rFonts w:ascii="Arial" w:cs="Arial" w:eastAsia="Arial" w:hAnsi="Arial"/>
                <w:sz w:val="18"/>
                <w:szCs w:val="18"/>
                <w:color w:val="auto"/>
              </w:rPr>
              <w:t xml:space="preserve">in profit or loss </w:t>
            </w:r>
            <w:r>
              <w:rPr>
                <w:rFonts w:ascii="Arial" w:cs="Arial" w:eastAsia="Arial" w:hAnsi="Arial"/>
                <w:sz w:val="29"/>
                <w:szCs w:val="29"/>
                <w:color w:val="auto"/>
                <w:vertAlign w:val="superscript"/>
              </w:rPr>
              <w:t>(1)</w:t>
            </w:r>
          </w:p>
        </w:tc>
        <w:tc>
          <w:tcPr>
            <w:tcW w:w="1420" w:type="dxa"/>
            <w:vAlign w:val="bottom"/>
            <w:gridSpan w:val="2"/>
          </w:tcPr>
          <w:p>
            <w:pPr>
              <w:jc w:val="right"/>
              <w:ind w:right="61"/>
              <w:spacing w:after="0"/>
              <w:rPr>
                <w:sz w:val="20"/>
                <w:szCs w:val="20"/>
                <w:color w:val="auto"/>
              </w:rPr>
            </w:pPr>
            <w:r>
              <w:rPr>
                <w:rFonts w:ascii="Arial" w:cs="Arial" w:eastAsia="Arial" w:hAnsi="Arial"/>
                <w:sz w:val="18"/>
                <w:szCs w:val="18"/>
                <w:color w:val="auto"/>
              </w:rPr>
              <w:t>(56)</w:t>
            </w:r>
          </w:p>
        </w:tc>
        <w:tc>
          <w:tcPr>
            <w:tcW w:w="1420" w:type="dxa"/>
            <w:vAlign w:val="bottom"/>
            <w:gridSpan w:val="2"/>
          </w:tcPr>
          <w:p>
            <w:pPr>
              <w:jc w:val="right"/>
              <w:ind w:right="41"/>
              <w:spacing w:after="0"/>
              <w:rPr>
                <w:sz w:val="20"/>
                <w:szCs w:val="20"/>
                <w:color w:val="auto"/>
              </w:rPr>
            </w:pPr>
            <w:r>
              <w:rPr>
                <w:rFonts w:ascii="Arial" w:cs="Arial" w:eastAsia="Arial" w:hAnsi="Arial"/>
                <w:sz w:val="18"/>
                <w:szCs w:val="18"/>
                <w:color w:val="auto"/>
              </w:rPr>
              <w:t>(369)</w:t>
            </w:r>
          </w:p>
        </w:tc>
        <w:tc>
          <w:tcPr>
            <w:tcW w:w="144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(425)</w:t>
            </w:r>
          </w:p>
        </w:tc>
      </w:tr>
      <w:tr>
        <w:trPr>
          <w:trHeight w:val="230"/>
        </w:trPr>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w w:val="97"/>
              </w:rPr>
              <w:t>Exchange difference in conversion of foreign operating currency</w:t>
            </w:r>
          </w:p>
        </w:tc>
        <w:tc>
          <w:tcPr>
            <w:tcW w:w="14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(360)</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(360)</w:t>
            </w:r>
          </w:p>
        </w:tc>
      </w:tr>
      <w:tr>
        <w:trPr>
          <w:trHeight w:val="209"/>
        </w:trPr>
        <w:tc>
          <w:tcPr>
            <w:tcW w:w="4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for the year</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754</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1,632</w:t>
            </w:r>
          </w:p>
        </w:tc>
        <w:tc>
          <w:tcPr>
            <w:tcW w:w="1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(360</w:t>
            </w:r>
          </w:p>
        </w:tc>
        <w:tc>
          <w:tcPr>
            <w:tcW w:w="180" w:type="dxa"/>
            <w:vAlign w:val="bottom"/>
            <w:tcBorders>
              <w:bottom w:val="single" w:sz="8" w:color="CCEEFF"/>
            </w:tcBorders>
          </w:tcPr>
          <w:p>
            <w:pPr>
              <w:jc w:val="right"/>
              <w:ind w:right="41"/>
              <w:spacing w:after="0"/>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2,026</w:t>
            </w:r>
          </w:p>
        </w:tc>
        <w:tc>
          <w:tcPr>
            <w:tcW w:w="120" w:type="dxa"/>
            <w:vAlign w:val="bottom"/>
            <w:tcBorders>
              <w:bottom w:val="single" w:sz="8" w:color="CCEEFF"/>
            </w:tcBorders>
          </w:tcPr>
          <w:p>
            <w:pPr>
              <w:spacing w:after="0"/>
              <w:rPr>
                <w:sz w:val="18"/>
                <w:szCs w:val="18"/>
                <w:color w:val="auto"/>
              </w:rPr>
            </w:pPr>
          </w:p>
        </w:tc>
      </w:tr>
      <w:tr>
        <w:trPr>
          <w:trHeight w:val="223"/>
        </w:trPr>
        <w:tc>
          <w:tcPr>
            <w:tcW w:w="49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December 31, 2020</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515</w:t>
            </w:r>
          </w:p>
        </w:tc>
        <w:tc>
          <w:tcPr>
            <w:tcW w:w="18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(448</w:t>
            </w:r>
          </w:p>
        </w:tc>
        <w:tc>
          <w:tcPr>
            <w:tcW w:w="180" w:type="dxa"/>
            <w:vAlign w:val="bottom"/>
            <w:tcBorders>
              <w:bottom w:val="single" w:sz="8" w:color="CCEEFF"/>
            </w:tcBorders>
            <w:shd w:val="clear" w:color="auto" w:fill="CCEEFF"/>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49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00" w:lineRule="exact"/>
        <w:rPr>
          <w:sz w:val="20"/>
          <w:szCs w:val="20"/>
          <w:color w:val="auto"/>
        </w:rPr>
      </w:pPr>
    </w:p>
    <w:p>
      <w:pPr>
        <w:ind w:left="840" w:hanging="184"/>
        <w:spacing w:after="0"/>
        <w:tabs>
          <w:tab w:leader="none" w:pos="840" w:val="left"/>
        </w:tabs>
        <w:numPr>
          <w:ilvl w:val="0"/>
          <w:numId w:val="278"/>
        </w:numPr>
        <w:rPr>
          <w:rFonts w:ascii="Arial" w:cs="Arial" w:eastAsia="Arial" w:hAnsi="Arial"/>
          <w:sz w:val="22"/>
          <w:szCs w:val="22"/>
          <w:color w:val="auto"/>
          <w:vertAlign w:val="superscript"/>
        </w:rPr>
      </w:pPr>
      <w:r>
        <w:rPr>
          <w:rFonts w:ascii="Arial" w:cs="Arial" w:eastAsia="Arial" w:hAnsi="Arial"/>
          <w:sz w:val="13"/>
          <w:szCs w:val="13"/>
          <w:color w:val="auto"/>
        </w:rPr>
        <w:t>Reclassification adjustments include amounts recognized in profit or loss of the year that had been part of other comprehensive income in this and prior years.</w:t>
      </w:r>
    </w:p>
    <w:p>
      <w:pPr>
        <w:spacing w:after="0" w:line="1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45" w:name="page246"/>
    <w:bookmarkEnd w:id="2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79"/>
        </w:numPr>
        <w:rPr>
          <w:rFonts w:ascii="Arial" w:cs="Arial" w:eastAsia="Arial" w:hAnsi="Arial"/>
          <w:sz w:val="18"/>
          <w:szCs w:val="18"/>
          <w:b w:val="1"/>
          <w:bCs w:val="1"/>
          <w:color w:val="auto"/>
        </w:rPr>
      </w:pPr>
      <w:r>
        <w:rPr>
          <w:rFonts w:ascii="Arial" w:cs="Arial" w:eastAsia="Arial" w:hAnsi="Arial"/>
          <w:sz w:val="18"/>
          <w:szCs w:val="18"/>
          <w:b w:val="1"/>
          <w:bCs w:val="1"/>
          <w:color w:val="auto"/>
        </w:rPr>
        <w:t>Other comprehensive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profit or loss: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80" w:type="dxa"/>
            <w:vAlign w:val="bottom"/>
          </w:tcPr>
          <w:p>
            <w:pPr>
              <w:spacing w:after="0"/>
              <w:rPr>
                <w:sz w:val="18"/>
                <w:szCs w:val="18"/>
                <w:color w:val="auto"/>
              </w:rPr>
            </w:pPr>
          </w:p>
        </w:tc>
        <w:tc>
          <w:tcPr>
            <w:tcW w:w="2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80" w:type="dxa"/>
            <w:vAlign w:val="bottom"/>
          </w:tcPr>
          <w:p>
            <w:pPr>
              <w:ind w:left="120"/>
              <w:spacing w:after="0"/>
              <w:rPr>
                <w:sz w:val="20"/>
                <w:szCs w:val="20"/>
                <w:color w:val="auto"/>
              </w:rPr>
            </w:pPr>
            <w:r>
              <w:rPr>
                <w:rFonts w:ascii="Arial" w:cs="Arial" w:eastAsia="Arial" w:hAnsi="Arial"/>
                <w:sz w:val="18"/>
                <w:szCs w:val="18"/>
                <w:b w:val="1"/>
                <w:bCs w:val="1"/>
                <w:color w:val="auto"/>
                <w:w w:val="98"/>
              </w:rPr>
              <w:t>Line item affected in the</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2920" w:type="dxa"/>
            <w:vAlign w:val="bottom"/>
            <w:gridSpan w:val="2"/>
          </w:tcPr>
          <w:p>
            <w:pPr>
              <w:ind w:left="80"/>
              <w:spacing w:after="0"/>
              <w:rPr>
                <w:sz w:val="20"/>
                <w:szCs w:val="20"/>
                <w:color w:val="auto"/>
              </w:rPr>
            </w:pPr>
            <w:r>
              <w:rPr>
                <w:rFonts w:ascii="Arial" w:cs="Arial" w:eastAsia="Arial" w:hAnsi="Arial"/>
                <w:sz w:val="18"/>
                <w:szCs w:val="18"/>
                <w:b w:val="1"/>
                <w:bCs w:val="1"/>
                <w:color w:val="auto"/>
                <w:w w:val="93"/>
              </w:rPr>
              <w:t>Details about other comprehensive</w:t>
            </w:r>
          </w:p>
        </w:tc>
        <w:tc>
          <w:tcPr>
            <w:tcW w:w="3720" w:type="dxa"/>
            <w:vAlign w:val="bottom"/>
            <w:gridSpan w:val="6"/>
          </w:tcPr>
          <w:p>
            <w:pPr>
              <w:jc w:val="center"/>
              <w:ind w:left="910"/>
              <w:spacing w:after="0"/>
              <w:rPr>
                <w:sz w:val="20"/>
                <w:szCs w:val="20"/>
                <w:color w:val="auto"/>
              </w:rPr>
            </w:pPr>
            <w:r>
              <w:rPr>
                <w:rFonts w:ascii="Arial" w:cs="Arial" w:eastAsia="Arial" w:hAnsi="Arial"/>
                <w:sz w:val="18"/>
                <w:szCs w:val="18"/>
                <w:b w:val="1"/>
                <w:bCs w:val="1"/>
                <w:color w:val="auto"/>
                <w:w w:val="89"/>
              </w:rPr>
              <w:t>Amount reclassified from other</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180" w:type="dxa"/>
            <w:vAlign w:val="bottom"/>
          </w:tcPr>
          <w:p>
            <w:pPr>
              <w:ind w:left="80"/>
              <w:spacing w:after="0"/>
              <w:rPr>
                <w:sz w:val="20"/>
                <w:szCs w:val="20"/>
                <w:color w:val="auto"/>
              </w:rPr>
            </w:pPr>
            <w:r>
              <w:rPr>
                <w:rFonts w:ascii="Arial" w:cs="Arial" w:eastAsia="Arial" w:hAnsi="Arial"/>
                <w:sz w:val="18"/>
                <w:szCs w:val="18"/>
                <w:b w:val="1"/>
                <w:bCs w:val="1"/>
                <w:color w:val="auto"/>
                <w:w w:val="93"/>
              </w:rPr>
              <w:t>consolidated statement of</w:t>
            </w:r>
          </w:p>
        </w:tc>
        <w:tc>
          <w:tcPr>
            <w:tcW w:w="560" w:type="dxa"/>
            <w:vAlign w:val="bottom"/>
          </w:tcPr>
          <w:p>
            <w:pPr>
              <w:spacing w:after="0"/>
              <w:rPr>
                <w:sz w:val="18"/>
                <w:szCs w:val="18"/>
                <w:color w:val="auto"/>
              </w:rPr>
            </w:pPr>
          </w:p>
        </w:tc>
      </w:tr>
      <w:tr>
        <w:trPr>
          <w:trHeight w:val="234"/>
        </w:trPr>
        <w:tc>
          <w:tcPr>
            <w:tcW w:w="580" w:type="dxa"/>
            <w:vAlign w:val="bottom"/>
          </w:tcPr>
          <w:p>
            <w:pPr>
              <w:spacing w:after="0"/>
              <w:rPr>
                <w:sz w:val="20"/>
                <w:szCs w:val="20"/>
                <w:color w:val="auto"/>
              </w:rPr>
            </w:pPr>
          </w:p>
        </w:tc>
        <w:tc>
          <w:tcPr>
            <w:tcW w:w="2920" w:type="dxa"/>
            <w:vAlign w:val="bottom"/>
            <w:gridSpan w:val="2"/>
          </w:tcPr>
          <w:p>
            <w:pPr>
              <w:ind w:left="640"/>
              <w:spacing w:after="0"/>
              <w:rPr>
                <w:sz w:val="20"/>
                <w:szCs w:val="20"/>
                <w:color w:val="auto"/>
              </w:rPr>
            </w:pPr>
            <w:r>
              <w:rPr>
                <w:rFonts w:ascii="Arial" w:cs="Arial" w:eastAsia="Arial" w:hAnsi="Arial"/>
                <w:sz w:val="18"/>
                <w:szCs w:val="18"/>
                <w:b w:val="1"/>
                <w:bCs w:val="1"/>
                <w:color w:val="auto"/>
              </w:rPr>
              <w:t>income components</w:t>
            </w:r>
          </w:p>
        </w:tc>
        <w:tc>
          <w:tcPr>
            <w:tcW w:w="14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220" w:type="dxa"/>
            <w:vAlign w:val="bottom"/>
            <w:gridSpan w:val="4"/>
          </w:tcPr>
          <w:p>
            <w:pPr>
              <w:ind w:left="20"/>
              <w:spacing w:after="0"/>
              <w:rPr>
                <w:sz w:val="20"/>
                <w:szCs w:val="20"/>
                <w:color w:val="auto"/>
              </w:rPr>
            </w:pPr>
            <w:r>
              <w:rPr>
                <w:rFonts w:ascii="Arial" w:cs="Arial" w:eastAsia="Arial" w:hAnsi="Arial"/>
                <w:sz w:val="18"/>
                <w:szCs w:val="18"/>
                <w:b w:val="1"/>
                <w:bCs w:val="1"/>
                <w:color w:val="auto"/>
              </w:rPr>
              <w:t>comprehensive income</w:t>
            </w:r>
          </w:p>
        </w:tc>
        <w:tc>
          <w:tcPr>
            <w:tcW w:w="10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180" w:type="dxa"/>
            <w:vAlign w:val="bottom"/>
          </w:tcPr>
          <w:p>
            <w:pPr>
              <w:ind w:left="600"/>
              <w:spacing w:after="0"/>
              <w:rPr>
                <w:sz w:val="20"/>
                <w:szCs w:val="20"/>
                <w:color w:val="auto"/>
              </w:rPr>
            </w:pPr>
            <w:r>
              <w:rPr>
                <w:rFonts w:ascii="Arial" w:cs="Arial" w:eastAsia="Arial" w:hAnsi="Arial"/>
                <w:sz w:val="18"/>
                <w:szCs w:val="18"/>
                <w:b w:val="1"/>
                <w:bCs w:val="1"/>
                <w:color w:val="auto"/>
              </w:rPr>
              <w:t>profit or loss</w:t>
            </w:r>
          </w:p>
        </w:tc>
        <w:tc>
          <w:tcPr>
            <w:tcW w:w="560" w:type="dxa"/>
            <w:vAlign w:val="bottom"/>
          </w:tcPr>
          <w:p>
            <w:pPr>
              <w:spacing w:after="0"/>
              <w:rPr>
                <w:sz w:val="20"/>
                <w:szCs w:val="20"/>
                <w:color w:val="auto"/>
              </w:rPr>
            </w:pPr>
          </w:p>
        </w:tc>
      </w:tr>
      <w:tr>
        <w:trPr>
          <w:trHeight w:val="210"/>
        </w:trPr>
        <w:tc>
          <w:tcPr>
            <w:tcW w:w="580" w:type="dxa"/>
            <w:vAlign w:val="bottom"/>
          </w:tcPr>
          <w:p>
            <w:pPr>
              <w:spacing w:after="0"/>
              <w:rPr>
                <w:sz w:val="18"/>
                <w:szCs w:val="18"/>
                <w:color w:val="auto"/>
              </w:rPr>
            </w:pPr>
          </w:p>
        </w:tc>
        <w:tc>
          <w:tcPr>
            <w:tcW w:w="28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tcBorders>
              <w:top w:val="single" w:sz="8" w:color="auto"/>
              <w:bottom w:val="single" w:sz="8" w:color="auto"/>
            </w:tcBorders>
          </w:tcPr>
          <w:p>
            <w:pPr>
              <w:spacing w:after="0"/>
              <w:rPr>
                <w:sz w:val="18"/>
                <w:szCs w:val="18"/>
                <w:color w:val="auto"/>
              </w:rPr>
            </w:pPr>
          </w:p>
        </w:tc>
        <w:tc>
          <w:tcPr>
            <w:tcW w:w="60" w:type="dxa"/>
            <w:vAlign w:val="bottom"/>
            <w:tcBorders>
              <w:top w:val="single" w:sz="8" w:color="auto"/>
              <w:bottom w:val="single" w:sz="8" w:color="auto"/>
            </w:tcBorders>
          </w:tcPr>
          <w:p>
            <w:pPr>
              <w:spacing w:after="0"/>
              <w:rPr>
                <w:sz w:val="18"/>
                <w:szCs w:val="18"/>
                <w:color w:val="auto"/>
              </w:rPr>
            </w:pPr>
          </w:p>
        </w:tc>
        <w:tc>
          <w:tcPr>
            <w:tcW w:w="120" w:type="dxa"/>
            <w:vAlign w:val="bottom"/>
            <w:tcBorders>
              <w:top w:val="single" w:sz="8" w:color="auto"/>
              <w:bottom w:val="single" w:sz="8" w:color="auto"/>
            </w:tcBorders>
          </w:tcPr>
          <w:p>
            <w:pPr>
              <w:spacing w:after="0"/>
              <w:rPr>
                <w:sz w:val="18"/>
                <w:szCs w:val="18"/>
                <w:color w:val="auto"/>
              </w:rPr>
            </w:pPr>
          </w:p>
        </w:tc>
        <w:tc>
          <w:tcPr>
            <w:tcW w:w="2100" w:type="dxa"/>
            <w:vAlign w:val="bottom"/>
            <w:tcBorders>
              <w:top w:val="single" w:sz="8" w:color="auto"/>
              <w:bottom w:val="single" w:sz="8" w:color="auto"/>
            </w:tcBorders>
            <w:gridSpan w:val="3"/>
          </w:tcPr>
          <w:p>
            <w:pPr>
              <w:jc w:val="center"/>
              <w:ind w:right="560"/>
              <w:spacing w:after="0"/>
              <w:rPr>
                <w:sz w:val="20"/>
                <w:szCs w:val="20"/>
                <w:color w:val="auto"/>
              </w:rPr>
            </w:pPr>
            <w:r>
              <w:rPr>
                <w:rFonts w:ascii="Arial" w:cs="Arial" w:eastAsia="Arial" w:hAnsi="Arial"/>
                <w:sz w:val="18"/>
                <w:szCs w:val="18"/>
                <w:b w:val="1"/>
                <w:bCs w:val="1"/>
                <w:color w:val="auto"/>
                <w:w w:val="90"/>
              </w:rPr>
              <w:t>December 31,</w:t>
            </w:r>
          </w:p>
        </w:tc>
        <w:tc>
          <w:tcPr>
            <w:tcW w:w="1060" w:type="dxa"/>
            <w:vAlign w:val="bottom"/>
            <w:tcBorders>
              <w:top w:val="single" w:sz="8" w:color="auto"/>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2180" w:type="dxa"/>
            <w:vAlign w:val="bottom"/>
            <w:tcBorders>
              <w:top w:val="single" w:sz="8" w:color="auto"/>
            </w:tcBorders>
          </w:tcPr>
          <w:p>
            <w:pPr>
              <w:spacing w:after="0"/>
              <w:rPr>
                <w:sz w:val="18"/>
                <w:szCs w:val="18"/>
                <w:color w:val="auto"/>
              </w:rPr>
            </w:pPr>
          </w:p>
        </w:tc>
        <w:tc>
          <w:tcPr>
            <w:tcW w:w="560" w:type="dxa"/>
            <w:vAlign w:val="bottom"/>
          </w:tcPr>
          <w:p>
            <w:pPr>
              <w:spacing w:after="0"/>
              <w:rPr>
                <w:sz w:val="18"/>
                <w:szCs w:val="18"/>
                <w:color w:val="auto"/>
              </w:rPr>
            </w:pPr>
          </w:p>
        </w:tc>
      </w:tr>
      <w:tr>
        <w:trPr>
          <w:trHeight w:val="223"/>
        </w:trPr>
        <w:tc>
          <w:tcPr>
            <w:tcW w:w="580" w:type="dxa"/>
            <w:vAlign w:val="bottom"/>
          </w:tcPr>
          <w:p>
            <w:pPr>
              <w:spacing w:after="0"/>
              <w:rPr>
                <w:sz w:val="19"/>
                <w:szCs w:val="19"/>
                <w:color w:val="auto"/>
              </w:rPr>
            </w:pPr>
          </w:p>
        </w:tc>
        <w:tc>
          <w:tcPr>
            <w:tcW w:w="28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19"/>
                <w:szCs w:val="19"/>
                <w:color w:val="auto"/>
              </w:rPr>
            </w:pPr>
          </w:p>
        </w:tc>
        <w:tc>
          <w:tcPr>
            <w:tcW w:w="1600" w:type="dxa"/>
            <w:vAlign w:val="bottom"/>
            <w:gridSpan w:val="2"/>
          </w:tcPr>
          <w:p>
            <w:pPr>
              <w:jc w:val="center"/>
              <w:ind w:left="30"/>
              <w:spacing w:after="0"/>
              <w:rPr>
                <w:sz w:val="20"/>
                <w:szCs w:val="20"/>
                <w:color w:val="auto"/>
              </w:rPr>
            </w:pPr>
            <w:r>
              <w:rPr>
                <w:rFonts w:ascii="Arial" w:cs="Arial" w:eastAsia="Arial" w:hAnsi="Arial"/>
                <w:sz w:val="18"/>
                <w:szCs w:val="18"/>
                <w:b w:val="1"/>
                <w:bCs w:val="1"/>
                <w:color w:val="auto"/>
                <w:w w:val="89"/>
              </w:rPr>
              <w:t>2019</w:t>
            </w:r>
          </w:p>
        </w:tc>
        <w:tc>
          <w:tcPr>
            <w:tcW w:w="2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60" w:type="dxa"/>
            <w:vAlign w:val="bottom"/>
          </w:tcPr>
          <w:p>
            <w:pPr>
              <w:jc w:val="right"/>
              <w:ind w:right="470"/>
              <w:spacing w:after="0"/>
              <w:rPr>
                <w:sz w:val="20"/>
                <w:szCs w:val="20"/>
                <w:color w:val="auto"/>
              </w:rPr>
            </w:pPr>
            <w:r>
              <w:rPr>
                <w:rFonts w:ascii="Arial" w:cs="Arial" w:eastAsia="Arial" w:hAnsi="Arial"/>
                <w:sz w:val="18"/>
                <w:szCs w:val="18"/>
                <w:b w:val="1"/>
                <w:bCs w:val="1"/>
                <w:color w:val="auto"/>
              </w:rPr>
              <w:t>2018</w:t>
            </w:r>
          </w:p>
        </w:tc>
        <w:tc>
          <w:tcPr>
            <w:tcW w:w="220" w:type="dxa"/>
            <w:vAlign w:val="bottom"/>
          </w:tcPr>
          <w:p>
            <w:pPr>
              <w:spacing w:after="0"/>
              <w:rPr>
                <w:sz w:val="19"/>
                <w:szCs w:val="19"/>
                <w:color w:val="auto"/>
              </w:rPr>
            </w:pPr>
          </w:p>
        </w:tc>
        <w:tc>
          <w:tcPr>
            <w:tcW w:w="218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182"/>
        </w:trPr>
        <w:tc>
          <w:tcPr>
            <w:tcW w:w="580" w:type="dxa"/>
            <w:vAlign w:val="bottom"/>
          </w:tcPr>
          <w:p>
            <w:pPr>
              <w:spacing w:after="0"/>
              <w:rPr>
                <w:sz w:val="15"/>
                <w:szCs w:val="15"/>
                <w:color w:val="auto"/>
              </w:rPr>
            </w:pPr>
          </w:p>
        </w:tc>
        <w:tc>
          <w:tcPr>
            <w:tcW w:w="2920" w:type="dxa"/>
            <w:vAlign w:val="bottom"/>
            <w:tcBorders>
              <w:top w:val="single" w:sz="8" w:color="CCEEFF"/>
            </w:tcBorders>
            <w:gridSpan w:val="2"/>
            <w:shd w:val="clear" w:color="auto" w:fill="CCEEFF"/>
          </w:tcPr>
          <w:p>
            <w:pPr>
              <w:spacing w:after="0" w:line="182" w:lineRule="exact"/>
              <w:rPr>
                <w:sz w:val="20"/>
                <w:szCs w:val="20"/>
                <w:color w:val="auto"/>
              </w:rPr>
            </w:pPr>
            <w:r>
              <w:rPr>
                <w:rFonts w:ascii="Arial" w:cs="Arial" w:eastAsia="Arial" w:hAnsi="Arial"/>
                <w:sz w:val="18"/>
                <w:szCs w:val="18"/>
                <w:color w:val="auto"/>
                <w:w w:val="92"/>
              </w:rPr>
              <w:t>Realized gains (losses) on securities at</w:t>
            </w:r>
          </w:p>
        </w:tc>
        <w:tc>
          <w:tcPr>
            <w:tcW w:w="14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4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400" w:type="dxa"/>
            <w:vAlign w:val="bottom"/>
            <w:tcBorders>
              <w:top w:val="single" w:sz="8" w:color="auto"/>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2180" w:type="dxa"/>
            <w:vAlign w:val="bottom"/>
            <w:tcBorders>
              <w:top w:val="single" w:sz="8" w:color="CCEEFF"/>
            </w:tcBorders>
            <w:shd w:val="clear" w:color="auto" w:fill="CCEEFF"/>
          </w:tcPr>
          <w:p>
            <w:pPr>
              <w:ind w:left="60"/>
              <w:spacing w:after="0" w:line="182" w:lineRule="exact"/>
              <w:rPr>
                <w:sz w:val="20"/>
                <w:szCs w:val="20"/>
                <w:color w:val="auto"/>
              </w:rPr>
            </w:pPr>
            <w:r>
              <w:rPr>
                <w:rFonts w:ascii="Arial" w:cs="Arial" w:eastAsia="Arial" w:hAnsi="Arial"/>
                <w:sz w:val="18"/>
                <w:szCs w:val="18"/>
                <w:color w:val="auto"/>
                <w:w w:val="98"/>
              </w:rPr>
              <w:t>Net gain (loss) on financial</w:t>
            </w:r>
          </w:p>
        </w:tc>
        <w:tc>
          <w:tcPr>
            <w:tcW w:w="560" w:type="dxa"/>
            <w:vAlign w:val="bottom"/>
          </w:tcPr>
          <w:p>
            <w:pPr>
              <w:spacing w:after="0"/>
              <w:rPr>
                <w:sz w:val="15"/>
                <w:szCs w:val="15"/>
                <w:color w:val="auto"/>
              </w:rPr>
            </w:pPr>
          </w:p>
        </w:tc>
      </w:tr>
      <w:tr>
        <w:trPr>
          <w:trHeight w:val="257"/>
        </w:trPr>
        <w:tc>
          <w:tcPr>
            <w:tcW w:w="580" w:type="dxa"/>
            <w:vAlign w:val="bottom"/>
          </w:tcPr>
          <w:p>
            <w:pPr>
              <w:spacing w:after="0"/>
              <w:rPr>
                <w:sz w:val="22"/>
                <w:szCs w:val="22"/>
                <w:color w:val="auto"/>
              </w:rPr>
            </w:pPr>
          </w:p>
        </w:tc>
        <w:tc>
          <w:tcPr>
            <w:tcW w:w="2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FVOCI:</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182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157</w:t>
            </w:r>
          </w:p>
        </w:tc>
        <w:tc>
          <w:tcPr>
            <w:tcW w:w="400" w:type="dxa"/>
            <w:vAlign w:val="bottom"/>
            <w:shd w:val="clear" w:color="auto" w:fill="CCEEFF"/>
          </w:tcPr>
          <w:p>
            <w:pPr>
              <w:spacing w:after="0"/>
              <w:rPr>
                <w:sz w:val="22"/>
                <w:szCs w:val="22"/>
                <w:color w:val="auto"/>
              </w:rPr>
            </w:pPr>
          </w:p>
        </w:tc>
        <w:tc>
          <w:tcPr>
            <w:tcW w:w="128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87</w:t>
            </w:r>
          </w:p>
        </w:tc>
        <w:tc>
          <w:tcPr>
            <w:tcW w:w="218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instruments</w:t>
            </w:r>
          </w:p>
        </w:tc>
        <w:tc>
          <w:tcPr>
            <w:tcW w:w="560" w:type="dxa"/>
            <w:vAlign w:val="bottom"/>
          </w:tcPr>
          <w:p>
            <w:pPr>
              <w:spacing w:after="0"/>
              <w:rPr>
                <w:sz w:val="22"/>
                <w:szCs w:val="22"/>
                <w:color w:val="auto"/>
              </w:rPr>
            </w:pPr>
          </w:p>
        </w:tc>
      </w:tr>
      <w:tr>
        <w:trPr>
          <w:trHeight w:val="20"/>
        </w:trPr>
        <w:tc>
          <w:tcPr>
            <w:tcW w:w="580" w:type="dxa"/>
            <w:vAlign w:val="bottom"/>
          </w:tcPr>
          <w:p>
            <w:pPr>
              <w:spacing w:after="0" w:line="20" w:lineRule="exact"/>
              <w:rPr>
                <w:sz w:val="1"/>
                <w:szCs w:val="1"/>
                <w:color w:val="auto"/>
              </w:rPr>
            </w:pPr>
          </w:p>
        </w:tc>
        <w:tc>
          <w:tcPr>
            <w:tcW w:w="28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18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197"/>
        </w:trPr>
        <w:tc>
          <w:tcPr>
            <w:tcW w:w="580" w:type="dxa"/>
            <w:vAlign w:val="bottom"/>
          </w:tcPr>
          <w:p>
            <w:pPr>
              <w:spacing w:after="0"/>
              <w:rPr>
                <w:sz w:val="17"/>
                <w:szCs w:val="17"/>
                <w:color w:val="auto"/>
              </w:rPr>
            </w:pPr>
          </w:p>
        </w:tc>
        <w:tc>
          <w:tcPr>
            <w:tcW w:w="2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180" w:type="dxa"/>
            <w:vAlign w:val="bottom"/>
          </w:tcPr>
          <w:p>
            <w:pPr>
              <w:spacing w:after="0"/>
              <w:rPr>
                <w:sz w:val="17"/>
                <w:szCs w:val="17"/>
                <w:color w:val="auto"/>
              </w:rPr>
            </w:pPr>
          </w:p>
        </w:tc>
        <w:tc>
          <w:tcPr>
            <w:tcW w:w="560" w:type="dxa"/>
            <w:vAlign w:val="bottom"/>
          </w:tcPr>
          <w:p>
            <w:pPr>
              <w:spacing w:after="0"/>
              <w:rPr>
                <w:sz w:val="17"/>
                <w:szCs w:val="17"/>
                <w:color w:val="auto"/>
              </w:rPr>
            </w:pPr>
          </w:p>
        </w:tc>
      </w:tr>
      <w:tr>
        <w:trPr>
          <w:trHeight w:val="202"/>
        </w:trPr>
        <w:tc>
          <w:tcPr>
            <w:tcW w:w="580" w:type="dxa"/>
            <w:vAlign w:val="bottom"/>
          </w:tcPr>
          <w:p>
            <w:pPr>
              <w:spacing w:after="0"/>
              <w:rPr>
                <w:sz w:val="17"/>
                <w:szCs w:val="17"/>
                <w:color w:val="auto"/>
              </w:rPr>
            </w:pPr>
          </w:p>
        </w:tc>
        <w:tc>
          <w:tcPr>
            <w:tcW w:w="29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w w:val="98"/>
              </w:rPr>
              <w:t>Gains (losses) on derivative financial</w:t>
            </w:r>
          </w:p>
        </w:tc>
        <w:tc>
          <w:tcPr>
            <w:tcW w:w="14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8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2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w:t>
            </w:r>
          </w:p>
        </w:tc>
        <w:tc>
          <w:tcPr>
            <w:tcW w:w="14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400" w:type="dxa"/>
            <w:vAlign w:val="bottom"/>
            <w:shd w:val="clear" w:color="auto" w:fill="CCEEFF"/>
          </w:tcPr>
          <w:p>
            <w:pPr>
              <w:spacing w:after="0"/>
              <w:rPr>
                <w:sz w:val="20"/>
                <w:szCs w:val="20"/>
                <w:color w:val="auto"/>
              </w:rPr>
            </w:pPr>
          </w:p>
        </w:tc>
        <w:tc>
          <w:tcPr>
            <w:tcW w:w="10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2180" w:type="dxa"/>
            <w:vAlign w:val="bottom"/>
            <w:shd w:val="clear" w:color="auto" w:fill="CCEEFF"/>
          </w:tcPr>
          <w:p>
            <w:pPr>
              <w:spacing w:after="0"/>
              <w:rPr>
                <w:sz w:val="20"/>
                <w:szCs w:val="20"/>
                <w:color w:val="auto"/>
              </w:rPr>
            </w:pPr>
          </w:p>
        </w:tc>
        <w:tc>
          <w:tcPr>
            <w:tcW w:w="560" w:type="dxa"/>
            <w:vAlign w:val="bottom"/>
          </w:tcPr>
          <w:p>
            <w:pPr>
              <w:spacing w:after="0"/>
              <w:rPr>
                <w:sz w:val="20"/>
                <w:szCs w:val="20"/>
                <w:color w:val="auto"/>
              </w:rPr>
            </w:pPr>
          </w:p>
        </w:tc>
      </w:tr>
      <w:tr>
        <w:trPr>
          <w:trHeight w:val="216"/>
        </w:trPr>
        <w:tc>
          <w:tcPr>
            <w:tcW w:w="580" w:type="dxa"/>
            <w:vAlign w:val="bottom"/>
          </w:tcPr>
          <w:p>
            <w:pPr>
              <w:spacing w:after="0"/>
              <w:rPr>
                <w:sz w:val="18"/>
                <w:szCs w:val="18"/>
                <w:color w:val="auto"/>
              </w:rPr>
            </w:pPr>
          </w:p>
        </w:tc>
        <w:tc>
          <w:tcPr>
            <w:tcW w:w="2920" w:type="dxa"/>
            <w:vAlign w:val="bottom"/>
            <w:gridSpan w:val="2"/>
          </w:tcPr>
          <w:p>
            <w:pPr>
              <w:spacing w:after="0"/>
              <w:rPr>
                <w:sz w:val="20"/>
                <w:szCs w:val="20"/>
                <w:color w:val="auto"/>
              </w:rPr>
            </w:pPr>
            <w:r>
              <w:rPr>
                <w:rFonts w:ascii="Arial" w:cs="Arial" w:eastAsia="Arial" w:hAnsi="Arial"/>
                <w:sz w:val="18"/>
                <w:szCs w:val="18"/>
                <w:color w:val="auto"/>
              </w:rPr>
              <w:t>Foreign exchange forwards</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(2,337)</w:t>
            </w:r>
          </w:p>
        </w:tc>
        <w:tc>
          <w:tcPr>
            <w:tcW w:w="1820" w:type="dxa"/>
            <w:vAlign w:val="bottom"/>
            <w:gridSpan w:val="3"/>
          </w:tcPr>
          <w:p>
            <w:pPr>
              <w:jc w:val="right"/>
              <w:ind w:right="81"/>
              <w:spacing w:after="0"/>
              <w:rPr>
                <w:sz w:val="20"/>
                <w:szCs w:val="20"/>
                <w:color w:val="auto"/>
              </w:rPr>
            </w:pPr>
            <w:r>
              <w:rPr>
                <w:rFonts w:ascii="Arial" w:cs="Arial" w:eastAsia="Arial" w:hAnsi="Arial"/>
                <w:sz w:val="18"/>
                <w:szCs w:val="18"/>
                <w:color w:val="auto"/>
              </w:rPr>
              <w:t>(3,261)</w:t>
            </w:r>
          </w:p>
        </w:tc>
        <w:tc>
          <w:tcPr>
            <w:tcW w:w="400" w:type="dxa"/>
            <w:vAlign w:val="bottom"/>
          </w:tcPr>
          <w:p>
            <w:pPr>
              <w:spacing w:after="0"/>
              <w:rPr>
                <w:sz w:val="18"/>
                <w:szCs w:val="18"/>
                <w:color w:val="auto"/>
              </w:rPr>
            </w:pP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(2,502)</w:t>
            </w:r>
          </w:p>
        </w:tc>
        <w:tc>
          <w:tcPr>
            <w:tcW w:w="2180" w:type="dxa"/>
            <w:vAlign w:val="bottom"/>
          </w:tcPr>
          <w:p>
            <w:pPr>
              <w:ind w:left="60"/>
              <w:spacing w:after="0"/>
              <w:rPr>
                <w:sz w:val="20"/>
                <w:szCs w:val="20"/>
                <w:color w:val="auto"/>
              </w:rPr>
            </w:pPr>
            <w:r>
              <w:rPr>
                <w:rFonts w:ascii="Arial" w:cs="Arial" w:eastAsia="Arial" w:hAnsi="Arial"/>
                <w:sz w:val="18"/>
                <w:szCs w:val="18"/>
                <w:color w:val="auto"/>
              </w:rPr>
              <w:t>Interest income – loans</w:t>
            </w:r>
          </w:p>
        </w:tc>
        <w:tc>
          <w:tcPr>
            <w:tcW w:w="560" w:type="dxa"/>
            <w:vAlign w:val="bottom"/>
          </w:tcPr>
          <w:p>
            <w:pPr>
              <w:spacing w:after="0"/>
              <w:rPr>
                <w:sz w:val="18"/>
                <w:szCs w:val="18"/>
                <w:color w:val="auto"/>
              </w:rPr>
            </w:pPr>
          </w:p>
        </w:tc>
      </w:tr>
      <w:tr>
        <w:trPr>
          <w:trHeight w:val="202"/>
        </w:trPr>
        <w:tc>
          <w:tcPr>
            <w:tcW w:w="580" w:type="dxa"/>
            <w:vAlign w:val="bottom"/>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80" w:type="dxa"/>
            <w:vAlign w:val="bottom"/>
            <w:shd w:val="clear" w:color="auto" w:fill="CCEEFF"/>
          </w:tcPr>
          <w:p>
            <w:pPr>
              <w:ind w:left="60"/>
              <w:spacing w:after="0" w:line="201" w:lineRule="exact"/>
              <w:rPr>
                <w:sz w:val="20"/>
                <w:szCs w:val="20"/>
                <w:color w:val="auto"/>
              </w:rPr>
            </w:pPr>
            <w:r>
              <w:rPr>
                <w:rFonts w:ascii="Arial" w:cs="Arial" w:eastAsia="Arial" w:hAnsi="Arial"/>
                <w:sz w:val="18"/>
                <w:szCs w:val="18"/>
                <w:color w:val="auto"/>
              </w:rPr>
              <w:t>Interest expense –</w:t>
            </w:r>
          </w:p>
        </w:tc>
        <w:tc>
          <w:tcPr>
            <w:tcW w:w="56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28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2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(1,733)</w:t>
            </w:r>
          </w:p>
        </w:tc>
        <w:tc>
          <w:tcPr>
            <w:tcW w:w="40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(1,650)</w:t>
            </w:r>
          </w:p>
        </w:tc>
        <w:tc>
          <w:tcPr>
            <w:tcW w:w="2180" w:type="dxa"/>
            <w:vAlign w:val="bottom"/>
            <w:shd w:val="clear" w:color="auto" w:fill="CCEEFF"/>
          </w:tcPr>
          <w:p>
            <w:pPr>
              <w:ind w:left="60"/>
              <w:spacing w:after="0"/>
              <w:rPr>
                <w:sz w:val="20"/>
                <w:szCs w:val="20"/>
                <w:color w:val="auto"/>
              </w:rPr>
            </w:pPr>
            <w:r>
              <w:rPr>
                <w:rFonts w:ascii="Arial" w:cs="Arial" w:eastAsia="Arial" w:hAnsi="Arial"/>
                <w:sz w:val="18"/>
                <w:szCs w:val="18"/>
                <w:color w:val="auto"/>
              </w:rPr>
              <w:t>borrowings and deposits</w:t>
            </w:r>
          </w:p>
        </w:tc>
        <w:tc>
          <w:tcPr>
            <w:tcW w:w="560" w:type="dxa"/>
            <w:vAlign w:val="bottom"/>
          </w:tcPr>
          <w:p>
            <w:pPr>
              <w:spacing w:after="0"/>
              <w:rPr>
                <w:sz w:val="20"/>
                <w:szCs w:val="20"/>
                <w:color w:val="auto"/>
              </w:rPr>
            </w:pPr>
          </w:p>
        </w:tc>
      </w:tr>
      <w:tr>
        <w:trPr>
          <w:trHeight w:val="202"/>
        </w:trPr>
        <w:tc>
          <w:tcPr>
            <w:tcW w:w="580" w:type="dxa"/>
            <w:vAlign w:val="bottom"/>
          </w:tcPr>
          <w:p>
            <w:pPr>
              <w:spacing w:after="0"/>
              <w:rPr>
                <w:sz w:val="17"/>
                <w:szCs w:val="17"/>
                <w:color w:val="auto"/>
              </w:rPr>
            </w:pPr>
          </w:p>
        </w:tc>
        <w:tc>
          <w:tcPr>
            <w:tcW w:w="2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180" w:type="dxa"/>
            <w:vAlign w:val="bottom"/>
          </w:tcPr>
          <w:p>
            <w:pPr>
              <w:ind w:left="60"/>
              <w:spacing w:after="0" w:line="201" w:lineRule="exact"/>
              <w:rPr>
                <w:sz w:val="20"/>
                <w:szCs w:val="20"/>
                <w:color w:val="auto"/>
              </w:rPr>
            </w:pPr>
            <w:r>
              <w:rPr>
                <w:rFonts w:ascii="Arial" w:cs="Arial" w:eastAsia="Arial" w:hAnsi="Arial"/>
                <w:sz w:val="18"/>
                <w:szCs w:val="18"/>
                <w:color w:val="auto"/>
              </w:rPr>
              <w:t>Net gain (loss) on foreign</w:t>
            </w:r>
          </w:p>
        </w:tc>
        <w:tc>
          <w:tcPr>
            <w:tcW w:w="56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2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(369)</w:t>
            </w:r>
          </w:p>
        </w:tc>
        <w:tc>
          <w:tcPr>
            <w:tcW w:w="1820" w:type="dxa"/>
            <w:vAlign w:val="bottom"/>
            <w:gridSpan w:val="3"/>
          </w:tcPr>
          <w:p>
            <w:pPr>
              <w:jc w:val="right"/>
              <w:ind w:right="81"/>
              <w:spacing w:after="0"/>
              <w:rPr>
                <w:sz w:val="20"/>
                <w:szCs w:val="20"/>
                <w:color w:val="auto"/>
              </w:rPr>
            </w:pPr>
            <w:r>
              <w:rPr>
                <w:rFonts w:ascii="Arial" w:cs="Arial" w:eastAsia="Arial" w:hAnsi="Arial"/>
                <w:sz w:val="18"/>
                <w:szCs w:val="18"/>
                <w:color w:val="auto"/>
              </w:rPr>
              <w:t>(61)</w:t>
            </w:r>
          </w:p>
        </w:tc>
        <w:tc>
          <w:tcPr>
            <w:tcW w:w="400" w:type="dxa"/>
            <w:vAlign w:val="bottom"/>
          </w:tcPr>
          <w:p>
            <w:pPr>
              <w:spacing w:after="0"/>
              <w:rPr>
                <w:sz w:val="20"/>
                <w:szCs w:val="20"/>
                <w:color w:val="auto"/>
              </w:rPr>
            </w:pPr>
          </w:p>
        </w:tc>
        <w:tc>
          <w:tcPr>
            <w:tcW w:w="1280" w:type="dxa"/>
            <w:vAlign w:val="bottom"/>
            <w:gridSpan w:val="2"/>
          </w:tcPr>
          <w:p>
            <w:pPr>
              <w:jc w:val="right"/>
              <w:ind w:right="81"/>
              <w:spacing w:after="0"/>
              <w:rPr>
                <w:sz w:val="20"/>
                <w:szCs w:val="20"/>
                <w:color w:val="auto"/>
              </w:rPr>
            </w:pPr>
            <w:r>
              <w:rPr>
                <w:rFonts w:ascii="Arial" w:cs="Arial" w:eastAsia="Arial" w:hAnsi="Arial"/>
                <w:sz w:val="18"/>
                <w:szCs w:val="18"/>
                <w:color w:val="auto"/>
              </w:rPr>
              <w:t>(1,530)</w:t>
            </w:r>
          </w:p>
        </w:tc>
        <w:tc>
          <w:tcPr>
            <w:tcW w:w="2180" w:type="dxa"/>
            <w:vAlign w:val="bottom"/>
          </w:tcPr>
          <w:p>
            <w:pPr>
              <w:ind w:left="60"/>
              <w:spacing w:after="0"/>
              <w:rPr>
                <w:sz w:val="20"/>
                <w:szCs w:val="20"/>
                <w:color w:val="auto"/>
              </w:rPr>
            </w:pPr>
            <w:r>
              <w:rPr>
                <w:rFonts w:ascii="Arial" w:cs="Arial" w:eastAsia="Arial" w:hAnsi="Arial"/>
                <w:sz w:val="18"/>
                <w:szCs w:val="18"/>
                <w:color w:val="auto"/>
              </w:rPr>
              <w:t>currency exchange</w:t>
            </w:r>
          </w:p>
        </w:tc>
        <w:tc>
          <w:tcPr>
            <w:tcW w:w="560" w:type="dxa"/>
            <w:vAlign w:val="bottom"/>
          </w:tcPr>
          <w:p>
            <w:pPr>
              <w:spacing w:after="0"/>
              <w:rPr>
                <w:sz w:val="20"/>
                <w:szCs w:val="20"/>
                <w:color w:val="auto"/>
              </w:rPr>
            </w:pPr>
          </w:p>
        </w:tc>
      </w:tr>
      <w:tr>
        <w:trPr>
          <w:trHeight w:val="202"/>
        </w:trPr>
        <w:tc>
          <w:tcPr>
            <w:tcW w:w="580" w:type="dxa"/>
            <w:vAlign w:val="bottom"/>
          </w:tcPr>
          <w:p>
            <w:pPr>
              <w:spacing w:after="0"/>
              <w:rPr>
                <w:sz w:val="17"/>
                <w:szCs w:val="17"/>
                <w:color w:val="auto"/>
              </w:rPr>
            </w:pPr>
          </w:p>
        </w:tc>
        <w:tc>
          <w:tcPr>
            <w:tcW w:w="2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180" w:type="dxa"/>
            <w:vAlign w:val="bottom"/>
            <w:shd w:val="clear" w:color="auto" w:fill="CCEEFF"/>
          </w:tcPr>
          <w:p>
            <w:pPr>
              <w:ind w:left="60"/>
              <w:spacing w:after="0" w:line="201" w:lineRule="exact"/>
              <w:rPr>
                <w:sz w:val="20"/>
                <w:szCs w:val="20"/>
                <w:color w:val="auto"/>
              </w:rPr>
            </w:pPr>
            <w:r>
              <w:rPr>
                <w:rFonts w:ascii="Arial" w:cs="Arial" w:eastAsia="Arial" w:hAnsi="Arial"/>
                <w:sz w:val="18"/>
                <w:szCs w:val="18"/>
                <w:color w:val="auto"/>
              </w:rPr>
              <w:t>Net gain (loss) on interest</w:t>
            </w:r>
          </w:p>
        </w:tc>
        <w:tc>
          <w:tcPr>
            <w:tcW w:w="56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29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2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56</w:t>
            </w:r>
          </w:p>
        </w:tc>
        <w:tc>
          <w:tcPr>
            <w:tcW w:w="400" w:type="dxa"/>
            <w:vAlign w:val="bottom"/>
            <w:shd w:val="clear" w:color="auto" w:fill="CCEEFF"/>
          </w:tcPr>
          <w:p>
            <w:pPr>
              <w:spacing w:after="0"/>
              <w:rPr>
                <w:sz w:val="20"/>
                <w:szCs w:val="20"/>
                <w:color w:val="auto"/>
              </w:rPr>
            </w:pPr>
          </w:p>
        </w:tc>
        <w:tc>
          <w:tcPr>
            <w:tcW w:w="128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4</w:t>
            </w:r>
          </w:p>
        </w:tc>
        <w:tc>
          <w:tcPr>
            <w:tcW w:w="2180" w:type="dxa"/>
            <w:vAlign w:val="bottom"/>
            <w:shd w:val="clear" w:color="auto" w:fill="CCEEFF"/>
          </w:tcPr>
          <w:p>
            <w:pPr>
              <w:ind w:left="60"/>
              <w:spacing w:after="0"/>
              <w:rPr>
                <w:sz w:val="20"/>
                <w:szCs w:val="20"/>
                <w:color w:val="auto"/>
              </w:rPr>
            </w:pPr>
            <w:r>
              <w:rPr>
                <w:rFonts w:ascii="Arial" w:cs="Arial" w:eastAsia="Arial" w:hAnsi="Arial"/>
                <w:sz w:val="18"/>
                <w:szCs w:val="18"/>
                <w:color w:val="auto"/>
              </w:rPr>
              <w:t>rate swaps</w:t>
            </w:r>
          </w:p>
        </w:tc>
        <w:tc>
          <w:tcPr>
            <w:tcW w:w="560" w:type="dxa"/>
            <w:vAlign w:val="bottom"/>
          </w:tcPr>
          <w:p>
            <w:pPr>
              <w:spacing w:after="0"/>
              <w:rPr>
                <w:sz w:val="20"/>
                <w:szCs w:val="20"/>
                <w:color w:val="auto"/>
              </w:rPr>
            </w:pPr>
          </w:p>
        </w:tc>
      </w:tr>
      <w:tr>
        <w:trPr>
          <w:trHeight w:val="202"/>
        </w:trPr>
        <w:tc>
          <w:tcPr>
            <w:tcW w:w="580" w:type="dxa"/>
            <w:vAlign w:val="bottom"/>
          </w:tcPr>
          <w:p>
            <w:pPr>
              <w:spacing w:after="0"/>
              <w:rPr>
                <w:sz w:val="17"/>
                <w:szCs w:val="17"/>
                <w:color w:val="auto"/>
              </w:rPr>
            </w:pPr>
          </w:p>
        </w:tc>
        <w:tc>
          <w:tcPr>
            <w:tcW w:w="2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180" w:type="dxa"/>
            <w:vAlign w:val="bottom"/>
          </w:tcPr>
          <w:p>
            <w:pPr>
              <w:ind w:left="60"/>
              <w:spacing w:after="0" w:line="201" w:lineRule="exact"/>
              <w:rPr>
                <w:sz w:val="20"/>
                <w:szCs w:val="20"/>
                <w:color w:val="auto"/>
              </w:rPr>
            </w:pPr>
            <w:r>
              <w:rPr>
                <w:rFonts w:ascii="Arial" w:cs="Arial" w:eastAsia="Arial" w:hAnsi="Arial"/>
                <w:sz w:val="18"/>
                <w:szCs w:val="18"/>
                <w:color w:val="auto"/>
              </w:rPr>
              <w:t>Net gain (loss) on cross-</w:t>
            </w:r>
          </w:p>
        </w:tc>
        <w:tc>
          <w:tcPr>
            <w:tcW w:w="560" w:type="dxa"/>
            <w:vAlign w:val="bottom"/>
          </w:tcPr>
          <w:p>
            <w:pPr>
              <w:spacing w:after="0"/>
              <w:rPr>
                <w:sz w:val="17"/>
                <w:szCs w:val="17"/>
                <w:color w:val="auto"/>
              </w:rPr>
            </w:pPr>
          </w:p>
        </w:tc>
      </w:tr>
      <w:tr>
        <w:trPr>
          <w:trHeight w:val="244"/>
        </w:trPr>
        <w:tc>
          <w:tcPr>
            <w:tcW w:w="580" w:type="dxa"/>
            <w:vAlign w:val="bottom"/>
          </w:tcPr>
          <w:p>
            <w:pPr>
              <w:spacing w:after="0"/>
              <w:rPr>
                <w:sz w:val="21"/>
                <w:szCs w:val="21"/>
                <w:color w:val="auto"/>
              </w:rPr>
            </w:pPr>
          </w:p>
        </w:tc>
        <w:tc>
          <w:tcPr>
            <w:tcW w:w="2920" w:type="dxa"/>
            <w:vAlign w:val="bottom"/>
            <w:gridSpan w:val="2"/>
          </w:tcPr>
          <w:p>
            <w:pPr>
              <w:spacing w:after="0"/>
              <w:rPr>
                <w:sz w:val="20"/>
                <w:szCs w:val="20"/>
                <w:color w:val="auto"/>
              </w:rPr>
            </w:pPr>
            <w:r>
              <w:rPr>
                <w:rFonts w:ascii="Arial" w:cs="Arial" w:eastAsia="Arial" w:hAnsi="Arial"/>
                <w:sz w:val="18"/>
                <w:szCs w:val="18"/>
                <w:color w:val="auto"/>
              </w:rPr>
              <w:t>Cross-currency swaps</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20" w:type="dxa"/>
            <w:vAlign w:val="bottom"/>
            <w:gridSpan w:val="3"/>
          </w:tcPr>
          <w:p>
            <w:pPr>
              <w:jc w:val="right"/>
              <w:ind w:right="81"/>
              <w:spacing w:after="0"/>
              <w:rPr>
                <w:sz w:val="20"/>
                <w:szCs w:val="20"/>
                <w:color w:val="auto"/>
              </w:rPr>
            </w:pPr>
            <w:r>
              <w:rPr>
                <w:rFonts w:ascii="Arial" w:cs="Arial" w:eastAsia="Arial" w:hAnsi="Arial"/>
                <w:sz w:val="18"/>
                <w:szCs w:val="18"/>
                <w:color w:val="auto"/>
              </w:rPr>
              <w:t>(9)</w:t>
            </w:r>
          </w:p>
        </w:tc>
        <w:tc>
          <w:tcPr>
            <w:tcW w:w="400" w:type="dxa"/>
            <w:vAlign w:val="bottom"/>
          </w:tcPr>
          <w:p>
            <w:pPr>
              <w:spacing w:after="0"/>
              <w:rPr>
                <w:sz w:val="21"/>
                <w:szCs w:val="21"/>
                <w:color w:val="auto"/>
              </w:rPr>
            </w:pPr>
          </w:p>
        </w:tc>
        <w:tc>
          <w:tcPr>
            <w:tcW w:w="128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2180" w:type="dxa"/>
            <w:vAlign w:val="bottom"/>
          </w:tcPr>
          <w:p>
            <w:pPr>
              <w:ind w:left="60"/>
              <w:spacing w:after="0"/>
              <w:rPr>
                <w:sz w:val="20"/>
                <w:szCs w:val="20"/>
                <w:color w:val="auto"/>
              </w:rPr>
            </w:pPr>
            <w:r>
              <w:rPr>
                <w:rFonts w:ascii="Arial" w:cs="Arial" w:eastAsia="Arial" w:hAnsi="Arial"/>
                <w:sz w:val="18"/>
                <w:szCs w:val="18"/>
                <w:color w:val="auto"/>
              </w:rPr>
              <w:t>currency swaps</w:t>
            </w:r>
          </w:p>
        </w:tc>
        <w:tc>
          <w:tcPr>
            <w:tcW w:w="560" w:type="dxa"/>
            <w:vAlign w:val="bottom"/>
          </w:tcPr>
          <w:p>
            <w:pPr>
              <w:spacing w:after="0"/>
              <w:rPr>
                <w:sz w:val="21"/>
                <w:szCs w:val="21"/>
                <w:color w:val="auto"/>
              </w:rPr>
            </w:pPr>
          </w:p>
        </w:tc>
      </w:tr>
      <w:tr>
        <w:trPr>
          <w:trHeight w:val="223"/>
        </w:trPr>
        <w:tc>
          <w:tcPr>
            <w:tcW w:w="580" w:type="dxa"/>
            <w:vAlign w:val="bottom"/>
          </w:tcPr>
          <w:p>
            <w:pPr>
              <w:spacing w:after="0"/>
              <w:rPr>
                <w:sz w:val="19"/>
                <w:szCs w:val="19"/>
                <w:color w:val="auto"/>
              </w:rPr>
            </w:pPr>
          </w:p>
        </w:tc>
        <w:tc>
          <w:tcPr>
            <w:tcW w:w="28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(2,762</w:t>
            </w:r>
          </w:p>
        </w:tc>
        <w:tc>
          <w:tcPr>
            <w:tcW w:w="6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(5,008</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400" w:type="dxa"/>
            <w:vAlign w:val="bottom"/>
            <w:tcBorders>
              <w:top w:val="single" w:sz="8" w:color="auto"/>
              <w:bottom w:val="single" w:sz="8" w:color="auto"/>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(5,678</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2180" w:type="dxa"/>
            <w:vAlign w:val="bottom"/>
            <w:tcBorders>
              <w:top w:val="single" w:sz="8" w:color="CCEEFF"/>
              <w:bottom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2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18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635"/>
        </w:trPr>
        <w:tc>
          <w:tcPr>
            <w:tcW w:w="58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gridSpan w:val="3"/>
          </w:tcPr>
          <w:p>
            <w:pPr>
              <w:ind w:left="300"/>
              <w:spacing w:after="0"/>
              <w:rPr>
                <w:sz w:val="20"/>
                <w:szCs w:val="20"/>
                <w:color w:val="auto"/>
              </w:rPr>
            </w:pPr>
            <w:r>
              <w:rPr>
                <w:rFonts w:ascii="Arial" w:cs="Arial" w:eastAsia="Arial" w:hAnsi="Arial"/>
                <w:sz w:val="18"/>
                <w:szCs w:val="18"/>
                <w:color w:val="auto"/>
              </w:rPr>
              <w:t>F-110</w:t>
            </w: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1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46" w:name="page247"/>
    <w:bookmarkEnd w:id="2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80"/>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29" w:lineRule="exact"/>
        <w:rPr>
          <w:rFonts w:ascii="Arial" w:cs="Arial" w:eastAsia="Arial" w:hAnsi="Arial"/>
          <w:sz w:val="18"/>
          <w:szCs w:val="18"/>
          <w:b w:val="1"/>
          <w:bCs w:val="1"/>
          <w:color w:val="auto"/>
        </w:rPr>
      </w:pPr>
    </w:p>
    <w:p>
      <w:pPr>
        <w:ind w:left="340" w:right="1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00" w:type="dxa"/>
            <w:vAlign w:val="bottom"/>
          </w:tcPr>
          <w:p>
            <w:pPr>
              <w:spacing w:after="0"/>
              <w:rPr>
                <w:sz w:val="20"/>
                <w:szCs w:val="20"/>
                <w:color w:val="auto"/>
              </w:rPr>
            </w:pPr>
          </w:p>
        </w:tc>
        <w:tc>
          <w:tcPr>
            <w:tcW w:w="350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4340" w:type="dxa"/>
            <w:vAlign w:val="bottom"/>
            <w:tcBorders>
              <w:bottom w:val="single" w:sz="8" w:color="auto"/>
            </w:tcBorders>
            <w:gridSpan w:val="4"/>
          </w:tcPr>
          <w:p>
            <w:pPr>
              <w:jc w:val="right"/>
              <w:ind w:right="1500"/>
              <w:spacing w:after="0"/>
              <w:rPr>
                <w:sz w:val="20"/>
                <w:szCs w:val="20"/>
                <w:color w:val="auto"/>
              </w:rPr>
            </w:pPr>
            <w:r>
              <w:rPr>
                <w:rFonts w:ascii="Arial" w:cs="Arial" w:eastAsia="Arial" w:hAnsi="Arial"/>
                <w:sz w:val="18"/>
                <w:szCs w:val="18"/>
                <w:b w:val="1"/>
                <w:bCs w:val="1"/>
                <w:color w:val="auto"/>
              </w:rPr>
              <w:t>December 31, 2020</w:t>
            </w:r>
          </w:p>
        </w:tc>
        <w:tc>
          <w:tcPr>
            <w:tcW w:w="12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r>
      <w:tr>
        <w:trPr>
          <w:trHeight w:val="191"/>
        </w:trPr>
        <w:tc>
          <w:tcPr>
            <w:tcW w:w="300" w:type="dxa"/>
            <w:vAlign w:val="bottom"/>
          </w:tcPr>
          <w:p>
            <w:pPr>
              <w:spacing w:after="0"/>
              <w:rPr>
                <w:sz w:val="16"/>
                <w:szCs w:val="16"/>
                <w:color w:val="auto"/>
              </w:rPr>
            </w:pPr>
          </w:p>
        </w:tc>
        <w:tc>
          <w:tcPr>
            <w:tcW w:w="35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3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Documentary and standby</w:t>
            </w:r>
          </w:p>
        </w:tc>
        <w:tc>
          <w:tcPr>
            <w:tcW w:w="20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Other commissions,</w:t>
            </w: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34"/>
        </w:trPr>
        <w:tc>
          <w:tcPr>
            <w:tcW w:w="300" w:type="dxa"/>
            <w:vAlign w:val="bottom"/>
          </w:tcPr>
          <w:p>
            <w:pPr>
              <w:spacing w:after="0"/>
              <w:rPr>
                <w:sz w:val="20"/>
                <w:szCs w:val="20"/>
                <w:color w:val="auto"/>
              </w:rPr>
            </w:pPr>
          </w:p>
        </w:tc>
        <w:tc>
          <w:tcPr>
            <w:tcW w:w="3500" w:type="dxa"/>
            <w:vAlign w:val="bottom"/>
          </w:tcPr>
          <w:p>
            <w:pPr>
              <w:spacing w:after="0"/>
              <w:rPr>
                <w:sz w:val="20"/>
                <w:szCs w:val="20"/>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Syndications</w:t>
            </w:r>
          </w:p>
        </w:tc>
        <w:tc>
          <w:tcPr>
            <w:tcW w:w="2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letters of credit</w:t>
            </w:r>
          </w:p>
        </w:tc>
        <w:tc>
          <w:tcPr>
            <w:tcW w:w="20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net</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209"/>
        </w:trPr>
        <w:tc>
          <w:tcPr>
            <w:tcW w:w="300" w:type="dxa"/>
            <w:vAlign w:val="bottom"/>
          </w:tcPr>
          <w:p>
            <w:pPr>
              <w:spacing w:after="0"/>
              <w:rPr>
                <w:sz w:val="18"/>
                <w:szCs w:val="18"/>
                <w:color w:val="auto"/>
              </w:rPr>
            </w:pPr>
          </w:p>
        </w:tc>
        <w:tc>
          <w:tcPr>
            <w:tcW w:w="3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Issuance and confirmation</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8,090</w:t>
            </w:r>
          </w:p>
        </w:tc>
        <w:tc>
          <w:tcPr>
            <w:tcW w:w="20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w:t>
            </w: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9,490</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183</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183</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688</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688</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Structuring</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603</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603</w:t>
            </w:r>
          </w:p>
        </w:tc>
        <w:tc>
          <w:tcPr>
            <w:tcW w:w="280" w:type="dxa"/>
            <w:vAlign w:val="bottom"/>
          </w:tcPr>
          <w:p>
            <w:pPr>
              <w:spacing w:after="0"/>
              <w:rPr>
                <w:sz w:val="18"/>
                <w:szCs w:val="18"/>
                <w:color w:val="auto"/>
              </w:rPr>
            </w:pPr>
          </w:p>
        </w:tc>
      </w:tr>
      <w:tr>
        <w:trPr>
          <w:trHeight w:val="229"/>
        </w:trPr>
        <w:tc>
          <w:tcPr>
            <w:tcW w:w="300" w:type="dxa"/>
            <w:vAlign w:val="bottom"/>
          </w:tcPr>
          <w:p>
            <w:pPr>
              <w:spacing w:after="0"/>
              <w:rPr>
                <w:sz w:val="19"/>
                <w:szCs w:val="19"/>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(584)</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(546)</w:t>
            </w: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250"/>
        </w:trPr>
        <w:tc>
          <w:tcPr>
            <w:tcW w:w="300" w:type="dxa"/>
            <w:vAlign w:val="bottom"/>
          </w:tcPr>
          <w:p>
            <w:pPr>
              <w:spacing w:after="0"/>
              <w:rPr>
                <w:sz w:val="21"/>
                <w:szCs w:val="21"/>
                <w:color w:val="auto"/>
              </w:rPr>
            </w:pPr>
          </w:p>
        </w:tc>
        <w:tc>
          <w:tcPr>
            <w:tcW w:w="3500" w:type="dxa"/>
            <w:vAlign w:val="bottom"/>
          </w:tcPr>
          <w:p>
            <w:pPr>
              <w:spacing w:after="0"/>
              <w:rPr>
                <w:sz w:val="21"/>
                <w:szCs w:val="21"/>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603</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9,000</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815</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10,418</w:t>
            </w:r>
          </w:p>
        </w:tc>
        <w:tc>
          <w:tcPr>
            <w:tcW w:w="280" w:type="dxa"/>
            <w:vAlign w:val="bottom"/>
          </w:tcPr>
          <w:p>
            <w:pPr>
              <w:spacing w:after="0"/>
              <w:rPr>
                <w:sz w:val="21"/>
                <w:szCs w:val="21"/>
                <w:color w:val="auto"/>
              </w:rPr>
            </w:pPr>
          </w:p>
        </w:tc>
      </w:tr>
      <w:tr>
        <w:trPr>
          <w:trHeight w:val="20"/>
        </w:trPr>
        <w:tc>
          <w:tcPr>
            <w:tcW w:w="3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35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40" w:type="dxa"/>
            <w:vAlign w:val="bottom"/>
            <w:tcBorders>
              <w:bottom w:val="single" w:sz="8" w:color="auto"/>
            </w:tcBorders>
            <w:gridSpan w:val="4"/>
          </w:tcPr>
          <w:p>
            <w:pPr>
              <w:jc w:val="right"/>
              <w:ind w:right="1500"/>
              <w:spacing w:after="0"/>
              <w:rPr>
                <w:sz w:val="20"/>
                <w:szCs w:val="20"/>
                <w:color w:val="auto"/>
              </w:rPr>
            </w:pPr>
            <w:r>
              <w:rPr>
                <w:rFonts w:ascii="Arial" w:cs="Arial" w:eastAsia="Arial" w:hAnsi="Arial"/>
                <w:sz w:val="18"/>
                <w:szCs w:val="18"/>
                <w:b w:val="1"/>
                <w:bCs w:val="1"/>
                <w:color w:val="auto"/>
              </w:rPr>
              <w:t>December 31, 2019</w:t>
            </w:r>
          </w:p>
        </w:tc>
        <w:tc>
          <w:tcPr>
            <w:tcW w:w="12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35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3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Documentary and standby</w:t>
            </w:r>
          </w:p>
        </w:tc>
        <w:tc>
          <w:tcPr>
            <w:tcW w:w="20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Other commissions,</w:t>
            </w: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34"/>
        </w:trPr>
        <w:tc>
          <w:tcPr>
            <w:tcW w:w="300" w:type="dxa"/>
            <w:vAlign w:val="bottom"/>
          </w:tcPr>
          <w:p>
            <w:pPr>
              <w:spacing w:after="0"/>
              <w:rPr>
                <w:sz w:val="20"/>
                <w:szCs w:val="20"/>
                <w:color w:val="auto"/>
              </w:rPr>
            </w:pPr>
          </w:p>
        </w:tc>
        <w:tc>
          <w:tcPr>
            <w:tcW w:w="3500" w:type="dxa"/>
            <w:vAlign w:val="bottom"/>
          </w:tcPr>
          <w:p>
            <w:pPr>
              <w:spacing w:after="0"/>
              <w:rPr>
                <w:sz w:val="20"/>
                <w:szCs w:val="20"/>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Syndications</w:t>
            </w:r>
          </w:p>
        </w:tc>
        <w:tc>
          <w:tcPr>
            <w:tcW w:w="2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letters of credit</w:t>
            </w:r>
          </w:p>
        </w:tc>
        <w:tc>
          <w:tcPr>
            <w:tcW w:w="20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net</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209"/>
        </w:trPr>
        <w:tc>
          <w:tcPr>
            <w:tcW w:w="300" w:type="dxa"/>
            <w:vAlign w:val="bottom"/>
          </w:tcPr>
          <w:p>
            <w:pPr>
              <w:spacing w:after="0"/>
              <w:rPr>
                <w:sz w:val="18"/>
                <w:szCs w:val="18"/>
                <w:color w:val="auto"/>
              </w:rPr>
            </w:pPr>
          </w:p>
        </w:tc>
        <w:tc>
          <w:tcPr>
            <w:tcW w:w="3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Issuance and confirmation</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8,381</w:t>
            </w:r>
          </w:p>
        </w:tc>
        <w:tc>
          <w:tcPr>
            <w:tcW w:w="20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1,312</w:t>
            </w: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9,693</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399</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399</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632</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(27)</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605</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Structuring</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5,622</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5,622</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94</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(766)</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(672)</w:t>
            </w:r>
          </w:p>
        </w:tc>
        <w:tc>
          <w:tcPr>
            <w:tcW w:w="280" w:type="dxa"/>
            <w:vAlign w:val="bottom"/>
          </w:tcPr>
          <w:p>
            <w:pPr>
              <w:spacing w:after="0"/>
              <w:rPr>
                <w:sz w:val="19"/>
                <w:szCs w:val="19"/>
                <w:color w:val="auto"/>
              </w:rPr>
            </w:pPr>
          </w:p>
        </w:tc>
      </w:tr>
      <w:tr>
        <w:trPr>
          <w:trHeight w:val="210"/>
        </w:trPr>
        <w:tc>
          <w:tcPr>
            <w:tcW w:w="300" w:type="dxa"/>
            <w:vAlign w:val="bottom"/>
          </w:tcPr>
          <w:p>
            <w:pPr>
              <w:spacing w:after="0"/>
              <w:rPr>
                <w:sz w:val="18"/>
                <w:szCs w:val="18"/>
                <w:color w:val="auto"/>
              </w:rPr>
            </w:pPr>
          </w:p>
        </w:tc>
        <w:tc>
          <w:tcPr>
            <w:tcW w:w="350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5,622</w:t>
            </w:r>
          </w:p>
        </w:tc>
        <w:tc>
          <w:tcPr>
            <w:tcW w:w="200" w:type="dxa"/>
            <w:vAlign w:val="bottom"/>
          </w:tcPr>
          <w:p>
            <w:pPr>
              <w:spacing w:after="0"/>
              <w:rPr>
                <w:sz w:val="18"/>
                <w:szCs w:val="18"/>
                <w:color w:val="auto"/>
              </w:rPr>
            </w:pPr>
          </w:p>
        </w:tc>
        <w:tc>
          <w:tcPr>
            <w:tcW w:w="2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9,506</w:t>
            </w:r>
          </w:p>
        </w:tc>
        <w:tc>
          <w:tcPr>
            <w:tcW w:w="200" w:type="dxa"/>
            <w:vAlign w:val="bottom"/>
          </w:tcPr>
          <w:p>
            <w:pPr>
              <w:spacing w:after="0"/>
              <w:rPr>
                <w:sz w:val="18"/>
                <w:szCs w:val="18"/>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519</w:t>
            </w:r>
          </w:p>
        </w:tc>
        <w:tc>
          <w:tcPr>
            <w:tcW w:w="18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15,647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r>
      <w:tr>
        <w:trPr>
          <w:trHeight w:val="20"/>
        </w:trPr>
        <w:tc>
          <w:tcPr>
            <w:tcW w:w="3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6"/>
        </w:trPr>
        <w:tc>
          <w:tcPr>
            <w:tcW w:w="300" w:type="dxa"/>
            <w:vAlign w:val="bottom"/>
          </w:tcPr>
          <w:p>
            <w:pPr>
              <w:spacing w:after="0"/>
              <w:rPr>
                <w:sz w:val="24"/>
                <w:szCs w:val="24"/>
                <w:color w:val="auto"/>
              </w:rPr>
            </w:pPr>
          </w:p>
        </w:tc>
        <w:tc>
          <w:tcPr>
            <w:tcW w:w="35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340" w:type="dxa"/>
            <w:vAlign w:val="bottom"/>
            <w:tcBorders>
              <w:bottom w:val="single" w:sz="8" w:color="auto"/>
            </w:tcBorders>
            <w:gridSpan w:val="4"/>
          </w:tcPr>
          <w:p>
            <w:pPr>
              <w:jc w:val="right"/>
              <w:ind w:right="1500"/>
              <w:spacing w:after="0"/>
              <w:rPr>
                <w:sz w:val="20"/>
                <w:szCs w:val="20"/>
                <w:color w:val="auto"/>
              </w:rPr>
            </w:pPr>
            <w:r>
              <w:rPr>
                <w:rFonts w:ascii="Arial" w:cs="Arial" w:eastAsia="Arial" w:hAnsi="Arial"/>
                <w:sz w:val="18"/>
                <w:szCs w:val="18"/>
                <w:b w:val="1"/>
                <w:bCs w:val="1"/>
                <w:color w:val="auto"/>
              </w:rPr>
              <w:t>December 31, 2018</w:t>
            </w:r>
          </w:p>
        </w:tc>
        <w:tc>
          <w:tcPr>
            <w:tcW w:w="12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80" w:type="dxa"/>
            <w:vAlign w:val="bottom"/>
          </w:tcPr>
          <w:p>
            <w:pPr>
              <w:spacing w:after="0"/>
              <w:rPr>
                <w:sz w:val="24"/>
                <w:szCs w:val="24"/>
                <w:color w:val="auto"/>
              </w:rPr>
            </w:pPr>
          </w:p>
        </w:tc>
      </w:tr>
      <w:tr>
        <w:trPr>
          <w:trHeight w:val="191"/>
        </w:trPr>
        <w:tc>
          <w:tcPr>
            <w:tcW w:w="300" w:type="dxa"/>
            <w:vAlign w:val="bottom"/>
          </w:tcPr>
          <w:p>
            <w:pPr>
              <w:spacing w:after="0"/>
              <w:rPr>
                <w:sz w:val="16"/>
                <w:szCs w:val="16"/>
                <w:color w:val="auto"/>
              </w:rPr>
            </w:pPr>
          </w:p>
        </w:tc>
        <w:tc>
          <w:tcPr>
            <w:tcW w:w="35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3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Documentary and standby</w:t>
            </w:r>
          </w:p>
        </w:tc>
        <w:tc>
          <w:tcPr>
            <w:tcW w:w="20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Other commissions,</w:t>
            </w:r>
          </w:p>
        </w:tc>
        <w:tc>
          <w:tcPr>
            <w:tcW w:w="1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80" w:type="dxa"/>
            <w:vAlign w:val="bottom"/>
          </w:tcPr>
          <w:p>
            <w:pPr>
              <w:spacing w:after="0"/>
              <w:rPr>
                <w:sz w:val="16"/>
                <w:szCs w:val="16"/>
                <w:color w:val="auto"/>
              </w:rPr>
            </w:pPr>
          </w:p>
        </w:tc>
      </w:tr>
      <w:tr>
        <w:trPr>
          <w:trHeight w:val="234"/>
        </w:trPr>
        <w:tc>
          <w:tcPr>
            <w:tcW w:w="300" w:type="dxa"/>
            <w:vAlign w:val="bottom"/>
          </w:tcPr>
          <w:p>
            <w:pPr>
              <w:spacing w:after="0"/>
              <w:rPr>
                <w:sz w:val="20"/>
                <w:szCs w:val="20"/>
                <w:color w:val="auto"/>
              </w:rPr>
            </w:pPr>
          </w:p>
        </w:tc>
        <w:tc>
          <w:tcPr>
            <w:tcW w:w="3500" w:type="dxa"/>
            <w:vAlign w:val="bottom"/>
          </w:tcPr>
          <w:p>
            <w:pPr>
              <w:spacing w:after="0"/>
              <w:rPr>
                <w:sz w:val="20"/>
                <w:szCs w:val="20"/>
                <w:color w:val="auto"/>
              </w:rPr>
            </w:pPr>
          </w:p>
        </w:tc>
        <w:tc>
          <w:tcPr>
            <w:tcW w:w="14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6"/>
              </w:rPr>
              <w:t>Syndications</w:t>
            </w:r>
          </w:p>
        </w:tc>
        <w:tc>
          <w:tcPr>
            <w:tcW w:w="2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letters of credit</w:t>
            </w:r>
          </w:p>
        </w:tc>
        <w:tc>
          <w:tcPr>
            <w:tcW w:w="20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net</w:t>
            </w:r>
          </w:p>
        </w:tc>
        <w:tc>
          <w:tcPr>
            <w:tcW w:w="14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280" w:type="dxa"/>
            <w:vAlign w:val="bottom"/>
          </w:tcPr>
          <w:p>
            <w:pPr>
              <w:spacing w:after="0"/>
              <w:rPr>
                <w:sz w:val="20"/>
                <w:szCs w:val="20"/>
                <w:color w:val="auto"/>
              </w:rPr>
            </w:pPr>
          </w:p>
        </w:tc>
      </w:tr>
      <w:tr>
        <w:trPr>
          <w:trHeight w:val="210"/>
        </w:trPr>
        <w:tc>
          <w:tcPr>
            <w:tcW w:w="300" w:type="dxa"/>
            <w:vAlign w:val="bottom"/>
          </w:tcPr>
          <w:p>
            <w:pPr>
              <w:spacing w:after="0"/>
              <w:rPr>
                <w:sz w:val="18"/>
                <w:szCs w:val="18"/>
                <w:color w:val="auto"/>
              </w:rPr>
            </w:pPr>
          </w:p>
        </w:tc>
        <w:tc>
          <w:tcPr>
            <w:tcW w:w="3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Issuance and confirmation</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9,281</w:t>
            </w:r>
          </w:p>
        </w:tc>
        <w:tc>
          <w:tcPr>
            <w:tcW w:w="20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1,738</w:t>
            </w:r>
          </w:p>
        </w:tc>
        <w:tc>
          <w:tcPr>
            <w:tcW w:w="18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11,019</w:t>
            </w:r>
          </w:p>
        </w:tc>
        <w:tc>
          <w:tcPr>
            <w:tcW w:w="12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379</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379</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1,020</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(151)</w:t>
            </w:r>
          </w:p>
        </w:tc>
        <w:tc>
          <w:tcPr>
            <w:tcW w:w="14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869</w:t>
            </w:r>
          </w:p>
        </w:tc>
        <w:tc>
          <w:tcPr>
            <w:tcW w:w="280" w:type="dxa"/>
            <w:vAlign w:val="bottom"/>
          </w:tcPr>
          <w:p>
            <w:pPr>
              <w:spacing w:after="0"/>
              <w:rPr>
                <w:sz w:val="18"/>
                <w:szCs w:val="18"/>
                <w:color w:val="auto"/>
              </w:rPr>
            </w:pPr>
          </w:p>
        </w:tc>
      </w:tr>
      <w:tr>
        <w:trPr>
          <w:trHeight w:val="216"/>
        </w:trPr>
        <w:tc>
          <w:tcPr>
            <w:tcW w:w="300" w:type="dxa"/>
            <w:vAlign w:val="bottom"/>
          </w:tcPr>
          <w:p>
            <w:pPr>
              <w:spacing w:after="0"/>
              <w:rPr>
                <w:sz w:val="18"/>
                <w:szCs w:val="18"/>
                <w:color w:val="auto"/>
              </w:rPr>
            </w:pPr>
          </w:p>
        </w:tc>
        <w:tc>
          <w:tcPr>
            <w:tcW w:w="3500" w:type="dxa"/>
            <w:vAlign w:val="bottom"/>
          </w:tcPr>
          <w:p>
            <w:pPr>
              <w:spacing w:after="0"/>
              <w:rPr>
                <w:sz w:val="20"/>
                <w:szCs w:val="20"/>
                <w:color w:val="auto"/>
              </w:rPr>
            </w:pPr>
            <w:r>
              <w:rPr>
                <w:rFonts w:ascii="Arial" w:cs="Arial" w:eastAsia="Arial" w:hAnsi="Arial"/>
                <w:sz w:val="18"/>
                <w:szCs w:val="18"/>
                <w:color w:val="auto"/>
              </w:rPr>
              <w:t>Structuring</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4,950</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color w:val="auto"/>
              </w:rPr>
              <w:t>4,950</w:t>
            </w:r>
          </w:p>
        </w:tc>
        <w:tc>
          <w:tcPr>
            <w:tcW w:w="280" w:type="dxa"/>
            <w:vAlign w:val="bottom"/>
          </w:tcPr>
          <w:p>
            <w:pPr>
              <w:spacing w:after="0"/>
              <w:rPr>
                <w:sz w:val="18"/>
                <w:szCs w:val="18"/>
                <w:color w:val="auto"/>
              </w:rPr>
            </w:pPr>
          </w:p>
        </w:tc>
      </w:tr>
      <w:tr>
        <w:trPr>
          <w:trHeight w:val="230"/>
        </w:trPr>
        <w:tc>
          <w:tcPr>
            <w:tcW w:w="300" w:type="dxa"/>
            <w:vAlign w:val="bottom"/>
          </w:tcPr>
          <w:p>
            <w:pPr>
              <w:spacing w:after="0"/>
              <w:rPr>
                <w:sz w:val="19"/>
                <w:szCs w:val="19"/>
                <w:color w:val="auto"/>
              </w:rPr>
            </w:pPr>
          </w:p>
        </w:tc>
        <w:tc>
          <w:tcPr>
            <w:tcW w:w="350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87</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(32)</w:t>
            </w:r>
          </w:p>
        </w:tc>
        <w:tc>
          <w:tcPr>
            <w:tcW w:w="280" w:type="dxa"/>
            <w:vAlign w:val="bottom"/>
          </w:tcPr>
          <w:p>
            <w:pPr>
              <w:spacing w:after="0"/>
              <w:rPr>
                <w:sz w:val="19"/>
                <w:szCs w:val="19"/>
                <w:color w:val="auto"/>
              </w:rPr>
            </w:pPr>
          </w:p>
        </w:tc>
      </w:tr>
      <w:tr>
        <w:trPr>
          <w:trHeight w:val="20"/>
        </w:trPr>
        <w:tc>
          <w:tcPr>
            <w:tcW w:w="3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250"/>
        </w:trPr>
        <w:tc>
          <w:tcPr>
            <w:tcW w:w="300" w:type="dxa"/>
            <w:vAlign w:val="bottom"/>
          </w:tcPr>
          <w:p>
            <w:pPr>
              <w:spacing w:after="0"/>
              <w:rPr>
                <w:sz w:val="21"/>
                <w:szCs w:val="21"/>
                <w:color w:val="auto"/>
              </w:rPr>
            </w:pPr>
          </w:p>
        </w:tc>
        <w:tc>
          <w:tcPr>
            <w:tcW w:w="3500" w:type="dxa"/>
            <w:vAlign w:val="bottom"/>
          </w:tcPr>
          <w:p>
            <w:pPr>
              <w:spacing w:after="0"/>
              <w:rPr>
                <w:sz w:val="21"/>
                <w:szCs w:val="21"/>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4,950</w:t>
            </w:r>
          </w:p>
        </w:tc>
        <w:tc>
          <w:tcPr>
            <w:tcW w:w="2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10,767</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1,468</w:t>
            </w:r>
          </w:p>
        </w:tc>
        <w:tc>
          <w:tcPr>
            <w:tcW w:w="14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17,185</w:t>
            </w:r>
          </w:p>
        </w:tc>
        <w:tc>
          <w:tcPr>
            <w:tcW w:w="280" w:type="dxa"/>
            <w:vAlign w:val="bottom"/>
          </w:tcPr>
          <w:p>
            <w:pPr>
              <w:spacing w:after="0"/>
              <w:rPr>
                <w:sz w:val="21"/>
                <w:szCs w:val="21"/>
                <w:color w:val="auto"/>
              </w:rPr>
            </w:pPr>
          </w:p>
        </w:tc>
      </w:tr>
      <w:tr>
        <w:trPr>
          <w:trHeight w:val="20"/>
        </w:trPr>
        <w:tc>
          <w:tcPr>
            <w:tcW w:w="30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r>
      <w:tr>
        <w:trPr>
          <w:trHeight w:val="420"/>
        </w:trPr>
        <w:tc>
          <w:tcPr>
            <w:tcW w:w="300" w:type="dxa"/>
            <w:vAlign w:val="bottom"/>
            <w:tcBorders>
              <w:bottom w:val="single" w:sz="8" w:color="auto"/>
            </w:tcBorders>
          </w:tcPr>
          <w:p>
            <w:pPr>
              <w:spacing w:after="0"/>
              <w:rPr>
                <w:sz w:val="24"/>
                <w:szCs w:val="24"/>
                <w:color w:val="auto"/>
              </w:rPr>
            </w:pPr>
          </w:p>
        </w:tc>
        <w:tc>
          <w:tcPr>
            <w:tcW w:w="35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gridSpan w:val="2"/>
          </w:tcPr>
          <w:p>
            <w:pPr>
              <w:jc w:val="right"/>
              <w:ind w:right="1720"/>
              <w:spacing w:after="0"/>
              <w:rPr>
                <w:sz w:val="20"/>
                <w:szCs w:val="20"/>
                <w:color w:val="auto"/>
              </w:rPr>
            </w:pPr>
            <w:r>
              <w:rPr>
                <w:rFonts w:ascii="Arial" w:cs="Arial" w:eastAsia="Arial" w:hAnsi="Arial"/>
                <w:sz w:val="18"/>
                <w:szCs w:val="18"/>
                <w:color w:val="auto"/>
              </w:rPr>
              <w:t>F-111</w:t>
            </w:r>
          </w:p>
        </w:tc>
        <w:tc>
          <w:tcPr>
            <w:tcW w:w="1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47" w:name="page248"/>
    <w:bookmarkEnd w:id="2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6"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29845</wp:posOffset>
            </wp:positionV>
            <wp:extent cx="7132320" cy="8255"/>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33" w:lineRule="exact"/>
        <w:rPr>
          <w:sz w:val="20"/>
          <w:szCs w:val="20"/>
          <w:color w:val="auto"/>
        </w:rPr>
      </w:pPr>
    </w:p>
    <w:p>
      <w:pPr>
        <w:ind w:left="340" w:hanging="332"/>
        <w:spacing w:after="0"/>
        <w:tabs>
          <w:tab w:leader="none" w:pos="340" w:val="left"/>
        </w:tabs>
        <w:numPr>
          <w:ilvl w:val="0"/>
          <w:numId w:val="281"/>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following table provides information on the ordinary income that is expected to be recognized on the contracts in force:</w:t>
      </w:r>
    </w:p>
    <w:p>
      <w:pPr>
        <w:sectPr>
          <w:pgSz w:w="11900" w:h="16838" w:orient="portrait"/>
          <w:cols w:equalWidth="0" w:num="1">
            <w:col w:w="11240"/>
          </w:cols>
          <w:pgMar w:left="320" w:top="688"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1300"/>
        <w:spacing w:after="0"/>
        <w:rPr>
          <w:sz w:val="20"/>
          <w:szCs w:val="20"/>
          <w:color w:val="auto"/>
        </w:rPr>
      </w:pPr>
      <w:r>
        <w:rPr>
          <w:rFonts w:ascii="Arial" w:cs="Arial" w:eastAsia="Arial" w:hAnsi="Arial"/>
          <w:sz w:val="17"/>
          <w:szCs w:val="17"/>
          <w:color w:val="auto"/>
        </w:rPr>
        <w:t>Up to 1 year</w:t>
      </w:r>
    </w:p>
    <w:p>
      <w:pPr>
        <w:spacing w:after="0" w:line="21" w:lineRule="exact"/>
        <w:rPr>
          <w:sz w:val="20"/>
          <w:szCs w:val="20"/>
          <w:color w:val="auto"/>
        </w:rPr>
      </w:pPr>
    </w:p>
    <w:p>
      <w:pPr>
        <w:ind w:left="1300"/>
        <w:spacing w:after="0"/>
        <w:rPr>
          <w:sz w:val="20"/>
          <w:szCs w:val="20"/>
          <w:color w:val="auto"/>
        </w:rPr>
      </w:pPr>
      <w:r>
        <w:rPr>
          <w:rFonts w:ascii="Arial" w:cs="Arial" w:eastAsia="Arial" w:hAnsi="Arial"/>
          <w:sz w:val="17"/>
          <w:szCs w:val="17"/>
          <w:color w:val="auto"/>
        </w:rPr>
        <w:t>From 1 to 2 years</w:t>
      </w:r>
    </w:p>
    <w:p>
      <w:pPr>
        <w:spacing w:after="0" w:line="7" w:lineRule="exact"/>
        <w:rPr>
          <w:sz w:val="20"/>
          <w:szCs w:val="20"/>
          <w:color w:val="auto"/>
        </w:rPr>
      </w:pPr>
    </w:p>
    <w:p>
      <w:pPr>
        <w:ind w:left="1300"/>
        <w:spacing w:after="0"/>
        <w:rPr>
          <w:sz w:val="20"/>
          <w:szCs w:val="20"/>
          <w:color w:val="auto"/>
        </w:rPr>
      </w:pPr>
      <w:r>
        <w:rPr>
          <w:rFonts w:ascii="Arial" w:cs="Arial" w:eastAsia="Arial" w:hAnsi="Arial"/>
          <w:sz w:val="16"/>
          <w:szCs w:val="16"/>
          <w:color w:val="auto"/>
        </w:rPr>
        <w:t>More than 2 years</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27. Business segment information</w:t>
      </w:r>
    </w:p>
    <w:p>
      <w:pPr>
        <w:spacing w:after="0" w:line="20" w:lineRule="exact"/>
        <w:rPr>
          <w:sz w:val="20"/>
          <w:szCs w:val="20"/>
          <w:color w:val="auto"/>
        </w:rPr>
      </w:pPr>
      <w:r>
        <w:rPr>
          <w:sz w:val="20"/>
          <w:szCs w:val="20"/>
          <w:color w:val="auto"/>
        </w:rPr>
        <w:br w:type="column"/>
      </w:r>
    </w:p>
    <w:p>
      <w:pPr>
        <w:spacing w:after="0" w:line="221"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December 31,</w:t>
      </w:r>
    </w:p>
    <w:p>
      <w:pPr>
        <w:spacing w:after="0" w:line="25" w:lineRule="exact"/>
        <w:rPr>
          <w:sz w:val="20"/>
          <w:szCs w:val="20"/>
          <w:color w:val="auto"/>
        </w:rPr>
      </w:pPr>
    </w:p>
    <w:p>
      <w:pPr>
        <w:ind w:left="360"/>
        <w:spacing w:after="0"/>
        <w:rPr>
          <w:sz w:val="20"/>
          <w:szCs w:val="20"/>
          <w:color w:val="auto"/>
        </w:rPr>
      </w:pPr>
      <w:r>
        <w:rPr>
          <w:rFonts w:ascii="Arial" w:cs="Arial" w:eastAsia="Arial" w:hAnsi="Arial"/>
          <w:sz w:val="17"/>
          <w:szCs w:val="17"/>
          <w:b w:val="1"/>
          <w:bCs w:val="1"/>
          <w:color w:val="auto"/>
        </w:rPr>
        <w:t>2020</w:t>
      </w:r>
    </w:p>
    <w:p>
      <w:pPr>
        <w:spacing w:after="0" w:line="7" w:lineRule="exact"/>
        <w:rPr>
          <w:sz w:val="20"/>
          <w:szCs w:val="20"/>
          <w:color w:val="auto"/>
        </w:rPr>
      </w:pPr>
    </w:p>
    <w:p>
      <w:pPr>
        <w:jc w:val="right"/>
        <w:ind w:right="3300"/>
        <w:spacing w:after="0"/>
        <w:rPr>
          <w:sz w:val="20"/>
          <w:szCs w:val="20"/>
          <w:color w:val="auto"/>
        </w:rPr>
      </w:pPr>
      <w:r>
        <w:rPr>
          <w:rFonts w:ascii="Arial" w:cs="Arial" w:eastAsia="Arial" w:hAnsi="Arial"/>
          <w:sz w:val="17"/>
          <w:szCs w:val="17"/>
          <w:color w:val="auto"/>
        </w:rPr>
        <w:t>1,917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-3413125</wp:posOffset>
            </wp:positionH>
            <wp:positionV relativeFrom="paragraph">
              <wp:posOffset>-120650</wp:posOffset>
            </wp:positionV>
            <wp:extent cx="4277360" cy="13716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09">
                      <a:extLst>
                        <a:ext uri="{28A0092B-C50C-407E-A947-70E740481C1C}"/>
                      </a:extLst>
                    </a:blip>
                    <a:srcRect/>
                    <a:stretch>
                      <a:fillRect/>
                    </a:stretch>
                  </pic:blipFill>
                  <pic:spPr bwMode="auto">
                    <a:xfrm>
                      <a:off x="0" y="0"/>
                      <a:ext cx="4277360" cy="137160"/>
                    </a:xfrm>
                    <a:prstGeom prst="rect">
                      <a:avLst/>
                    </a:prstGeom>
                    <a:noFill/>
                  </pic:spPr>
                </pic:pic>
              </a:graphicData>
            </a:graphic>
          </wp:anchor>
        </w:drawing>
      </w:r>
    </w:p>
    <w:p>
      <w:pPr>
        <w:spacing w:after="0" w:line="1" w:lineRule="exact"/>
        <w:rPr>
          <w:sz w:val="20"/>
          <w:szCs w:val="20"/>
          <w:color w:val="auto"/>
        </w:rPr>
      </w:pPr>
    </w:p>
    <w:p>
      <w:pPr>
        <w:jc w:val="right"/>
        <w:ind w:right="3300"/>
        <w:spacing w:after="0"/>
        <w:rPr>
          <w:sz w:val="20"/>
          <w:szCs w:val="20"/>
          <w:color w:val="auto"/>
        </w:rPr>
      </w:pPr>
      <w:r>
        <w:rPr>
          <w:rFonts w:ascii="Arial" w:cs="Arial" w:eastAsia="Arial" w:hAnsi="Arial"/>
          <w:sz w:val="17"/>
          <w:szCs w:val="17"/>
          <w:color w:val="auto"/>
        </w:rPr>
        <w:t>361</w:t>
      </w:r>
    </w:p>
    <w:p>
      <w:pPr>
        <w:spacing w:after="0" w:line="7" w:lineRule="exact"/>
        <w:rPr>
          <w:sz w:val="20"/>
          <w:szCs w:val="20"/>
          <w:color w:val="auto"/>
        </w:rPr>
      </w:pPr>
    </w:p>
    <w:p>
      <w:pPr>
        <w:jc w:val="right"/>
        <w:ind w:right="3300"/>
        <w:spacing w:after="0"/>
        <w:rPr>
          <w:sz w:val="20"/>
          <w:szCs w:val="20"/>
          <w:color w:val="auto"/>
        </w:rPr>
      </w:pPr>
      <w:r>
        <w:rPr>
          <w:rFonts w:ascii="Arial" w:cs="Arial" w:eastAsia="Arial" w:hAnsi="Arial"/>
          <w:sz w:val="17"/>
          <w:szCs w:val="17"/>
          <w:color w:val="auto"/>
        </w:rPr>
        <w:t>763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-3413125</wp:posOffset>
            </wp:positionH>
            <wp:positionV relativeFrom="paragraph">
              <wp:posOffset>-120650</wp:posOffset>
            </wp:positionV>
            <wp:extent cx="4277360" cy="13716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0">
                      <a:extLst>
                        <a:ext uri="{28A0092B-C50C-407E-A947-70E740481C1C}"/>
                      </a:extLst>
                    </a:blip>
                    <a:srcRect/>
                    <a:stretch>
                      <a:fillRect/>
                    </a:stretch>
                  </pic:blipFill>
                  <pic:spPr bwMode="auto">
                    <a:xfrm>
                      <a:off x="0" y="0"/>
                      <a:ext cx="4277360" cy="137160"/>
                    </a:xfrm>
                    <a:prstGeom prst="rect">
                      <a:avLst/>
                    </a:prstGeom>
                    <a:noFill/>
                  </pic:spPr>
                </pic:pic>
              </a:graphicData>
            </a:graphic>
          </wp:anchor>
        </w:drawing>
      </w:r>
    </w:p>
    <w:p>
      <w:pPr>
        <w:spacing w:after="0" w:line="1" w:lineRule="exact"/>
        <w:rPr>
          <w:sz w:val="20"/>
          <w:szCs w:val="20"/>
          <w:color w:val="auto"/>
        </w:rPr>
      </w:pPr>
    </w:p>
    <w:p>
      <w:pPr>
        <w:jc w:val="right"/>
        <w:ind w:right="3300"/>
        <w:spacing w:after="0"/>
        <w:rPr>
          <w:sz w:val="20"/>
          <w:szCs w:val="20"/>
          <w:color w:val="auto"/>
        </w:rPr>
      </w:pPr>
      <w:r>
        <w:rPr>
          <w:rFonts w:ascii="Arial" w:cs="Arial" w:eastAsia="Arial" w:hAnsi="Arial"/>
          <w:sz w:val="17"/>
          <w:szCs w:val="17"/>
          <w:b w:val="1"/>
          <w:bCs w:val="1"/>
          <w:color w:val="auto"/>
        </w:rPr>
        <w:t>3,041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-130175</wp:posOffset>
            </wp:positionH>
            <wp:positionV relativeFrom="paragraph">
              <wp:posOffset>15875</wp:posOffset>
            </wp:positionV>
            <wp:extent cx="925830" cy="8255"/>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1">
                      <a:extLst>
                        <a:ext uri="{28A0092B-C50C-407E-A947-70E740481C1C}"/>
                      </a:extLst>
                    </a:blip>
                    <a:srcRect/>
                    <a:stretch>
                      <a:fillRect/>
                    </a:stretch>
                  </pic:blipFill>
                  <pic:spPr bwMode="auto">
                    <a:xfrm>
                      <a:off x="0" y="0"/>
                      <a:ext cx="925830" cy="8255"/>
                    </a:xfrm>
                    <a:prstGeom prst="rect">
                      <a:avLst/>
                    </a:prstGeom>
                    <a:noFill/>
                  </pic:spPr>
                </pic:pic>
              </a:graphicData>
            </a:graphic>
          </wp:anchor>
        </w:drawing>
        <w:drawing>
          <wp:anchor simplePos="0" relativeHeight="251657728" behindDoc="1" locked="0" layoutInCell="0" allowOverlap="1">
            <wp:simplePos x="0" y="0"/>
            <wp:positionH relativeFrom="column">
              <wp:posOffset>-130175</wp:posOffset>
            </wp:positionH>
            <wp:positionV relativeFrom="paragraph">
              <wp:posOffset>33020</wp:posOffset>
            </wp:positionV>
            <wp:extent cx="925830" cy="8255"/>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2">
                      <a:extLst>
                        <a:ext uri="{28A0092B-C50C-407E-A947-70E740481C1C}"/>
                      </a:extLst>
                    </a:blip>
                    <a:srcRect/>
                    <a:stretch>
                      <a:fillRect/>
                    </a:stretch>
                  </pic:blipFill>
                  <pic:spPr bwMode="auto">
                    <a:xfrm>
                      <a:off x="0" y="0"/>
                      <a:ext cx="925830" cy="8255"/>
                    </a:xfrm>
                    <a:prstGeom prst="rect">
                      <a:avLst/>
                    </a:prstGeom>
                    <a:noFill/>
                  </pic:spPr>
                </pic:pic>
              </a:graphicData>
            </a:graphic>
          </wp:anchor>
        </w:drawing>
        <w:drawing>
          <wp:anchor simplePos="0" relativeHeight="251657728" behindDoc="1" locked="0" layoutInCell="0" allowOverlap="1">
            <wp:simplePos x="0" y="0"/>
            <wp:positionH relativeFrom="column">
              <wp:posOffset>-130175</wp:posOffset>
            </wp:positionH>
            <wp:positionV relativeFrom="paragraph">
              <wp:posOffset>-120650</wp:posOffset>
            </wp:positionV>
            <wp:extent cx="925830" cy="8255"/>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3">
                      <a:extLst>
                        <a:ext uri="{28A0092B-C50C-407E-A947-70E740481C1C}"/>
                      </a:extLst>
                    </a:blip>
                    <a:srcRect/>
                    <a:stretch>
                      <a:fillRect/>
                    </a:stretch>
                  </pic:blipFill>
                  <pic:spPr bwMode="auto">
                    <a:xfrm>
                      <a:off x="0" y="0"/>
                      <a:ext cx="925830" cy="8255"/>
                    </a:xfrm>
                    <a:prstGeom prst="rect">
                      <a:avLst/>
                    </a:prstGeom>
                    <a:noFill/>
                  </pic:spPr>
                </pic:pic>
              </a:graphicData>
            </a:graphic>
          </wp:anchor>
        </w:drawing>
      </w:r>
    </w:p>
    <w:p>
      <w:pPr>
        <w:spacing w:after="0" w:line="646" w:lineRule="exact"/>
        <w:rPr>
          <w:sz w:val="20"/>
          <w:szCs w:val="20"/>
          <w:color w:val="auto"/>
        </w:rPr>
      </w:pPr>
    </w:p>
    <w:p>
      <w:pPr>
        <w:sectPr>
          <w:pgSz w:w="11900" w:h="16838" w:orient="portrait"/>
          <w:cols w:equalWidth="0" w:num="2">
            <w:col w:w="5960" w:space="720"/>
            <w:col w:w="4560"/>
          </w:cols>
          <w:pgMar w:left="320" w:top="688" w:right="339" w:bottom="1440" w:gutter="0" w:footer="0" w:header="0"/>
          <w:type w:val="continuous"/>
        </w:sectPr>
      </w:pPr>
    </w:p>
    <w:p>
      <w:pPr>
        <w:spacing w:after="0" w:line="52"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other income, net. The Bank also discloses its other assets and contingencies by business segment, to give an indication of the size of business that generates net fees and commissions, also included in net other income.</w:t>
      </w:r>
    </w:p>
    <w:p>
      <w:pPr>
        <w:spacing w:after="0" w:line="188"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5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Profits from the Commercial Business Segment include (i) net interest income from loans; (ii) fees and commissions from the issuance, confirmation, negotiation, acceptance and amendment of letters of credit, guarantees and loan commitments, and through loan structuring and syndication activities; (</w:t>
      </w:r>
      <w:r>
        <w:rPr>
          <w:rFonts w:ascii="Arial" w:cs="Arial" w:eastAsia="Arial" w:hAnsi="Arial"/>
          <w:sz w:val="18"/>
          <w:szCs w:val="18"/>
          <w:color w:val="201F1E"/>
        </w:rPr>
        <w:t>iii) gain on sale of loans generated through loan intermediation activities, such as sales and distribution in the primary market; (iv) gain (loss) on sale</w:t>
      </w:r>
      <w:r>
        <w:rPr>
          <w:rFonts w:ascii="Arial" w:cs="Arial" w:eastAsia="Arial" w:hAnsi="Arial"/>
          <w:sz w:val="18"/>
          <w:szCs w:val="18"/>
          <w:color w:val="auto"/>
        </w:rPr>
        <w:t xml:space="preserve"> </w:t>
      </w:r>
      <w:r>
        <w:rPr>
          <w:rFonts w:ascii="Arial" w:cs="Arial" w:eastAsia="Arial" w:hAnsi="Arial"/>
          <w:sz w:val="18"/>
          <w:szCs w:val="18"/>
          <w:color w:val="201F1E"/>
        </w:rPr>
        <w:t>on financial instruments measured at FVTPL; (v) reversal of (provision) for credit losses, (vi) gain (loss) on other non-financial assets, net; and (vii) direct and allocated operating expenses.</w:t>
      </w:r>
    </w:p>
    <w:p>
      <w:pPr>
        <w:spacing w:after="0" w:line="18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48" w:name="page249"/>
    <w:bookmarkEnd w:id="2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8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consolidated statements of financial position, such as interest rate, liquidity, price and currency risks. Interest-earning assets managed by the Treasury Business Segment include liquidity positions in cash and cash equivalents, as well as highly liquid corporate debt securities rated above ‘A-’, and financial instruments related to the investment management activities, consisting of securities at fair value through other comprehensive income (“FVOCI”) and securities at amortized cost (the “Investment Portfolio”). The Treasury Business Segment also manages the Bank’s interest-bearing liabilities, which constitute its funding sources, mainly deposits, short- and long-term borrowings and debt.</w:t>
      </w:r>
    </w:p>
    <w:p>
      <w:pPr>
        <w:spacing w:after="0" w:line="177"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recovery or impairment loss on financial instruments, and direct and allocated operating expenses.</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396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w w:val="90"/>
              </w:rPr>
              <w:t>December 31, 2020</w:t>
            </w: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60" w:type="dxa"/>
            <w:vAlign w:val="bottom"/>
          </w:tcPr>
          <w:p>
            <w:pPr>
              <w:spacing w:after="0"/>
              <w:rPr>
                <w:sz w:val="19"/>
                <w:szCs w:val="19"/>
                <w:color w:val="auto"/>
              </w:rPr>
            </w:pPr>
          </w:p>
        </w:tc>
        <w:tc>
          <w:tcPr>
            <w:tcW w:w="3140" w:type="dxa"/>
            <w:vAlign w:val="bottom"/>
          </w:tcPr>
          <w:p>
            <w:pPr>
              <w:spacing w:after="0"/>
              <w:rPr>
                <w:sz w:val="19"/>
                <w:szCs w:val="19"/>
                <w:color w:val="auto"/>
              </w:rPr>
            </w:pPr>
          </w:p>
        </w:tc>
        <w:tc>
          <w:tcPr>
            <w:tcW w:w="130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w w:val="97"/>
              </w:rPr>
              <w:t>Commercial</w:t>
            </w:r>
          </w:p>
        </w:tc>
        <w:tc>
          <w:tcPr>
            <w:tcW w:w="130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Treasury</w:t>
            </w:r>
          </w:p>
        </w:tc>
        <w:tc>
          <w:tcPr>
            <w:tcW w:w="1080" w:type="dxa"/>
            <w:vAlign w:val="bottom"/>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39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31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172,548</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8,425</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180,973</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6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4440" w:type="dxa"/>
            <w:vAlign w:val="bottom"/>
            <w:gridSpan w:val="3"/>
          </w:tcPr>
          <w:p>
            <w:pPr>
              <w:jc w:val="right"/>
              <w:ind w:right="70"/>
              <w:spacing w:after="0"/>
              <w:rPr>
                <w:sz w:val="20"/>
                <w:szCs w:val="20"/>
                <w:color w:val="auto"/>
              </w:rPr>
            </w:pPr>
            <w:r>
              <w:rPr>
                <w:rFonts w:ascii="Arial" w:cs="Arial" w:eastAsia="Arial" w:hAnsi="Arial"/>
                <w:sz w:val="18"/>
                <w:szCs w:val="18"/>
                <w:color w:val="auto"/>
              </w:rPr>
              <w:t>(690)</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(87,833)</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(88,523)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4440" w:type="dxa"/>
            <w:vAlign w:val="bottom"/>
            <w:gridSpan w:val="3"/>
            <w:shd w:val="clear" w:color="auto" w:fill="CCEEFF"/>
          </w:tcPr>
          <w:p>
            <w:pPr>
              <w:jc w:val="right"/>
              <w:ind w:right="70"/>
              <w:spacing w:after="0"/>
              <w:rPr>
                <w:sz w:val="20"/>
                <w:szCs w:val="20"/>
                <w:color w:val="auto"/>
              </w:rPr>
            </w:pPr>
            <w:r>
              <w:rPr>
                <w:rFonts w:ascii="Arial" w:cs="Arial" w:eastAsia="Arial" w:hAnsi="Arial"/>
                <w:sz w:val="18"/>
                <w:szCs w:val="18"/>
                <w:color w:val="auto"/>
              </w:rPr>
              <w:t>(83,937)</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83,937</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314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87,921</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4,529</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92,450</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444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8,597</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(1,890)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6,707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Total income</w:t>
            </w:r>
          </w:p>
        </w:tc>
        <w:tc>
          <w:tcPr>
            <w:tcW w:w="314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96,518</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2,639</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99,157</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31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Reversal of (provision for) credit losses</w:t>
            </w:r>
          </w:p>
        </w:tc>
        <w:tc>
          <w:tcPr>
            <w:tcW w:w="4440" w:type="dxa"/>
            <w:vAlign w:val="bottom"/>
            <w:gridSpan w:val="3"/>
          </w:tcPr>
          <w:p>
            <w:pPr>
              <w:jc w:val="right"/>
              <w:ind w:right="130"/>
              <w:spacing w:after="0"/>
              <w:rPr>
                <w:sz w:val="20"/>
                <w:szCs w:val="20"/>
                <w:color w:val="auto"/>
              </w:rPr>
            </w:pPr>
            <w:r>
              <w:rPr>
                <w:rFonts w:ascii="Arial" w:cs="Arial" w:eastAsia="Arial" w:hAnsi="Arial"/>
                <w:sz w:val="18"/>
                <w:szCs w:val="18"/>
                <w:color w:val="auto"/>
              </w:rPr>
              <w:t>1,889</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(425)</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1,464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Gain (loss) on non-financial assets, net</w:t>
            </w:r>
          </w:p>
        </w:tc>
        <w:tc>
          <w:tcPr>
            <w:tcW w:w="444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296</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3960" w:type="dxa"/>
            <w:vAlign w:val="bottom"/>
          </w:tcPr>
          <w:p>
            <w:pPr>
              <w:spacing w:after="0"/>
              <w:rPr>
                <w:sz w:val="20"/>
                <w:szCs w:val="20"/>
                <w:color w:val="auto"/>
              </w:rPr>
            </w:pPr>
            <w:r>
              <w:rPr>
                <w:rFonts w:ascii="Arial" w:cs="Arial" w:eastAsia="Arial" w:hAnsi="Arial"/>
                <w:sz w:val="18"/>
                <w:szCs w:val="18"/>
                <w:color w:val="auto"/>
              </w:rPr>
              <w:t>Operating expenses</w:t>
            </w:r>
          </w:p>
        </w:tc>
        <w:tc>
          <w:tcPr>
            <w:tcW w:w="4440" w:type="dxa"/>
            <w:vAlign w:val="bottom"/>
            <w:gridSpan w:val="3"/>
          </w:tcPr>
          <w:p>
            <w:pPr>
              <w:jc w:val="right"/>
              <w:ind w:right="70"/>
              <w:spacing w:after="0"/>
              <w:rPr>
                <w:sz w:val="20"/>
                <w:szCs w:val="20"/>
                <w:color w:val="auto"/>
              </w:rPr>
            </w:pPr>
            <w:r>
              <w:rPr>
                <w:rFonts w:ascii="Arial" w:cs="Arial" w:eastAsia="Arial" w:hAnsi="Arial"/>
                <w:sz w:val="18"/>
                <w:szCs w:val="18"/>
                <w:color w:val="auto"/>
              </w:rPr>
              <w:t>(28,021)</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(9,303)</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(37,324)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314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70,682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(7,089</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63,593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3960" w:type="dxa"/>
            <w:vAlign w:val="bottom"/>
          </w:tcPr>
          <w:p>
            <w:pPr>
              <w:spacing w:after="0"/>
              <w:rPr>
                <w:sz w:val="17"/>
                <w:szCs w:val="17"/>
                <w:color w:val="auto"/>
              </w:rPr>
            </w:pPr>
          </w:p>
        </w:tc>
        <w:tc>
          <w:tcPr>
            <w:tcW w:w="31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444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4,989,009</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1,293,081</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6,282,090</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314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3960" w:type="dxa"/>
            <w:vAlign w:val="bottom"/>
            <w:vMerge w:val="continue"/>
          </w:tcPr>
          <w:p>
            <w:pPr>
              <w:spacing w:after="0"/>
              <w:rPr>
                <w:sz w:val="17"/>
                <w:szCs w:val="17"/>
                <w:color w:val="auto"/>
              </w:rPr>
            </w:pPr>
          </w:p>
        </w:tc>
        <w:tc>
          <w:tcPr>
            <w:tcW w:w="314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92,309</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5,139,955</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5,232,264</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96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3960" w:type="dxa"/>
            <w:vAlign w:val="bottom"/>
            <w:tcBorders>
              <w:bottom w:val="single" w:sz="8" w:color="auto"/>
            </w:tcBorders>
          </w:tcPr>
          <w:p>
            <w:pPr>
              <w:spacing w:after="0"/>
              <w:rPr>
                <w:sz w:val="24"/>
                <w:szCs w:val="24"/>
                <w:color w:val="auto"/>
              </w:rPr>
            </w:pPr>
          </w:p>
        </w:tc>
        <w:tc>
          <w:tcPr>
            <w:tcW w:w="4440" w:type="dxa"/>
            <w:vAlign w:val="bottom"/>
            <w:tcBorders>
              <w:bottom w:val="single" w:sz="8" w:color="auto"/>
            </w:tcBorders>
            <w:gridSpan w:val="3"/>
          </w:tcPr>
          <w:p>
            <w:pPr>
              <w:jc w:val="right"/>
              <w:ind w:right="2810"/>
              <w:spacing w:after="0"/>
              <w:rPr>
                <w:sz w:val="20"/>
                <w:szCs w:val="20"/>
                <w:color w:val="auto"/>
              </w:rPr>
            </w:pPr>
            <w:r>
              <w:rPr>
                <w:rFonts w:ascii="Arial" w:cs="Arial" w:eastAsia="Arial" w:hAnsi="Arial"/>
                <w:sz w:val="18"/>
                <w:szCs w:val="18"/>
                <w:color w:val="auto"/>
              </w:rPr>
              <w:t>F-113</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49" w:name="page250"/>
    <w:bookmarkEnd w:id="2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480" w:type="dxa"/>
            <w:vAlign w:val="bottom"/>
            <w:gridSpan w:val="2"/>
          </w:tcPr>
          <w:p>
            <w:pPr>
              <w:spacing w:after="0"/>
              <w:rPr>
                <w:sz w:val="20"/>
                <w:szCs w:val="20"/>
                <w:color w:val="auto"/>
              </w:rPr>
            </w:pPr>
            <w:r>
              <w:rPr>
                <w:rFonts w:ascii="Arial" w:cs="Arial" w:eastAsia="Arial" w:hAnsi="Arial"/>
                <w:sz w:val="18"/>
                <w:szCs w:val="18"/>
                <w:b w:val="1"/>
                <w:bCs w:val="1"/>
                <w:color w:val="auto"/>
              </w:rPr>
              <w:t>27. Business segment information (continued)</w:t>
            </w:r>
          </w:p>
        </w:tc>
        <w:tc>
          <w:tcPr>
            <w:tcW w:w="29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340" w:type="dxa"/>
            <w:vAlign w:val="bottom"/>
          </w:tcPr>
          <w:p>
            <w:pPr>
              <w:spacing w:after="0"/>
              <w:rPr>
                <w:sz w:val="24"/>
                <w:szCs w:val="24"/>
                <w:color w:val="auto"/>
              </w:rPr>
            </w:pPr>
          </w:p>
        </w:tc>
        <w:tc>
          <w:tcPr>
            <w:tcW w:w="4140" w:type="dxa"/>
            <w:vAlign w:val="bottom"/>
          </w:tcPr>
          <w:p>
            <w:pPr>
              <w:spacing w:after="0"/>
              <w:rPr>
                <w:sz w:val="24"/>
                <w:szCs w:val="24"/>
                <w:color w:val="auto"/>
              </w:rPr>
            </w:pPr>
          </w:p>
        </w:tc>
        <w:tc>
          <w:tcPr>
            <w:tcW w:w="296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2019</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Pr>
          <w:p>
            <w:pPr>
              <w:spacing w:after="0"/>
              <w:rPr>
                <w:sz w:val="19"/>
                <w:szCs w:val="19"/>
                <w:color w:val="auto"/>
              </w:rPr>
            </w:pPr>
          </w:p>
        </w:tc>
        <w:tc>
          <w:tcPr>
            <w:tcW w:w="2960" w:type="dxa"/>
            <w:vAlign w:val="bottom"/>
          </w:tcPr>
          <w:p>
            <w:pPr>
              <w:spacing w:after="0"/>
              <w:rPr>
                <w:sz w:val="19"/>
                <w:szCs w:val="19"/>
                <w:color w:val="auto"/>
              </w:rPr>
            </w:pPr>
          </w:p>
        </w:tc>
        <w:tc>
          <w:tcPr>
            <w:tcW w:w="130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w w:val="97"/>
              </w:rPr>
              <w:t>Commercial</w:t>
            </w:r>
          </w:p>
        </w:tc>
        <w:tc>
          <w:tcPr>
            <w:tcW w:w="13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Treasury</w:t>
            </w:r>
          </w:p>
        </w:tc>
        <w:tc>
          <w:tcPr>
            <w:tcW w:w="1080" w:type="dxa"/>
            <w:vAlign w:val="bottom"/>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1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96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253,462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20,220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273,682</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4260" w:type="dxa"/>
            <w:vAlign w:val="bottom"/>
            <w:gridSpan w:val="3"/>
          </w:tcPr>
          <w:p>
            <w:pPr>
              <w:jc w:val="right"/>
              <w:ind w:right="70"/>
              <w:spacing w:after="0"/>
              <w:rPr>
                <w:sz w:val="20"/>
                <w:szCs w:val="20"/>
                <w:color w:val="auto"/>
              </w:rPr>
            </w:pPr>
            <w:r>
              <w:rPr>
                <w:rFonts w:ascii="Arial" w:cs="Arial" w:eastAsia="Arial" w:hAnsi="Arial"/>
                <w:sz w:val="18"/>
                <w:szCs w:val="18"/>
                <w:color w:val="auto"/>
              </w:rPr>
              <w:t>(730)</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(163,437)</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(164,167)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4260" w:type="dxa"/>
            <w:vAlign w:val="bottom"/>
            <w:gridSpan w:val="3"/>
            <w:shd w:val="clear" w:color="auto" w:fill="CCEEFF"/>
          </w:tcPr>
          <w:p>
            <w:pPr>
              <w:jc w:val="right"/>
              <w:ind w:right="70"/>
              <w:spacing w:after="0"/>
              <w:rPr>
                <w:sz w:val="20"/>
                <w:szCs w:val="20"/>
                <w:color w:val="auto"/>
              </w:rPr>
            </w:pPr>
            <w:r>
              <w:rPr>
                <w:rFonts w:ascii="Arial" w:cs="Arial" w:eastAsia="Arial" w:hAnsi="Arial"/>
                <w:sz w:val="18"/>
                <w:szCs w:val="18"/>
                <w:color w:val="auto"/>
              </w:rPr>
              <w:t>(144,334)</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144,334</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96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108,398</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1,117</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109,515</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426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15,577</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1,565</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17,142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Total income</w:t>
            </w:r>
          </w:p>
        </w:tc>
        <w:tc>
          <w:tcPr>
            <w:tcW w:w="296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123,975</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2,682</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126,657</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shd w:val="clear" w:color="auto" w:fill="CCEEFF"/>
          </w:tcPr>
          <w:p>
            <w:pPr>
              <w:spacing w:after="0"/>
              <w:rPr>
                <w:sz w:val="18"/>
                <w:szCs w:val="18"/>
                <w:color w:val="auto"/>
              </w:rPr>
            </w:pPr>
          </w:p>
        </w:tc>
        <w:tc>
          <w:tcPr>
            <w:tcW w:w="296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(Provision for) reversal of credit losses</w:t>
            </w:r>
          </w:p>
        </w:tc>
        <w:tc>
          <w:tcPr>
            <w:tcW w:w="4260" w:type="dxa"/>
            <w:vAlign w:val="bottom"/>
            <w:gridSpan w:val="3"/>
          </w:tcPr>
          <w:p>
            <w:pPr>
              <w:jc w:val="right"/>
              <w:ind w:right="70"/>
              <w:spacing w:after="0"/>
              <w:rPr>
                <w:sz w:val="20"/>
                <w:szCs w:val="20"/>
                <w:color w:val="auto"/>
              </w:rPr>
            </w:pPr>
            <w:r>
              <w:rPr>
                <w:rFonts w:ascii="Arial" w:cs="Arial" w:eastAsia="Arial" w:hAnsi="Arial"/>
                <w:sz w:val="18"/>
                <w:szCs w:val="18"/>
                <w:color w:val="auto"/>
              </w:rPr>
              <w:t>(744)</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314</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(430)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Gain (loss) on non-financial assets, net</w:t>
            </w:r>
          </w:p>
        </w:tc>
        <w:tc>
          <w:tcPr>
            <w:tcW w:w="426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500</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Operating expenses</w:t>
            </w:r>
          </w:p>
        </w:tc>
        <w:tc>
          <w:tcPr>
            <w:tcW w:w="4260" w:type="dxa"/>
            <w:vAlign w:val="bottom"/>
            <w:gridSpan w:val="3"/>
          </w:tcPr>
          <w:p>
            <w:pPr>
              <w:jc w:val="right"/>
              <w:ind w:right="70"/>
              <w:spacing w:after="0"/>
              <w:rPr>
                <w:sz w:val="20"/>
                <w:szCs w:val="20"/>
                <w:color w:val="auto"/>
              </w:rPr>
            </w:pPr>
            <w:r>
              <w:rPr>
                <w:rFonts w:ascii="Arial" w:cs="Arial" w:eastAsia="Arial" w:hAnsi="Arial"/>
                <w:sz w:val="18"/>
                <w:szCs w:val="18"/>
                <w:color w:val="auto"/>
              </w:rPr>
              <w:t>(31,183)</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(9,491)</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(40,674)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9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92,548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(6,495</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86,053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9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140" w:type="dxa"/>
            <w:vAlign w:val="bottom"/>
          </w:tcPr>
          <w:p>
            <w:pPr>
              <w:spacing w:after="0"/>
              <w:rPr>
                <w:sz w:val="17"/>
                <w:szCs w:val="17"/>
                <w:color w:val="auto"/>
              </w:rPr>
            </w:pPr>
          </w:p>
        </w:tc>
        <w:tc>
          <w:tcPr>
            <w:tcW w:w="296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426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5,967,157</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1,273,678</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7,240,835</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96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140" w:type="dxa"/>
            <w:vAlign w:val="bottom"/>
            <w:vMerge w:val="continue"/>
          </w:tcPr>
          <w:p>
            <w:pPr>
              <w:spacing w:after="0"/>
              <w:rPr>
                <w:sz w:val="17"/>
                <w:szCs w:val="17"/>
                <w:color w:val="auto"/>
              </w:rPr>
            </w:pPr>
          </w:p>
        </w:tc>
        <w:tc>
          <w:tcPr>
            <w:tcW w:w="296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134,657</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6,081,693</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6,216,350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9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140" w:type="dxa"/>
            <w:vAlign w:val="bottom"/>
          </w:tcPr>
          <w:p>
            <w:pPr>
              <w:spacing w:after="0"/>
              <w:rPr>
                <w:sz w:val="24"/>
                <w:szCs w:val="24"/>
                <w:color w:val="auto"/>
              </w:rPr>
            </w:pPr>
          </w:p>
        </w:tc>
        <w:tc>
          <w:tcPr>
            <w:tcW w:w="296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2018</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Pr>
          <w:p>
            <w:pPr>
              <w:spacing w:after="0"/>
              <w:rPr>
                <w:sz w:val="19"/>
                <w:szCs w:val="19"/>
                <w:color w:val="auto"/>
              </w:rPr>
            </w:pPr>
          </w:p>
        </w:tc>
        <w:tc>
          <w:tcPr>
            <w:tcW w:w="2960" w:type="dxa"/>
            <w:vAlign w:val="bottom"/>
          </w:tcPr>
          <w:p>
            <w:pPr>
              <w:spacing w:after="0"/>
              <w:rPr>
                <w:sz w:val="19"/>
                <w:szCs w:val="19"/>
                <w:color w:val="auto"/>
              </w:rPr>
            </w:pPr>
          </w:p>
        </w:tc>
        <w:tc>
          <w:tcPr>
            <w:tcW w:w="130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w w:val="97"/>
              </w:rPr>
              <w:t>Commercial</w:t>
            </w:r>
          </w:p>
        </w:tc>
        <w:tc>
          <w:tcPr>
            <w:tcW w:w="13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Treasury</w:t>
            </w:r>
          </w:p>
        </w:tc>
        <w:tc>
          <w:tcPr>
            <w:tcW w:w="1080" w:type="dxa"/>
            <w:vAlign w:val="bottom"/>
          </w:tcPr>
          <w:p>
            <w:pPr>
              <w:jc w:val="right"/>
              <w:ind w:right="25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1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96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239,976</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18,514</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258,490</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4260" w:type="dxa"/>
            <w:vAlign w:val="bottom"/>
            <w:gridSpan w:val="3"/>
          </w:tcPr>
          <w:p>
            <w:pPr>
              <w:jc w:val="right"/>
              <w:ind w:right="13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(148,747)</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(148,747)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4260" w:type="dxa"/>
            <w:vAlign w:val="bottom"/>
            <w:gridSpan w:val="3"/>
            <w:shd w:val="clear" w:color="auto" w:fill="CCEEFF"/>
          </w:tcPr>
          <w:p>
            <w:pPr>
              <w:jc w:val="right"/>
              <w:ind w:right="70"/>
              <w:spacing w:after="0"/>
              <w:rPr>
                <w:sz w:val="20"/>
                <w:szCs w:val="20"/>
                <w:color w:val="auto"/>
              </w:rPr>
            </w:pPr>
            <w:r>
              <w:rPr>
                <w:rFonts w:ascii="Arial" w:cs="Arial" w:eastAsia="Arial" w:hAnsi="Arial"/>
                <w:sz w:val="18"/>
                <w:szCs w:val="18"/>
                <w:color w:val="auto"/>
              </w:rPr>
              <w:t>(130,195)</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130,195</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96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109,781</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109,743</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426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color w:val="auto"/>
              </w:rPr>
              <w:t>18,002</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(156)</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17,846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Total income</w:t>
            </w:r>
          </w:p>
        </w:tc>
        <w:tc>
          <w:tcPr>
            <w:tcW w:w="296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127,783</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(194)</w:t>
            </w:r>
          </w:p>
        </w:tc>
        <w:tc>
          <w:tcPr>
            <w:tcW w:w="220" w:type="dxa"/>
            <w:vAlign w:val="bottom"/>
          </w:tcPr>
          <w:p>
            <w:pPr>
              <w:spacing w:after="0"/>
              <w:rPr>
                <w:sz w:val="18"/>
                <w:szCs w:val="18"/>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127,589</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shd w:val="clear" w:color="auto" w:fill="CCEEFF"/>
          </w:tcPr>
          <w:p>
            <w:pPr>
              <w:spacing w:after="0"/>
              <w:rPr>
                <w:sz w:val="18"/>
                <w:szCs w:val="18"/>
                <w:color w:val="auto"/>
              </w:rPr>
            </w:pPr>
          </w:p>
        </w:tc>
        <w:tc>
          <w:tcPr>
            <w:tcW w:w="4260" w:type="dxa"/>
            <w:vAlign w:val="bottom"/>
            <w:gridSpan w:val="3"/>
            <w:shd w:val="clear" w:color="auto" w:fill="CCEEFF"/>
          </w:tcPr>
          <w:p>
            <w:pPr>
              <w:spacing w:after="0"/>
              <w:rPr>
                <w:sz w:val="18"/>
                <w:szCs w:val="18"/>
                <w:color w:val="auto"/>
              </w:rPr>
            </w:pPr>
          </w:p>
        </w:tc>
        <w:tc>
          <w:tcPr>
            <w:tcW w:w="1300" w:type="dxa"/>
            <w:vAlign w:val="bottom"/>
            <w:gridSpan w:val="2"/>
            <w:shd w:val="clear" w:color="auto" w:fill="CCEEFF"/>
          </w:tcPr>
          <w:p>
            <w:pPr>
              <w:spacing w:after="0"/>
              <w:rPr>
                <w:sz w:val="18"/>
                <w:szCs w:val="18"/>
                <w:color w:val="auto"/>
              </w:rPr>
            </w:pPr>
          </w:p>
        </w:tc>
        <w:tc>
          <w:tcPr>
            <w:tcW w:w="1180" w:type="dxa"/>
            <w:vAlign w:val="bottom"/>
            <w:gridSpan w:val="2"/>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(Provision for) reversal of credit losses</w:t>
            </w:r>
          </w:p>
        </w:tc>
        <w:tc>
          <w:tcPr>
            <w:tcW w:w="4260" w:type="dxa"/>
            <w:vAlign w:val="bottom"/>
            <w:gridSpan w:val="3"/>
          </w:tcPr>
          <w:p>
            <w:pPr>
              <w:jc w:val="right"/>
              <w:ind w:right="70"/>
              <w:spacing w:after="0"/>
              <w:rPr>
                <w:sz w:val="20"/>
                <w:szCs w:val="20"/>
                <w:color w:val="auto"/>
              </w:rPr>
            </w:pPr>
            <w:r>
              <w:rPr>
                <w:rFonts w:ascii="Arial" w:cs="Arial" w:eastAsia="Arial" w:hAnsi="Arial"/>
                <w:sz w:val="18"/>
                <w:szCs w:val="18"/>
                <w:color w:val="auto"/>
              </w:rPr>
              <w:t>(57,621)</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106</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(57,515)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color w:val="auto"/>
              </w:rPr>
              <w:t>(Loss) gain on non-financial assets, net</w:t>
            </w:r>
          </w:p>
        </w:tc>
        <w:tc>
          <w:tcPr>
            <w:tcW w:w="4260" w:type="dxa"/>
            <w:vAlign w:val="bottom"/>
            <w:gridSpan w:val="3"/>
            <w:shd w:val="clear" w:color="auto" w:fill="CCEEFF"/>
          </w:tcPr>
          <w:p>
            <w:pPr>
              <w:jc w:val="right"/>
              <w:ind w:right="70"/>
              <w:spacing w:after="0"/>
              <w:rPr>
                <w:sz w:val="20"/>
                <w:szCs w:val="20"/>
                <w:color w:val="auto"/>
              </w:rPr>
            </w:pPr>
            <w:r>
              <w:rPr>
                <w:rFonts w:ascii="Arial" w:cs="Arial" w:eastAsia="Arial" w:hAnsi="Arial"/>
                <w:sz w:val="18"/>
                <w:szCs w:val="18"/>
                <w:color w:val="auto"/>
              </w:rPr>
              <w:t>(5,967)</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(5,967)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40" w:type="dxa"/>
            <w:vAlign w:val="bottom"/>
          </w:tcPr>
          <w:p>
            <w:pPr>
              <w:spacing w:after="0"/>
              <w:rPr>
                <w:sz w:val="20"/>
                <w:szCs w:val="20"/>
                <w:color w:val="auto"/>
              </w:rPr>
            </w:pPr>
            <w:r>
              <w:rPr>
                <w:rFonts w:ascii="Arial" w:cs="Arial" w:eastAsia="Arial" w:hAnsi="Arial"/>
                <w:sz w:val="18"/>
                <w:szCs w:val="18"/>
                <w:color w:val="auto"/>
              </w:rPr>
              <w:t>Operating expenses</w:t>
            </w:r>
          </w:p>
        </w:tc>
        <w:tc>
          <w:tcPr>
            <w:tcW w:w="4260" w:type="dxa"/>
            <w:vAlign w:val="bottom"/>
            <w:gridSpan w:val="3"/>
          </w:tcPr>
          <w:p>
            <w:pPr>
              <w:jc w:val="right"/>
              <w:ind w:right="70"/>
              <w:spacing w:after="0"/>
              <w:rPr>
                <w:sz w:val="20"/>
                <w:szCs w:val="20"/>
                <w:color w:val="auto"/>
              </w:rPr>
            </w:pPr>
            <w:r>
              <w:rPr>
                <w:rFonts w:ascii="Arial" w:cs="Arial" w:eastAsia="Arial" w:hAnsi="Arial"/>
                <w:sz w:val="18"/>
                <w:szCs w:val="18"/>
                <w:color w:val="auto"/>
              </w:rPr>
              <w:t>(37,436)</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(11,482)</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(48,918)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96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(11,570</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15,189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4260" w:type="dxa"/>
            <w:vAlign w:val="bottom"/>
            <w:gridSpan w:val="3"/>
          </w:tcPr>
          <w:p>
            <w:pPr>
              <w:spacing w:after="0" w:line="20" w:lineRule="exact"/>
              <w:rPr>
                <w:sz w:val="1"/>
                <w:szCs w:val="1"/>
                <w:color w:val="auto"/>
              </w:rPr>
            </w:pPr>
          </w:p>
        </w:tc>
        <w:tc>
          <w:tcPr>
            <w:tcW w:w="1300" w:type="dxa"/>
            <w:vAlign w:val="bottom"/>
            <w:gridSpan w:val="2"/>
          </w:tcPr>
          <w:p>
            <w:pPr>
              <w:spacing w:after="0" w:line="20" w:lineRule="exact"/>
              <w:rPr>
                <w:sz w:val="1"/>
                <w:szCs w:val="1"/>
                <w:color w:val="auto"/>
              </w:rPr>
            </w:pPr>
          </w:p>
        </w:tc>
        <w:tc>
          <w:tcPr>
            <w:tcW w:w="11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140" w:type="dxa"/>
            <w:vAlign w:val="bottom"/>
          </w:tcPr>
          <w:p>
            <w:pPr>
              <w:spacing w:after="0"/>
              <w:rPr>
                <w:sz w:val="17"/>
                <w:szCs w:val="17"/>
                <w:color w:val="auto"/>
              </w:rPr>
            </w:pPr>
          </w:p>
        </w:tc>
        <w:tc>
          <w:tcPr>
            <w:tcW w:w="296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4260" w:type="dxa"/>
            <w:vAlign w:val="bottom"/>
            <w:gridSpan w:val="3"/>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5,734,159</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1,858,333</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7,592,492</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96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140" w:type="dxa"/>
            <w:vAlign w:val="bottom"/>
            <w:vMerge w:val="continue"/>
          </w:tcPr>
          <w:p>
            <w:pPr>
              <w:spacing w:after="0"/>
              <w:rPr>
                <w:sz w:val="17"/>
                <w:szCs w:val="17"/>
                <w:color w:val="auto"/>
              </w:rPr>
            </w:pPr>
          </w:p>
        </w:tc>
        <w:tc>
          <w:tcPr>
            <w:tcW w:w="296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12,985</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6,588,995</w:t>
            </w:r>
          </w:p>
        </w:tc>
        <w:tc>
          <w:tcPr>
            <w:tcW w:w="220" w:type="dxa"/>
            <w:vAlign w:val="bottom"/>
            <w:vMerge w:val="continue"/>
          </w:tcPr>
          <w:p>
            <w:pPr>
              <w:spacing w:after="0"/>
              <w:rPr>
                <w:sz w:val="17"/>
                <w:szCs w:val="17"/>
                <w:color w:val="auto"/>
              </w:rPr>
            </w:pPr>
          </w:p>
        </w:tc>
        <w:tc>
          <w:tcPr>
            <w:tcW w:w="10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6,601,980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296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gridSpan w:val="3"/>
          </w:tcPr>
          <w:p>
            <w:pPr>
              <w:jc w:val="right"/>
              <w:ind w:right="2810"/>
              <w:spacing w:after="0"/>
              <w:rPr>
                <w:sz w:val="20"/>
                <w:szCs w:val="20"/>
                <w:color w:val="auto"/>
              </w:rPr>
            </w:pPr>
            <w:r>
              <w:rPr>
                <w:rFonts w:ascii="Arial" w:cs="Arial" w:eastAsia="Arial" w:hAnsi="Arial"/>
                <w:sz w:val="18"/>
                <w:szCs w:val="18"/>
                <w:color w:val="auto"/>
              </w:rPr>
              <w:t>F-114</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50" w:name="page251"/>
    <w:bookmarkEnd w:id="2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27. Business segment information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 conciliation on info rmatio n on re portable se gme 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48895</wp:posOffset>
            </wp:positionV>
            <wp:extent cx="6926580" cy="825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8">
                      <a:extLst>
                        <a:ext uri="{28A0092B-C50C-407E-A947-70E740481C1C}"/>
                      </a:extLst>
                    </a:blip>
                    <a:srcRect/>
                    <a:stretch>
                      <a:fillRect/>
                    </a:stretch>
                  </pic:blipFill>
                  <pic:spPr bwMode="auto">
                    <a:xfrm>
                      <a:off x="0" y="0"/>
                      <a:ext cx="6926580" cy="8255"/>
                    </a:xfrm>
                    <a:prstGeom prst="rect">
                      <a:avLst/>
                    </a:prstGeom>
                    <a:noFill/>
                  </pic:spPr>
                </pic:pic>
              </a:graphicData>
            </a:graphic>
          </wp:anchor>
        </w:drawing>
      </w:r>
    </w:p>
    <w:p>
      <w:pPr>
        <w:spacing w:after="0" w:line="363"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20" w:type="dxa"/>
            <w:vAlign w:val="bottom"/>
            <w:tcBorders>
              <w:bottom w:val="single" w:sz="8" w:color="CCEEFF"/>
            </w:tcBorders>
          </w:tcPr>
          <w:p>
            <w:pPr>
              <w:spacing w:after="0"/>
              <w:rPr>
                <w:sz w:val="20"/>
                <w:szCs w:val="20"/>
                <w:color w:val="auto"/>
              </w:rPr>
            </w:pPr>
          </w:p>
        </w:tc>
        <w:tc>
          <w:tcPr>
            <w:tcW w:w="260" w:type="dxa"/>
            <w:vAlign w:val="bottom"/>
            <w:tcBorders>
              <w:bottom w:val="single" w:sz="8" w:color="CCEEFF"/>
            </w:tcBorders>
          </w:tcPr>
          <w:p>
            <w:pPr>
              <w:spacing w:after="0"/>
              <w:rPr>
                <w:sz w:val="20"/>
                <w:szCs w:val="20"/>
                <w:color w:val="auto"/>
              </w:rPr>
            </w:pPr>
          </w:p>
        </w:tc>
        <w:tc>
          <w:tcPr>
            <w:tcW w:w="632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20"/>
                <w:szCs w:val="20"/>
                <w:color w:val="auto"/>
              </w:rPr>
            </w:pPr>
          </w:p>
        </w:tc>
      </w:tr>
      <w:tr>
        <w:trPr>
          <w:trHeight w:val="209"/>
        </w:trPr>
        <w:tc>
          <w:tcPr>
            <w:tcW w:w="710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Profit for the year</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86,053</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15,189</w:t>
            </w:r>
          </w:p>
        </w:tc>
        <w:tc>
          <w:tcPr>
            <w:tcW w:w="100" w:type="dxa"/>
            <w:vAlign w:val="bottom"/>
            <w:shd w:val="clear" w:color="auto" w:fill="CCEEFF"/>
          </w:tcPr>
          <w:p>
            <w:pPr>
              <w:spacing w:after="0"/>
              <w:rPr>
                <w:sz w:val="18"/>
                <w:szCs w:val="18"/>
                <w:color w:val="auto"/>
              </w:rPr>
            </w:pPr>
          </w:p>
        </w:tc>
      </w:tr>
      <w:tr>
        <w:trPr>
          <w:trHeight w:val="230"/>
        </w:trPr>
        <w:tc>
          <w:tcPr>
            <w:tcW w:w="7100" w:type="dxa"/>
            <w:vAlign w:val="bottom"/>
            <w:gridSpan w:val="3"/>
          </w:tcPr>
          <w:p>
            <w:pPr>
              <w:spacing w:after="0"/>
              <w:rPr>
                <w:sz w:val="20"/>
                <w:szCs w:val="20"/>
                <w:color w:val="auto"/>
              </w:rPr>
            </w:pPr>
            <w:r>
              <w:rPr>
                <w:rFonts w:ascii="Arial" w:cs="Arial" w:eastAsia="Arial" w:hAnsi="Arial"/>
                <w:sz w:val="18"/>
                <w:szCs w:val="18"/>
                <w:color w:val="auto"/>
              </w:rPr>
              <w:t>Impairment loss on non-financial assets - unallocated</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40"/>
              <w:spacing w:after="0"/>
              <w:rPr>
                <w:sz w:val="20"/>
                <w:szCs w:val="20"/>
                <w:color w:val="auto"/>
              </w:rPr>
            </w:pPr>
            <w:r>
              <w:rPr>
                <w:rFonts w:ascii="Arial" w:cs="Arial" w:eastAsia="Arial" w:hAnsi="Arial"/>
                <w:sz w:val="18"/>
                <w:szCs w:val="18"/>
                <w:color w:val="auto"/>
              </w:rPr>
              <w:t>(4,051)</w:t>
            </w:r>
          </w:p>
        </w:tc>
      </w:tr>
      <w:tr>
        <w:trPr>
          <w:trHeight w:val="223"/>
        </w:trPr>
        <w:tc>
          <w:tcPr>
            <w:tcW w:w="71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profit for the year</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63,593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86,053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11,138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3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63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96"/>
        </w:trPr>
        <w:tc>
          <w:tcPr>
            <w:tcW w:w="520" w:type="dxa"/>
            <w:vAlign w:val="bottom"/>
            <w:tcBorders>
              <w:bottom w:val="single" w:sz="8" w:color="auto"/>
            </w:tcBorders>
            <w:shd w:val="clear" w:color="auto" w:fill="CCEEFF"/>
          </w:tcPr>
          <w:p>
            <w:pPr>
              <w:spacing w:after="0" w:line="176" w:lineRule="exact"/>
              <w:rPr>
                <w:sz w:val="20"/>
                <w:szCs w:val="20"/>
                <w:color w:val="auto"/>
              </w:rPr>
            </w:pPr>
            <w:r>
              <w:rPr>
                <w:rFonts w:ascii="Arial" w:cs="Arial" w:eastAsia="Arial" w:hAnsi="Arial"/>
                <w:sz w:val="18"/>
                <w:szCs w:val="18"/>
                <w:color w:val="auto"/>
                <w:w w:val="84"/>
              </w:rPr>
              <w:t>Assets:</w:t>
            </w:r>
          </w:p>
        </w:tc>
        <w:tc>
          <w:tcPr>
            <w:tcW w:w="6580" w:type="dxa"/>
            <w:vAlign w:val="bottom"/>
            <w:tcBorders>
              <w:bottom w:val="single" w:sz="8" w:color="CCEEFF"/>
            </w:tcBorders>
            <w:gridSpan w:val="2"/>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16"/>
        </w:trPr>
        <w:tc>
          <w:tcPr>
            <w:tcW w:w="7100" w:type="dxa"/>
            <w:vAlign w:val="bottom"/>
            <w:gridSpan w:val="3"/>
          </w:tcPr>
          <w:p>
            <w:pPr>
              <w:ind w:left="160"/>
              <w:spacing w:after="0"/>
              <w:rPr>
                <w:sz w:val="20"/>
                <w:szCs w:val="20"/>
                <w:color w:val="auto"/>
              </w:rPr>
            </w:pPr>
            <w:r>
              <w:rPr>
                <w:rFonts w:ascii="Arial" w:cs="Arial" w:eastAsia="Arial" w:hAnsi="Arial"/>
                <w:sz w:val="18"/>
                <w:szCs w:val="18"/>
                <w:color w:val="auto"/>
              </w:rPr>
              <w:t>Assets from reportable segments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6,282,090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7,240,835</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7,592,492</w:t>
            </w:r>
          </w:p>
        </w:tc>
      </w:tr>
      <w:tr>
        <w:trPr>
          <w:trHeight w:val="229"/>
        </w:trPr>
        <w:tc>
          <w:tcPr>
            <w:tcW w:w="71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Other assets - unallocated</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6,808</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8,831</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16,693</w:t>
            </w:r>
          </w:p>
        </w:tc>
      </w:tr>
      <w:tr>
        <w:trPr>
          <w:trHeight w:val="263"/>
        </w:trPr>
        <w:tc>
          <w:tcPr>
            <w:tcW w:w="71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assets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c>
          <w:tcPr>
            <w:tcW w:w="22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c>
          <w:tcPr>
            <w:tcW w:w="22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7,609,185</w:t>
            </w:r>
          </w:p>
        </w:tc>
        <w:tc>
          <w:tcPr>
            <w:tcW w:w="100" w:type="dxa"/>
            <w:vAlign w:val="bottom"/>
            <w:tcBorders>
              <w:bottom w:val="single" w:sz="8" w:color="CCEEFF"/>
            </w:tcBorders>
          </w:tcPr>
          <w:p>
            <w:pPr>
              <w:spacing w:after="0"/>
              <w:rPr>
                <w:sz w:val="22"/>
                <w:szCs w:val="22"/>
                <w:color w:val="auto"/>
              </w:rPr>
            </w:pPr>
          </w:p>
        </w:tc>
      </w:tr>
      <w:tr>
        <w:trPr>
          <w:trHeight w:val="197"/>
        </w:trPr>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63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76"/>
        </w:trPr>
        <w:tc>
          <w:tcPr>
            <w:tcW w:w="7100" w:type="dxa"/>
            <w:vAlign w:val="bottom"/>
            <w:gridSpan w:val="3"/>
          </w:tcPr>
          <w:p>
            <w:pPr>
              <w:spacing w:after="0" w:line="176" w:lineRule="exact"/>
              <w:rPr>
                <w:sz w:val="20"/>
                <w:szCs w:val="20"/>
                <w:color w:val="auto"/>
              </w:rPr>
            </w:pPr>
            <w:r>
              <w:rPr>
                <w:rFonts w:ascii="Arial" w:cs="Arial" w:eastAsia="Arial" w:hAnsi="Arial"/>
                <w:sz w:val="18"/>
                <w:szCs w:val="18"/>
                <w:color w:val="auto"/>
              </w:rPr>
              <w:t>Liabilities:</w:t>
            </w: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0"/>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63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71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Liabilities from reportable segments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5,232,264</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6,216,350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6,601,980</w:t>
            </w:r>
          </w:p>
        </w:tc>
      </w:tr>
      <w:tr>
        <w:trPr>
          <w:trHeight w:val="229"/>
        </w:trPr>
        <w:tc>
          <w:tcPr>
            <w:tcW w:w="7100" w:type="dxa"/>
            <w:vAlign w:val="bottom"/>
            <w:gridSpan w:val="3"/>
          </w:tcPr>
          <w:p>
            <w:pPr>
              <w:ind w:left="320"/>
              <w:spacing w:after="0"/>
              <w:rPr>
                <w:sz w:val="20"/>
                <w:szCs w:val="20"/>
                <w:color w:val="auto"/>
              </w:rPr>
            </w:pPr>
            <w:r>
              <w:rPr>
                <w:rFonts w:ascii="Arial" w:cs="Arial" w:eastAsia="Arial" w:hAnsi="Arial"/>
                <w:sz w:val="18"/>
                <w:szCs w:val="18"/>
                <w:color w:val="auto"/>
              </w:rPr>
              <w:t>Other liabilities - unallocated</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18,714</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17,149</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13,615</w:t>
            </w:r>
          </w:p>
        </w:tc>
      </w:tr>
      <w:tr>
        <w:trPr>
          <w:trHeight w:val="223"/>
        </w:trPr>
        <w:tc>
          <w:tcPr>
            <w:tcW w:w="71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6,233,499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6,615,595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3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applied IFRS 16, as of January 1, 2019, using the modified retrospective approach to recognize right-of-use assets for $17.4 million presented within equipment and leasehold improvements and lease liabilities for $20.9 million. As of December 31, 2020, assets and liabilities were allocated between Commercial and Treasury segments.</w:t>
      </w:r>
    </w:p>
    <w:p>
      <w:pPr>
        <w:spacing w:after="0" w:line="18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a result of the adoption of the new standard in the year 2019, certain amounts related to equipment and leasehold improvements and intangibles were reclassified for presentation purposes in the consolidated financial statements.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Geographic information</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geographic information analyses the Bank’s revenue and non-current assets by the Bank’s country of domicile and other countries. In presenting the geographic information below, segment revenue is based on customer’s country risk and segment non-current assets are based on the geographic location of the assets.</w:t>
      </w:r>
    </w:p>
    <w:p>
      <w:pPr>
        <w:spacing w:after="0" w:line="193"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960" w:type="dxa"/>
            <w:vAlign w:val="bottom"/>
          </w:tcPr>
          <w:p>
            <w:pPr>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c>
          <w:tcPr>
            <w:tcW w:w="1000" w:type="dxa"/>
            <w:vAlign w:val="bottom"/>
            <w:gridSpan w:val="2"/>
          </w:tcPr>
          <w:p>
            <w:pPr>
              <w:jc w:val="right"/>
              <w:ind w:right="280"/>
              <w:spacing w:after="0"/>
              <w:rPr>
                <w:sz w:val="20"/>
                <w:szCs w:val="20"/>
                <w:color w:val="auto"/>
              </w:rPr>
            </w:pPr>
            <w:r>
              <w:rPr>
                <w:rFonts w:ascii="Arial" w:cs="Arial" w:eastAsia="Arial" w:hAnsi="Arial"/>
                <w:sz w:val="18"/>
                <w:szCs w:val="18"/>
                <w:color w:val="auto"/>
              </w:rPr>
              <w:t>Panama</w:t>
            </w:r>
          </w:p>
        </w:tc>
        <w:tc>
          <w:tcPr>
            <w:tcW w:w="1000" w:type="dxa"/>
            <w:vAlign w:val="bottom"/>
            <w:gridSpan w:val="2"/>
          </w:tcPr>
          <w:p>
            <w:pPr>
              <w:jc w:val="right"/>
              <w:ind w:right="340"/>
              <w:spacing w:after="0"/>
              <w:rPr>
                <w:sz w:val="20"/>
                <w:szCs w:val="20"/>
                <w:color w:val="auto"/>
              </w:rPr>
            </w:pPr>
            <w:r>
              <w:rPr>
                <w:rFonts w:ascii="Arial" w:cs="Arial" w:eastAsia="Arial" w:hAnsi="Arial"/>
                <w:sz w:val="18"/>
                <w:szCs w:val="18"/>
                <w:color w:val="auto"/>
              </w:rPr>
              <w:t>Brazil</w:t>
            </w:r>
          </w:p>
        </w:tc>
        <w:tc>
          <w:tcPr>
            <w:tcW w:w="980" w:type="dxa"/>
            <w:vAlign w:val="bottom"/>
            <w:gridSpan w:val="2"/>
          </w:tcPr>
          <w:p>
            <w:pPr>
              <w:jc w:val="right"/>
              <w:ind w:right="280"/>
              <w:spacing w:after="0"/>
              <w:rPr>
                <w:sz w:val="20"/>
                <w:szCs w:val="20"/>
                <w:color w:val="auto"/>
              </w:rPr>
            </w:pPr>
            <w:r>
              <w:rPr>
                <w:rFonts w:ascii="Arial" w:cs="Arial" w:eastAsia="Arial" w:hAnsi="Arial"/>
                <w:sz w:val="18"/>
                <w:szCs w:val="18"/>
                <w:color w:val="auto"/>
              </w:rPr>
              <w:t>Mexico</w:t>
            </w:r>
          </w:p>
        </w:tc>
        <w:tc>
          <w:tcPr>
            <w:tcW w:w="960" w:type="dxa"/>
            <w:vAlign w:val="bottom"/>
            <w:gridSpan w:val="2"/>
          </w:tcPr>
          <w:p>
            <w:pPr>
              <w:ind w:left="80"/>
              <w:spacing w:after="0"/>
              <w:rPr>
                <w:sz w:val="20"/>
                <w:szCs w:val="20"/>
                <w:color w:val="auto"/>
              </w:rPr>
            </w:pPr>
            <w:r>
              <w:rPr>
                <w:rFonts w:ascii="Arial" w:cs="Arial" w:eastAsia="Arial" w:hAnsi="Arial"/>
                <w:sz w:val="18"/>
                <w:szCs w:val="18"/>
                <w:color w:val="auto"/>
              </w:rPr>
              <w:t>Colombia</w:t>
            </w:r>
          </w:p>
        </w:tc>
        <w:tc>
          <w:tcPr>
            <w:tcW w:w="980" w:type="dxa"/>
            <w:vAlign w:val="bottom"/>
            <w:gridSpan w:val="2"/>
          </w:tcPr>
          <w:p>
            <w:pPr>
              <w:ind w:left="40"/>
              <w:spacing w:after="0"/>
              <w:rPr>
                <w:sz w:val="20"/>
                <w:szCs w:val="20"/>
                <w:color w:val="auto"/>
              </w:rPr>
            </w:pPr>
            <w:r>
              <w:rPr>
                <w:rFonts w:ascii="Arial" w:cs="Arial" w:eastAsia="Arial" w:hAnsi="Arial"/>
                <w:sz w:val="18"/>
                <w:szCs w:val="18"/>
                <w:color w:val="auto"/>
              </w:rPr>
              <w:t>Costa Rica</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Ecuador</w:t>
            </w:r>
          </w:p>
        </w:tc>
        <w:tc>
          <w:tcPr>
            <w:tcW w:w="960" w:type="dxa"/>
            <w:vAlign w:val="bottom"/>
            <w:gridSpan w:val="2"/>
          </w:tcPr>
          <w:p>
            <w:pPr>
              <w:ind w:left="60"/>
              <w:spacing w:after="0"/>
              <w:rPr>
                <w:sz w:val="20"/>
                <w:szCs w:val="20"/>
                <w:color w:val="auto"/>
              </w:rPr>
            </w:pPr>
            <w:r>
              <w:rPr>
                <w:rFonts w:ascii="Arial" w:cs="Arial" w:eastAsia="Arial" w:hAnsi="Arial"/>
                <w:sz w:val="18"/>
                <w:szCs w:val="18"/>
                <w:color w:val="auto"/>
              </w:rPr>
              <w:t>Argentina</w:t>
            </w:r>
          </w:p>
        </w:tc>
        <w:tc>
          <w:tcPr>
            <w:tcW w:w="980" w:type="dxa"/>
            <w:vAlign w:val="bottom"/>
            <w:gridSpan w:val="2"/>
          </w:tcPr>
          <w:p>
            <w:pPr>
              <w:jc w:val="right"/>
              <w:ind w:right="340"/>
              <w:spacing w:after="0"/>
              <w:rPr>
                <w:sz w:val="20"/>
                <w:szCs w:val="20"/>
                <w:color w:val="auto"/>
              </w:rPr>
            </w:pPr>
            <w:r>
              <w:rPr>
                <w:rFonts w:ascii="Arial" w:cs="Arial" w:eastAsia="Arial" w:hAnsi="Arial"/>
                <w:sz w:val="18"/>
                <w:szCs w:val="18"/>
                <w:color w:val="auto"/>
              </w:rPr>
              <w:t>Other</w:t>
            </w:r>
          </w:p>
        </w:tc>
        <w:tc>
          <w:tcPr>
            <w:tcW w:w="960" w:type="dxa"/>
            <w:vAlign w:val="bottom"/>
            <w:gridSpan w:val="2"/>
          </w:tcPr>
          <w:p>
            <w:pPr>
              <w:ind w:left="240"/>
              <w:spacing w:after="0"/>
              <w:rPr>
                <w:sz w:val="20"/>
                <w:szCs w:val="20"/>
                <w:color w:val="auto"/>
              </w:rPr>
            </w:pPr>
            <w:r>
              <w:rPr>
                <w:rFonts w:ascii="Arial" w:cs="Arial" w:eastAsia="Arial" w:hAnsi="Arial"/>
                <w:sz w:val="18"/>
                <w:szCs w:val="18"/>
                <w:color w:val="auto"/>
              </w:rPr>
              <w:t>Total</w:t>
            </w:r>
          </w:p>
        </w:tc>
      </w:tr>
      <w:tr>
        <w:trPr>
          <w:trHeight w:val="210"/>
        </w:trPr>
        <w:tc>
          <w:tcPr>
            <w:tcW w:w="1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7,580</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7,054</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14,480</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13,462</w:t>
            </w: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7,142</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9,242</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8,163</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32,034</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99,157</w:t>
            </w: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2080" w:type="dxa"/>
            <w:vAlign w:val="bottom"/>
            <w:gridSpan w:val="2"/>
          </w:tcPr>
          <w:p>
            <w:pPr>
              <w:spacing w:after="0"/>
              <w:rPr>
                <w:sz w:val="20"/>
                <w:szCs w:val="20"/>
                <w:color w:val="auto"/>
              </w:rPr>
            </w:pPr>
            <w:r>
              <w:rPr>
                <w:rFonts w:ascii="Arial" w:cs="Arial" w:eastAsia="Arial" w:hAnsi="Arial"/>
                <w:sz w:val="18"/>
                <w:szCs w:val="18"/>
                <w:color w:val="auto"/>
              </w:rPr>
              <w:t>Non-current assets*</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19,888</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129</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535</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56</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212</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591</w:t>
            </w:r>
          </w:p>
        </w:tc>
        <w:tc>
          <w:tcPr>
            <w:tcW w:w="880" w:type="dxa"/>
            <w:vAlign w:val="bottom"/>
          </w:tcPr>
          <w:p>
            <w:pPr>
              <w:jc w:val="right"/>
              <w:spacing w:after="0"/>
              <w:rPr>
                <w:sz w:val="20"/>
                <w:szCs w:val="20"/>
                <w:color w:val="auto"/>
              </w:rPr>
            </w:pPr>
            <w:r>
              <w:rPr>
                <w:rFonts w:ascii="Arial" w:cs="Arial" w:eastAsia="Arial" w:hAnsi="Arial"/>
                <w:sz w:val="18"/>
                <w:szCs w:val="18"/>
                <w:color w:val="auto"/>
              </w:rPr>
              <w:t>21,411</w:t>
            </w:r>
          </w:p>
        </w:tc>
        <w:tc>
          <w:tcPr>
            <w:tcW w:w="80" w:type="dxa"/>
            <w:vAlign w:val="bottom"/>
          </w:tcPr>
          <w:p>
            <w:pPr>
              <w:spacing w:after="0"/>
              <w:rPr>
                <w:sz w:val="19"/>
                <w:szCs w:val="19"/>
                <w:color w:val="auto"/>
              </w:rPr>
            </w:pPr>
          </w:p>
        </w:tc>
      </w:tr>
      <w:tr>
        <w:trPr>
          <w:trHeight w:val="209"/>
        </w:trPr>
        <w:tc>
          <w:tcPr>
            <w:tcW w:w="19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right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1960" w:type="dxa"/>
            <w:vAlign w:val="bottom"/>
          </w:tcPr>
          <w:p>
            <w:pPr>
              <w:spacing w:after="0"/>
              <w:rPr>
                <w:sz w:val="20"/>
                <w:szCs w:val="20"/>
                <w:color w:val="auto"/>
              </w:rPr>
            </w:pPr>
            <w:r>
              <w:rPr>
                <w:rFonts w:ascii="Arial" w:cs="Arial" w:eastAsia="Arial" w:hAnsi="Arial"/>
                <w:sz w:val="18"/>
                <w:szCs w:val="18"/>
                <w:b w:val="1"/>
                <w:bCs w:val="1"/>
                <w:color w:val="auto"/>
              </w:rPr>
              <w:t>2019</w:t>
            </w:r>
          </w:p>
        </w:tc>
        <w:tc>
          <w:tcPr>
            <w:tcW w:w="120" w:type="dxa"/>
            <w:vAlign w:val="bottom"/>
          </w:tcPr>
          <w:p>
            <w:pPr>
              <w:spacing w:after="0"/>
              <w:rPr>
                <w:sz w:val="19"/>
                <w:szCs w:val="19"/>
                <w:color w:val="auto"/>
              </w:rPr>
            </w:pPr>
          </w:p>
        </w:tc>
        <w:tc>
          <w:tcPr>
            <w:tcW w:w="1000" w:type="dxa"/>
            <w:vAlign w:val="bottom"/>
            <w:gridSpan w:val="2"/>
          </w:tcPr>
          <w:p>
            <w:pPr>
              <w:jc w:val="right"/>
              <w:ind w:right="280"/>
              <w:spacing w:after="0"/>
              <w:rPr>
                <w:sz w:val="20"/>
                <w:szCs w:val="20"/>
                <w:color w:val="auto"/>
              </w:rPr>
            </w:pPr>
            <w:r>
              <w:rPr>
                <w:rFonts w:ascii="Arial" w:cs="Arial" w:eastAsia="Arial" w:hAnsi="Arial"/>
                <w:sz w:val="18"/>
                <w:szCs w:val="18"/>
                <w:color w:val="auto"/>
              </w:rPr>
              <w:t>Panama</w:t>
            </w:r>
          </w:p>
        </w:tc>
        <w:tc>
          <w:tcPr>
            <w:tcW w:w="1000" w:type="dxa"/>
            <w:vAlign w:val="bottom"/>
            <w:gridSpan w:val="2"/>
          </w:tcPr>
          <w:p>
            <w:pPr>
              <w:jc w:val="right"/>
              <w:ind w:right="340"/>
              <w:spacing w:after="0"/>
              <w:rPr>
                <w:sz w:val="20"/>
                <w:szCs w:val="20"/>
                <w:color w:val="auto"/>
              </w:rPr>
            </w:pPr>
            <w:r>
              <w:rPr>
                <w:rFonts w:ascii="Arial" w:cs="Arial" w:eastAsia="Arial" w:hAnsi="Arial"/>
                <w:sz w:val="18"/>
                <w:szCs w:val="18"/>
                <w:color w:val="auto"/>
              </w:rPr>
              <w:t>Brazil</w:t>
            </w:r>
          </w:p>
        </w:tc>
        <w:tc>
          <w:tcPr>
            <w:tcW w:w="980" w:type="dxa"/>
            <w:vAlign w:val="bottom"/>
            <w:gridSpan w:val="2"/>
          </w:tcPr>
          <w:p>
            <w:pPr>
              <w:jc w:val="right"/>
              <w:ind w:right="280"/>
              <w:spacing w:after="0"/>
              <w:rPr>
                <w:sz w:val="20"/>
                <w:szCs w:val="20"/>
                <w:color w:val="auto"/>
              </w:rPr>
            </w:pPr>
            <w:r>
              <w:rPr>
                <w:rFonts w:ascii="Arial" w:cs="Arial" w:eastAsia="Arial" w:hAnsi="Arial"/>
                <w:sz w:val="18"/>
                <w:szCs w:val="18"/>
                <w:color w:val="auto"/>
              </w:rPr>
              <w:t>Mexico</w:t>
            </w:r>
          </w:p>
        </w:tc>
        <w:tc>
          <w:tcPr>
            <w:tcW w:w="960" w:type="dxa"/>
            <w:vAlign w:val="bottom"/>
            <w:gridSpan w:val="2"/>
          </w:tcPr>
          <w:p>
            <w:pPr>
              <w:ind w:left="80"/>
              <w:spacing w:after="0"/>
              <w:rPr>
                <w:sz w:val="20"/>
                <w:szCs w:val="20"/>
                <w:color w:val="auto"/>
              </w:rPr>
            </w:pPr>
            <w:r>
              <w:rPr>
                <w:rFonts w:ascii="Arial" w:cs="Arial" w:eastAsia="Arial" w:hAnsi="Arial"/>
                <w:sz w:val="18"/>
                <w:szCs w:val="18"/>
                <w:color w:val="auto"/>
              </w:rPr>
              <w:t>Colombia</w:t>
            </w:r>
          </w:p>
        </w:tc>
        <w:tc>
          <w:tcPr>
            <w:tcW w:w="980" w:type="dxa"/>
            <w:vAlign w:val="bottom"/>
            <w:gridSpan w:val="2"/>
          </w:tcPr>
          <w:p>
            <w:pPr>
              <w:ind w:left="40"/>
              <w:spacing w:after="0"/>
              <w:rPr>
                <w:sz w:val="20"/>
                <w:szCs w:val="20"/>
                <w:color w:val="auto"/>
              </w:rPr>
            </w:pPr>
            <w:r>
              <w:rPr>
                <w:rFonts w:ascii="Arial" w:cs="Arial" w:eastAsia="Arial" w:hAnsi="Arial"/>
                <w:sz w:val="18"/>
                <w:szCs w:val="18"/>
                <w:color w:val="auto"/>
              </w:rPr>
              <w:t>Costa Rica</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Ecuador</w:t>
            </w:r>
          </w:p>
        </w:tc>
        <w:tc>
          <w:tcPr>
            <w:tcW w:w="960" w:type="dxa"/>
            <w:vAlign w:val="bottom"/>
            <w:gridSpan w:val="2"/>
          </w:tcPr>
          <w:p>
            <w:pPr>
              <w:ind w:left="60"/>
              <w:spacing w:after="0"/>
              <w:rPr>
                <w:sz w:val="20"/>
                <w:szCs w:val="20"/>
                <w:color w:val="auto"/>
              </w:rPr>
            </w:pPr>
            <w:r>
              <w:rPr>
                <w:rFonts w:ascii="Arial" w:cs="Arial" w:eastAsia="Arial" w:hAnsi="Arial"/>
                <w:sz w:val="18"/>
                <w:szCs w:val="18"/>
                <w:color w:val="auto"/>
              </w:rPr>
              <w:t>Argentina</w:t>
            </w:r>
          </w:p>
        </w:tc>
        <w:tc>
          <w:tcPr>
            <w:tcW w:w="980" w:type="dxa"/>
            <w:vAlign w:val="bottom"/>
            <w:gridSpan w:val="2"/>
          </w:tcPr>
          <w:p>
            <w:pPr>
              <w:jc w:val="right"/>
              <w:ind w:right="340"/>
              <w:spacing w:after="0"/>
              <w:rPr>
                <w:sz w:val="20"/>
                <w:szCs w:val="20"/>
                <w:color w:val="auto"/>
              </w:rPr>
            </w:pPr>
            <w:r>
              <w:rPr>
                <w:rFonts w:ascii="Arial" w:cs="Arial" w:eastAsia="Arial" w:hAnsi="Arial"/>
                <w:sz w:val="18"/>
                <w:szCs w:val="18"/>
                <w:color w:val="auto"/>
              </w:rPr>
              <w:t>Other</w:t>
            </w:r>
          </w:p>
        </w:tc>
        <w:tc>
          <w:tcPr>
            <w:tcW w:w="960" w:type="dxa"/>
            <w:vAlign w:val="bottom"/>
            <w:gridSpan w:val="2"/>
          </w:tcPr>
          <w:p>
            <w:pPr>
              <w:ind w:left="240"/>
              <w:spacing w:after="0"/>
              <w:rPr>
                <w:sz w:val="20"/>
                <w:szCs w:val="20"/>
                <w:color w:val="auto"/>
              </w:rPr>
            </w:pPr>
            <w:r>
              <w:rPr>
                <w:rFonts w:ascii="Arial" w:cs="Arial" w:eastAsia="Arial" w:hAnsi="Arial"/>
                <w:sz w:val="18"/>
                <w:szCs w:val="18"/>
                <w:color w:val="auto"/>
              </w:rPr>
              <w:t>Total</w:t>
            </w:r>
          </w:p>
        </w:tc>
      </w:tr>
      <w:tr>
        <w:trPr>
          <w:trHeight w:val="210"/>
        </w:trPr>
        <w:tc>
          <w:tcPr>
            <w:tcW w:w="1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8,649</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13,122</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18,757</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10,348</w:t>
            </w: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10,702</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13,640</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14,889</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36,550</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126,657</w:t>
            </w: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2080" w:type="dxa"/>
            <w:vAlign w:val="bottom"/>
            <w:gridSpan w:val="2"/>
          </w:tcPr>
          <w:p>
            <w:pPr>
              <w:spacing w:after="0"/>
              <w:rPr>
                <w:sz w:val="20"/>
                <w:szCs w:val="20"/>
                <w:color w:val="auto"/>
              </w:rPr>
            </w:pPr>
            <w:r>
              <w:rPr>
                <w:rFonts w:ascii="Arial" w:cs="Arial" w:eastAsia="Arial" w:hAnsi="Arial"/>
                <w:sz w:val="18"/>
                <w:szCs w:val="18"/>
                <w:color w:val="auto"/>
              </w:rPr>
              <w:t>Non-current assets*</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20,976</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222</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1,510</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55</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185</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725</w:t>
            </w:r>
          </w:p>
        </w:tc>
        <w:tc>
          <w:tcPr>
            <w:tcW w:w="880" w:type="dxa"/>
            <w:vAlign w:val="bottom"/>
          </w:tcPr>
          <w:p>
            <w:pPr>
              <w:jc w:val="right"/>
              <w:spacing w:after="0"/>
              <w:rPr>
                <w:sz w:val="20"/>
                <w:szCs w:val="20"/>
                <w:color w:val="auto"/>
              </w:rPr>
            </w:pPr>
            <w:r>
              <w:rPr>
                <w:rFonts w:ascii="Arial" w:cs="Arial" w:eastAsia="Arial" w:hAnsi="Arial"/>
                <w:sz w:val="18"/>
                <w:szCs w:val="18"/>
                <w:color w:val="auto"/>
              </w:rPr>
              <w:t>23,673</w:t>
            </w:r>
          </w:p>
        </w:tc>
        <w:tc>
          <w:tcPr>
            <w:tcW w:w="80" w:type="dxa"/>
            <w:vAlign w:val="bottom"/>
          </w:tcPr>
          <w:p>
            <w:pPr>
              <w:spacing w:after="0"/>
              <w:rPr>
                <w:sz w:val="19"/>
                <w:szCs w:val="19"/>
                <w:color w:val="auto"/>
              </w:rPr>
            </w:pPr>
          </w:p>
        </w:tc>
      </w:tr>
      <w:tr>
        <w:trPr>
          <w:trHeight w:val="209"/>
        </w:trPr>
        <w:tc>
          <w:tcPr>
            <w:tcW w:w="19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right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1960" w:type="dxa"/>
            <w:vAlign w:val="bottom"/>
          </w:tcPr>
          <w:p>
            <w:pPr>
              <w:spacing w:after="0"/>
              <w:rPr>
                <w:sz w:val="20"/>
                <w:szCs w:val="20"/>
                <w:color w:val="auto"/>
              </w:rPr>
            </w:pPr>
            <w:r>
              <w:rPr>
                <w:rFonts w:ascii="Arial" w:cs="Arial" w:eastAsia="Arial" w:hAnsi="Arial"/>
                <w:sz w:val="18"/>
                <w:szCs w:val="18"/>
                <w:b w:val="1"/>
                <w:bCs w:val="1"/>
                <w:color w:val="auto"/>
              </w:rPr>
              <w:t>2018</w:t>
            </w:r>
          </w:p>
        </w:tc>
        <w:tc>
          <w:tcPr>
            <w:tcW w:w="120" w:type="dxa"/>
            <w:vAlign w:val="bottom"/>
          </w:tcPr>
          <w:p>
            <w:pPr>
              <w:spacing w:after="0"/>
              <w:rPr>
                <w:sz w:val="19"/>
                <w:szCs w:val="19"/>
                <w:color w:val="auto"/>
              </w:rPr>
            </w:pPr>
          </w:p>
        </w:tc>
        <w:tc>
          <w:tcPr>
            <w:tcW w:w="1000" w:type="dxa"/>
            <w:vAlign w:val="bottom"/>
            <w:gridSpan w:val="2"/>
          </w:tcPr>
          <w:p>
            <w:pPr>
              <w:jc w:val="right"/>
              <w:ind w:right="280"/>
              <w:spacing w:after="0"/>
              <w:rPr>
                <w:sz w:val="20"/>
                <w:szCs w:val="20"/>
                <w:color w:val="auto"/>
              </w:rPr>
            </w:pPr>
            <w:r>
              <w:rPr>
                <w:rFonts w:ascii="Arial" w:cs="Arial" w:eastAsia="Arial" w:hAnsi="Arial"/>
                <w:sz w:val="18"/>
                <w:szCs w:val="18"/>
                <w:color w:val="auto"/>
              </w:rPr>
              <w:t>Panama</w:t>
            </w:r>
          </w:p>
        </w:tc>
        <w:tc>
          <w:tcPr>
            <w:tcW w:w="1000" w:type="dxa"/>
            <w:vAlign w:val="bottom"/>
            <w:gridSpan w:val="2"/>
          </w:tcPr>
          <w:p>
            <w:pPr>
              <w:jc w:val="right"/>
              <w:ind w:right="340"/>
              <w:spacing w:after="0"/>
              <w:rPr>
                <w:sz w:val="20"/>
                <w:szCs w:val="20"/>
                <w:color w:val="auto"/>
              </w:rPr>
            </w:pPr>
            <w:r>
              <w:rPr>
                <w:rFonts w:ascii="Arial" w:cs="Arial" w:eastAsia="Arial" w:hAnsi="Arial"/>
                <w:sz w:val="18"/>
                <w:szCs w:val="18"/>
                <w:color w:val="auto"/>
              </w:rPr>
              <w:t>Brazil</w:t>
            </w:r>
          </w:p>
        </w:tc>
        <w:tc>
          <w:tcPr>
            <w:tcW w:w="980" w:type="dxa"/>
            <w:vAlign w:val="bottom"/>
            <w:gridSpan w:val="2"/>
          </w:tcPr>
          <w:p>
            <w:pPr>
              <w:jc w:val="right"/>
              <w:ind w:right="280"/>
              <w:spacing w:after="0"/>
              <w:rPr>
                <w:sz w:val="20"/>
                <w:szCs w:val="20"/>
                <w:color w:val="auto"/>
              </w:rPr>
            </w:pPr>
            <w:r>
              <w:rPr>
                <w:rFonts w:ascii="Arial" w:cs="Arial" w:eastAsia="Arial" w:hAnsi="Arial"/>
                <w:sz w:val="18"/>
                <w:szCs w:val="18"/>
                <w:color w:val="auto"/>
              </w:rPr>
              <w:t>Mexico</w:t>
            </w:r>
          </w:p>
        </w:tc>
        <w:tc>
          <w:tcPr>
            <w:tcW w:w="960" w:type="dxa"/>
            <w:vAlign w:val="bottom"/>
            <w:gridSpan w:val="2"/>
          </w:tcPr>
          <w:p>
            <w:pPr>
              <w:ind w:left="80"/>
              <w:spacing w:after="0"/>
              <w:rPr>
                <w:sz w:val="20"/>
                <w:szCs w:val="20"/>
                <w:color w:val="auto"/>
              </w:rPr>
            </w:pPr>
            <w:r>
              <w:rPr>
                <w:rFonts w:ascii="Arial" w:cs="Arial" w:eastAsia="Arial" w:hAnsi="Arial"/>
                <w:sz w:val="18"/>
                <w:szCs w:val="18"/>
                <w:color w:val="auto"/>
              </w:rPr>
              <w:t>Colombia</w:t>
            </w:r>
          </w:p>
        </w:tc>
        <w:tc>
          <w:tcPr>
            <w:tcW w:w="980" w:type="dxa"/>
            <w:vAlign w:val="bottom"/>
            <w:gridSpan w:val="2"/>
          </w:tcPr>
          <w:p>
            <w:pPr>
              <w:ind w:left="40"/>
              <w:spacing w:after="0"/>
              <w:rPr>
                <w:sz w:val="20"/>
                <w:szCs w:val="20"/>
                <w:color w:val="auto"/>
              </w:rPr>
            </w:pPr>
            <w:r>
              <w:rPr>
                <w:rFonts w:ascii="Arial" w:cs="Arial" w:eastAsia="Arial" w:hAnsi="Arial"/>
                <w:sz w:val="18"/>
                <w:szCs w:val="18"/>
                <w:color w:val="auto"/>
              </w:rPr>
              <w:t>Costa Rica</w:t>
            </w:r>
          </w:p>
        </w:tc>
        <w:tc>
          <w:tcPr>
            <w:tcW w:w="980" w:type="dxa"/>
            <w:vAlign w:val="bottom"/>
            <w:gridSpan w:val="2"/>
          </w:tcPr>
          <w:p>
            <w:pPr>
              <w:jc w:val="right"/>
              <w:ind w:right="240"/>
              <w:spacing w:after="0"/>
              <w:rPr>
                <w:sz w:val="20"/>
                <w:szCs w:val="20"/>
                <w:color w:val="auto"/>
              </w:rPr>
            </w:pPr>
            <w:r>
              <w:rPr>
                <w:rFonts w:ascii="Arial" w:cs="Arial" w:eastAsia="Arial" w:hAnsi="Arial"/>
                <w:sz w:val="18"/>
                <w:szCs w:val="18"/>
                <w:color w:val="auto"/>
              </w:rPr>
              <w:t>Ecuador</w:t>
            </w:r>
          </w:p>
        </w:tc>
        <w:tc>
          <w:tcPr>
            <w:tcW w:w="960" w:type="dxa"/>
            <w:vAlign w:val="bottom"/>
            <w:gridSpan w:val="2"/>
          </w:tcPr>
          <w:p>
            <w:pPr>
              <w:ind w:left="60"/>
              <w:spacing w:after="0"/>
              <w:rPr>
                <w:sz w:val="20"/>
                <w:szCs w:val="20"/>
                <w:color w:val="auto"/>
              </w:rPr>
            </w:pPr>
            <w:r>
              <w:rPr>
                <w:rFonts w:ascii="Arial" w:cs="Arial" w:eastAsia="Arial" w:hAnsi="Arial"/>
                <w:sz w:val="18"/>
                <w:szCs w:val="18"/>
                <w:color w:val="auto"/>
              </w:rPr>
              <w:t>Argentina</w:t>
            </w:r>
          </w:p>
        </w:tc>
        <w:tc>
          <w:tcPr>
            <w:tcW w:w="980" w:type="dxa"/>
            <w:vAlign w:val="bottom"/>
            <w:gridSpan w:val="2"/>
          </w:tcPr>
          <w:p>
            <w:pPr>
              <w:jc w:val="right"/>
              <w:ind w:right="340"/>
              <w:spacing w:after="0"/>
              <w:rPr>
                <w:sz w:val="20"/>
                <w:szCs w:val="20"/>
                <w:color w:val="auto"/>
              </w:rPr>
            </w:pPr>
            <w:r>
              <w:rPr>
                <w:rFonts w:ascii="Arial" w:cs="Arial" w:eastAsia="Arial" w:hAnsi="Arial"/>
                <w:sz w:val="18"/>
                <w:szCs w:val="18"/>
                <w:color w:val="auto"/>
              </w:rPr>
              <w:t>Other</w:t>
            </w:r>
          </w:p>
        </w:tc>
        <w:tc>
          <w:tcPr>
            <w:tcW w:w="960" w:type="dxa"/>
            <w:vAlign w:val="bottom"/>
            <w:gridSpan w:val="2"/>
          </w:tcPr>
          <w:p>
            <w:pPr>
              <w:ind w:left="220"/>
              <w:spacing w:after="0"/>
              <w:rPr>
                <w:sz w:val="20"/>
                <w:szCs w:val="20"/>
                <w:color w:val="auto"/>
              </w:rPr>
            </w:pPr>
            <w:r>
              <w:rPr>
                <w:rFonts w:ascii="Arial" w:cs="Arial" w:eastAsia="Arial" w:hAnsi="Arial"/>
                <w:sz w:val="18"/>
                <w:szCs w:val="18"/>
                <w:color w:val="auto"/>
              </w:rPr>
              <w:t>Other</w:t>
            </w:r>
          </w:p>
        </w:tc>
      </w:tr>
      <w:tr>
        <w:trPr>
          <w:trHeight w:val="210"/>
        </w:trPr>
        <w:tc>
          <w:tcPr>
            <w:tcW w:w="1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13,913</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17,887</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14,577</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15,440</w:t>
            </w:r>
          </w:p>
        </w:tc>
        <w:tc>
          <w:tcPr>
            <w:tcW w:w="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11,115</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10,414</w:t>
            </w:r>
          </w:p>
        </w:tc>
        <w:tc>
          <w:tcPr>
            <w:tcW w:w="1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9,959</w:t>
            </w:r>
          </w:p>
        </w:tc>
        <w:tc>
          <w:tcPr>
            <w:tcW w:w="1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34,284</w:t>
            </w:r>
          </w:p>
        </w:tc>
        <w:tc>
          <w:tcPr>
            <w:tcW w:w="1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127,589</w:t>
            </w:r>
          </w:p>
        </w:tc>
        <w:tc>
          <w:tcPr>
            <w:tcW w:w="80" w:type="dxa"/>
            <w:vAlign w:val="bottom"/>
            <w:tcBorders>
              <w:top w:val="single" w:sz="8" w:color="CCEEFF"/>
            </w:tcBorders>
            <w:shd w:val="clear" w:color="auto" w:fill="CCEEFF"/>
          </w:tcPr>
          <w:p>
            <w:pPr>
              <w:spacing w:after="0"/>
              <w:rPr>
                <w:sz w:val="18"/>
                <w:szCs w:val="18"/>
                <w:color w:val="auto"/>
              </w:rPr>
            </w:pPr>
          </w:p>
        </w:tc>
      </w:tr>
      <w:tr>
        <w:trPr>
          <w:trHeight w:val="230"/>
        </w:trPr>
        <w:tc>
          <w:tcPr>
            <w:tcW w:w="2080" w:type="dxa"/>
            <w:vAlign w:val="bottom"/>
            <w:gridSpan w:val="2"/>
          </w:tcPr>
          <w:p>
            <w:pPr>
              <w:spacing w:after="0"/>
              <w:rPr>
                <w:sz w:val="20"/>
                <w:szCs w:val="20"/>
                <w:color w:val="auto"/>
              </w:rPr>
            </w:pPr>
            <w:r>
              <w:rPr>
                <w:rFonts w:ascii="Arial" w:cs="Arial" w:eastAsia="Arial" w:hAnsi="Arial"/>
                <w:sz w:val="18"/>
                <w:szCs w:val="18"/>
                <w:color w:val="auto"/>
              </w:rPr>
              <w:t>Non-current assets*</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6,520</w:t>
            </w: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126</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1,495</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7</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134</w:t>
            </w:r>
          </w:p>
        </w:tc>
        <w:tc>
          <w:tcPr>
            <w:tcW w:w="880" w:type="dxa"/>
            <w:vAlign w:val="bottom"/>
          </w:tcPr>
          <w:p>
            <w:pPr>
              <w:jc w:val="right"/>
              <w:spacing w:after="0"/>
              <w:rPr>
                <w:sz w:val="20"/>
                <w:szCs w:val="20"/>
                <w:color w:val="auto"/>
              </w:rPr>
            </w:pPr>
            <w:r>
              <w:rPr>
                <w:rFonts w:ascii="Arial" w:cs="Arial" w:eastAsia="Arial" w:hAnsi="Arial"/>
                <w:sz w:val="18"/>
                <w:szCs w:val="18"/>
                <w:color w:val="auto"/>
              </w:rPr>
              <w:t>8,319</w:t>
            </w:r>
          </w:p>
        </w:tc>
        <w:tc>
          <w:tcPr>
            <w:tcW w:w="80" w:type="dxa"/>
            <w:vAlign w:val="bottom"/>
          </w:tcPr>
          <w:p>
            <w:pPr>
              <w:spacing w:after="0"/>
              <w:rPr>
                <w:sz w:val="19"/>
                <w:szCs w:val="19"/>
                <w:color w:val="auto"/>
              </w:rPr>
            </w:pPr>
          </w:p>
        </w:tc>
      </w:tr>
      <w:tr>
        <w:trPr>
          <w:trHeight w:val="20"/>
        </w:trPr>
        <w:tc>
          <w:tcPr>
            <w:tcW w:w="1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700"/>
        <w:spacing w:after="0"/>
        <w:rPr>
          <w:sz w:val="20"/>
          <w:szCs w:val="20"/>
          <w:color w:val="auto"/>
        </w:rPr>
      </w:pPr>
      <w:r>
        <w:rPr>
          <w:rFonts w:ascii="Arial" w:cs="Arial" w:eastAsia="Arial" w:hAnsi="Arial"/>
          <w:sz w:val="18"/>
          <w:szCs w:val="18"/>
          <w:color w:val="auto"/>
        </w:rPr>
        <w:t>* Includes equipment and lesehold improvements, intangibles and investment properties</w:t>
      </w:r>
    </w:p>
    <w:p>
      <w:pPr>
        <w:spacing w:after="0" w:line="221" w:lineRule="exact"/>
        <w:rPr>
          <w:sz w:val="20"/>
          <w:szCs w:val="20"/>
          <w:color w:val="auto"/>
        </w:rPr>
      </w:pPr>
    </w:p>
    <w:p>
      <w:pPr>
        <w:ind w:left="340"/>
        <w:spacing w:after="0"/>
        <w:rPr>
          <w:sz w:val="20"/>
          <w:szCs w:val="20"/>
          <w:color w:val="auto"/>
        </w:rPr>
      </w:pPr>
      <w:r>
        <w:rPr>
          <w:rFonts w:ascii="Arial" w:cs="Arial" w:eastAsia="Arial" w:hAnsi="Arial"/>
          <w:sz w:val="18"/>
          <w:szCs w:val="18"/>
          <w:b w:val="1"/>
          <w:bCs w:val="1"/>
          <w:u w:val="single" w:color="auto"/>
          <w:color w:val="auto"/>
        </w:rPr>
        <w:t>Disaggregation of revenue from contract with customers</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December 31, 2020, 2019, and 2018, respectively, the Bank has no customer, either individually or as group of companies, that represents more than 10% of total revenues.</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1" w:name="page252"/>
    <w:bookmarkEnd w:id="2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83"/>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8400" w:type="dxa"/>
            <w:vAlign w:val="bottom"/>
          </w:tcPr>
          <w:p>
            <w:pPr>
              <w:spacing w:after="0"/>
              <w:rPr>
                <w:sz w:val="18"/>
                <w:szCs w:val="18"/>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88"/>
              </w:rPr>
              <w:t>December 31,</w:t>
            </w:r>
          </w:p>
        </w:tc>
        <w:tc>
          <w:tcPr>
            <w:tcW w:w="1180" w:type="dxa"/>
            <w:vAlign w:val="bottom"/>
            <w:gridSpan w:val="2"/>
          </w:tcPr>
          <w:p>
            <w:pPr>
              <w:ind w:left="20"/>
              <w:spacing w:after="0"/>
              <w:rPr>
                <w:sz w:val="20"/>
                <w:szCs w:val="20"/>
                <w:color w:val="auto"/>
              </w:rPr>
            </w:pPr>
            <w:r>
              <w:rPr>
                <w:rFonts w:ascii="Arial" w:cs="Arial" w:eastAsia="Arial" w:hAnsi="Arial"/>
                <w:sz w:val="18"/>
                <w:szCs w:val="18"/>
                <w:b w:val="1"/>
                <w:bCs w:val="1"/>
                <w:color w:val="auto"/>
                <w:w w:val="97"/>
              </w:rPr>
              <w:t>December 31,</w:t>
            </w:r>
          </w:p>
        </w:tc>
      </w:tr>
      <w:tr>
        <w:trPr>
          <w:trHeight w:val="234"/>
        </w:trPr>
        <w:tc>
          <w:tcPr>
            <w:tcW w:w="840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8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00" w:type="dxa"/>
            <w:vAlign w:val="bottom"/>
          </w:tcPr>
          <w:p>
            <w:pPr>
              <w:ind w:left="160"/>
              <w:spacing w:after="0"/>
              <w:rPr>
                <w:sz w:val="20"/>
                <w:szCs w:val="20"/>
                <w:color w:val="auto"/>
              </w:rPr>
            </w:pPr>
            <w:r>
              <w:rPr>
                <w:rFonts w:ascii="Arial" w:cs="Arial" w:eastAsia="Arial" w:hAnsi="Arial"/>
                <w:sz w:val="18"/>
                <w:szCs w:val="18"/>
                <w:color w:val="auto"/>
              </w:rPr>
              <w:t>Demand deposits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3,269</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3,812</w:t>
            </w:r>
          </w:p>
        </w:tc>
      </w:tr>
      <w:tr>
        <w:trPr>
          <w:trHeight w:val="230"/>
        </w:trPr>
        <w:tc>
          <w:tcPr>
            <w:tcW w:w="8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 net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22,499</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49,101</w:t>
            </w:r>
          </w:p>
        </w:tc>
      </w:tr>
      <w:tr>
        <w:trPr>
          <w:trHeight w:val="263"/>
        </w:trPr>
        <w:tc>
          <w:tcPr>
            <w:tcW w:w="84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25,768</w:t>
            </w:r>
          </w:p>
        </w:tc>
        <w:tc>
          <w:tcPr>
            <w:tcW w:w="22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52,913</w:t>
            </w:r>
          </w:p>
        </w:tc>
        <w:tc>
          <w:tcPr>
            <w:tcW w:w="100" w:type="dxa"/>
            <w:vAlign w:val="bottom"/>
            <w:tcBorders>
              <w:bottom w:val="single" w:sz="8" w:color="CCEEFF"/>
            </w:tcBorders>
          </w:tcPr>
          <w:p>
            <w:pPr>
              <w:spacing w:after="0"/>
              <w:rPr>
                <w:sz w:val="22"/>
                <w:szCs w:val="22"/>
                <w:color w:val="auto"/>
              </w:rPr>
            </w:pPr>
          </w:p>
        </w:tc>
      </w:tr>
      <w:tr>
        <w:trPr>
          <w:trHeight w:val="197"/>
        </w:trPr>
        <w:tc>
          <w:tcPr>
            <w:tcW w:w="84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840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8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Time deposits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240,000</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120,000</w:t>
            </w:r>
          </w:p>
        </w:tc>
      </w:tr>
      <w:tr>
        <w:trPr>
          <w:trHeight w:val="263"/>
        </w:trPr>
        <w:tc>
          <w:tcPr>
            <w:tcW w:w="84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220" w:type="dxa"/>
            <w:vAlign w:val="bottom"/>
            <w:tcBorders>
              <w:bottom w:val="single" w:sz="8" w:color="CCEEFF"/>
            </w:tcBorders>
          </w:tcPr>
          <w:p>
            <w:pPr>
              <w:spacing w:after="0"/>
              <w:rPr>
                <w:sz w:val="22"/>
                <w:szCs w:val="22"/>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120,000</w:t>
            </w:r>
          </w:p>
        </w:tc>
        <w:tc>
          <w:tcPr>
            <w:tcW w:w="100" w:type="dxa"/>
            <w:vAlign w:val="bottom"/>
            <w:tcBorders>
              <w:bottom w:val="single" w:sz="8" w:color="CCEEFF"/>
            </w:tcBorders>
          </w:tcPr>
          <w:p>
            <w:pPr>
              <w:spacing w:after="0"/>
              <w:rPr>
                <w:sz w:val="22"/>
                <w:szCs w:val="22"/>
                <w:color w:val="auto"/>
              </w:rPr>
            </w:pPr>
          </w:p>
        </w:tc>
      </w:tr>
      <w:tr>
        <w:trPr>
          <w:trHeight w:val="197"/>
        </w:trPr>
        <w:tc>
          <w:tcPr>
            <w:tcW w:w="84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bl>
    <w:p>
      <w:pPr>
        <w:spacing w:after="0" w:line="1" w:lineRule="exact"/>
        <w:rPr>
          <w:sz w:val="20"/>
          <w:szCs w:val="20"/>
          <w:color w:val="auto"/>
        </w:rPr>
      </w:pPr>
    </w:p>
    <w:p>
      <w:pPr>
        <w:sectPr>
          <w:pgSz w:w="11900" w:h="16838" w:orient="portrait"/>
          <w:cols w:equalWidth="0" w:num="1">
            <w:col w:w="11240"/>
          </w:cols>
          <w:pgMar w:left="320" w:top="688" w:right="339" w:bottom="1440" w:gutter="0" w:footer="0" w:header="0"/>
        </w:sectPr>
      </w:pPr>
    </w:p>
    <w:p>
      <w:pPr>
        <w:ind w:left="340"/>
        <w:spacing w:after="0"/>
        <w:rPr>
          <w:sz w:val="20"/>
          <w:szCs w:val="20"/>
          <w:color w:val="auto"/>
        </w:rPr>
      </w:pPr>
      <w:r>
        <w:rPr>
          <w:rFonts w:ascii="Arial" w:cs="Arial" w:eastAsia="Arial" w:hAnsi="Arial"/>
          <w:sz w:val="18"/>
          <w:szCs w:val="18"/>
          <w:b w:val="1"/>
          <w:bCs w:val="1"/>
          <w:color w:val="auto"/>
        </w:rPr>
        <w:t>Contingencies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6"/>
          <w:szCs w:val="16"/>
          <w:color w:val="auto"/>
        </w:rPr>
        <w:t>Stand-by letters of credit</w:t>
      </w:r>
    </w:p>
    <w:p>
      <w:pPr>
        <w:spacing w:after="0" w:line="3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Loss allowance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contingencies</w:t>
      </w:r>
    </w:p>
    <w:p>
      <w:pPr>
        <w:spacing w:after="0" w:line="20" w:lineRule="exact"/>
        <w:rPr>
          <w:sz w:val="20"/>
          <w:szCs w:val="20"/>
          <w:color w:val="auto"/>
        </w:rPr>
      </w:pPr>
      <w:r>
        <w:rPr>
          <w:sz w:val="20"/>
          <w:szCs w:val="20"/>
          <w:color w:val="auto"/>
        </w:rPr>
        <w:br w:type="column"/>
      </w:r>
    </w:p>
    <w:p>
      <w:pPr>
        <w:spacing w:after="0" w:line="18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28,300</w:t>
            </w:r>
          </w:p>
        </w:tc>
        <w:tc>
          <w:tcPr>
            <w:tcW w:w="1080" w:type="dxa"/>
            <w:vAlign w:val="bottom"/>
          </w:tcPr>
          <w:p>
            <w:pPr>
              <w:jc w:val="right"/>
              <w:spacing w:after="0"/>
              <w:rPr>
                <w:sz w:val="20"/>
                <w:szCs w:val="20"/>
                <w:color w:val="auto"/>
              </w:rPr>
            </w:pPr>
            <w:r>
              <w:rPr>
                <w:rFonts w:ascii="Arial" w:cs="Arial" w:eastAsia="Arial" w:hAnsi="Arial"/>
                <w:sz w:val="18"/>
                <w:szCs w:val="18"/>
                <w:color w:val="auto"/>
              </w:rPr>
              <w:t>20,000</w:t>
            </w:r>
          </w:p>
        </w:tc>
        <w:tc>
          <w:tcPr>
            <w:tcW w:w="60" w:type="dxa"/>
            <w:vAlign w:val="bottom"/>
          </w:tcPr>
          <w:p>
            <w:pPr>
              <w:spacing w:after="0"/>
              <w:rPr>
                <w:sz w:val="18"/>
                <w:szCs w:val="18"/>
                <w:color w:val="auto"/>
              </w:rPr>
            </w:pPr>
          </w:p>
        </w:tc>
      </w:tr>
      <w:tr>
        <w:trPr>
          <w:trHeight w:val="244"/>
        </w:trPr>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(60)</w:t>
            </w:r>
          </w:p>
        </w:tc>
        <w:tc>
          <w:tcPr>
            <w:tcW w:w="1140" w:type="dxa"/>
            <w:vAlign w:val="bottom"/>
            <w:gridSpan w:val="2"/>
          </w:tcPr>
          <w:p>
            <w:pPr>
              <w:jc w:val="right"/>
              <w:spacing w:after="0"/>
              <w:rPr>
                <w:sz w:val="20"/>
                <w:szCs w:val="20"/>
                <w:color w:val="auto"/>
              </w:rPr>
            </w:pPr>
            <w:r>
              <w:rPr>
                <w:rFonts w:ascii="Arial" w:cs="Arial" w:eastAsia="Arial" w:hAnsi="Arial"/>
                <w:sz w:val="18"/>
                <w:szCs w:val="18"/>
                <w:color w:val="auto"/>
              </w:rPr>
              <w:t>(49)</w:t>
            </w:r>
          </w:p>
        </w:tc>
      </w:tr>
      <w:tr>
        <w:trPr>
          <w:trHeight w:val="223"/>
        </w:trPr>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28,240</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19,951</w:t>
            </w:r>
          </w:p>
        </w:tc>
        <w:tc>
          <w:tcPr>
            <w:tcW w:w="60" w:type="dxa"/>
            <w:vAlign w:val="bottom"/>
          </w:tcPr>
          <w:p>
            <w:pPr>
              <w:spacing w:after="0"/>
              <w:rPr>
                <w:sz w:val="19"/>
                <w:szCs w:val="19"/>
                <w:color w:val="auto"/>
              </w:rPr>
            </w:pPr>
          </w:p>
        </w:tc>
      </w:tr>
      <w:tr>
        <w:trPr>
          <w:trHeight w:val="20"/>
        </w:trPr>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-5338445</wp:posOffset>
            </wp:positionH>
            <wp:positionV relativeFrom="paragraph">
              <wp:posOffset>-462280</wp:posOffset>
            </wp:positionV>
            <wp:extent cx="6917690" cy="13716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1">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-5338445</wp:posOffset>
            </wp:positionH>
            <wp:positionV relativeFrom="paragraph">
              <wp:posOffset>-179070</wp:posOffset>
            </wp:positionV>
            <wp:extent cx="6917690" cy="163195"/>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2">
                      <a:extLst>
                        <a:ext uri="{28A0092B-C50C-407E-A947-70E740481C1C}"/>
                      </a:extLst>
                    </a:blip>
                    <a:srcRect/>
                    <a:stretch>
                      <a:fillRect/>
                    </a:stretch>
                  </pic:blipFill>
                  <pic:spPr bwMode="auto">
                    <a:xfrm>
                      <a:off x="0" y="0"/>
                      <a:ext cx="6917690" cy="16319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8020" w:space="720"/>
            <w:col w:w="2500"/>
          </w:cols>
          <w:pgMar w:left="320" w:top="688" w:right="339" w:bottom="1440" w:gutter="0" w:footer="0" w:header="0"/>
          <w:type w:val="continuous"/>
        </w:sectPr>
      </w:pPr>
    </w:p>
    <w:p>
      <w:pPr>
        <w:spacing w:after="0" w:line="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100" w:type="dxa"/>
            <w:vAlign w:val="bottom"/>
          </w:tcPr>
          <w:p>
            <w:pPr>
              <w:spacing w:after="0"/>
              <w:rPr>
                <w:sz w:val="20"/>
                <w:szCs w:val="20"/>
                <w:color w:val="auto"/>
              </w:rPr>
            </w:pPr>
            <w:r>
              <w:rPr>
                <w:rFonts w:ascii="Arial" w:cs="Arial" w:eastAsia="Arial" w:hAnsi="Arial"/>
                <w:sz w:val="18"/>
                <w:szCs w:val="18"/>
                <w:color w:val="auto"/>
              </w:rPr>
              <w:t>The detail of income and expenses with related parties is as follows:</w:t>
            </w: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5"/>
        </w:trPr>
        <w:tc>
          <w:tcPr>
            <w:tcW w:w="710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161"/>
              <w:spacing w:after="0"/>
              <w:rPr>
                <w:sz w:val="20"/>
                <w:szCs w:val="20"/>
                <w:color w:val="auto"/>
              </w:rPr>
            </w:pPr>
            <w:r>
              <w:rPr>
                <w:rFonts w:ascii="Arial" w:cs="Arial" w:eastAsia="Arial" w:hAnsi="Arial"/>
                <w:sz w:val="18"/>
                <w:szCs w:val="18"/>
                <w:b w:val="1"/>
                <w:bCs w:val="1"/>
                <w:color w:val="auto"/>
                <w:w w:val="88"/>
              </w:rPr>
              <w:t>December 31,</w:t>
            </w:r>
          </w:p>
        </w:tc>
        <w:tc>
          <w:tcPr>
            <w:tcW w:w="10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71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10"/>
        </w:trPr>
        <w:tc>
          <w:tcPr>
            <w:tcW w:w="7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29"/>
        </w:trPr>
        <w:tc>
          <w:tcPr>
            <w:tcW w:w="7100" w:type="dxa"/>
            <w:vAlign w:val="bottom"/>
          </w:tcPr>
          <w:p>
            <w:pPr>
              <w:ind w:left="160"/>
              <w:spacing w:after="0"/>
              <w:rPr>
                <w:sz w:val="20"/>
                <w:szCs w:val="20"/>
                <w:color w:val="auto"/>
              </w:rPr>
            </w:pPr>
            <w:r>
              <w:rPr>
                <w:rFonts w:ascii="Arial" w:cs="Arial" w:eastAsia="Arial" w:hAnsi="Arial"/>
                <w:sz w:val="18"/>
                <w:szCs w:val="18"/>
                <w:color w:val="auto"/>
              </w:rPr>
              <w:t>Loans</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1,390</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2,837</w:t>
            </w:r>
          </w:p>
        </w:tc>
        <w:tc>
          <w:tcPr>
            <w:tcW w:w="1180" w:type="dxa"/>
            <w:vAlign w:val="bottom"/>
            <w:gridSpan w:val="2"/>
          </w:tcPr>
          <w:p>
            <w:pPr>
              <w:jc w:val="right"/>
              <w:ind w:right="21"/>
              <w:spacing w:after="0"/>
              <w:rPr>
                <w:sz w:val="20"/>
                <w:szCs w:val="20"/>
                <w:color w:val="auto"/>
              </w:rPr>
            </w:pPr>
            <w:r>
              <w:rPr>
                <w:rFonts w:ascii="Arial" w:cs="Arial" w:eastAsia="Arial" w:hAnsi="Arial"/>
                <w:sz w:val="18"/>
                <w:szCs w:val="18"/>
                <w:color w:val="auto"/>
              </w:rPr>
              <w:t>2,751</w:t>
            </w:r>
          </w:p>
        </w:tc>
      </w:tr>
      <w:tr>
        <w:trPr>
          <w:trHeight w:val="210"/>
        </w:trPr>
        <w:tc>
          <w:tcPr>
            <w:tcW w:w="7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1,390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2,837</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710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Deposits</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(2,961)</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(3,927)</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(984)</w:t>
            </w:r>
          </w:p>
        </w:tc>
      </w:tr>
      <w:tr>
        <w:trPr>
          <w:trHeight w:val="270"/>
        </w:trPr>
        <w:tc>
          <w:tcPr>
            <w:tcW w:w="7100" w:type="dxa"/>
            <w:vAlign w:val="bottom"/>
          </w:tcPr>
          <w:p>
            <w:pPr>
              <w:ind w:left="160"/>
              <w:spacing w:after="0" w:line="270" w:lineRule="exact"/>
              <w:rPr>
                <w:sz w:val="20"/>
                <w:szCs w:val="20"/>
                <w:color w:val="auto"/>
              </w:rPr>
            </w:pPr>
            <w:r>
              <w:rPr>
                <w:rFonts w:ascii="Arial" w:cs="Arial" w:eastAsia="Arial" w:hAnsi="Arial"/>
                <w:sz w:val="18"/>
                <w:szCs w:val="18"/>
                <w:color w:val="auto"/>
              </w:rPr>
              <w:t xml:space="preserve">Borrowings and debt </w:t>
            </w:r>
            <w:r>
              <w:rPr>
                <w:rFonts w:ascii="Arial" w:cs="Arial" w:eastAsia="Arial" w:hAnsi="Arial"/>
                <w:sz w:val="29"/>
                <w:szCs w:val="29"/>
                <w:color w:val="auto"/>
                <w:vertAlign w:val="superscript"/>
              </w:rPr>
              <w:t>(1)</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(645)</w:t>
            </w:r>
          </w:p>
        </w:tc>
        <w:tc>
          <w:tcPr>
            <w:tcW w:w="1180" w:type="dxa"/>
            <w:vAlign w:val="bottom"/>
            <w:gridSpan w:val="2"/>
          </w:tcPr>
          <w:p>
            <w:pPr>
              <w:jc w:val="right"/>
              <w:ind w:right="21"/>
              <w:spacing w:after="0"/>
              <w:rPr>
                <w:sz w:val="20"/>
                <w:szCs w:val="20"/>
                <w:color w:val="auto"/>
              </w:rPr>
            </w:pPr>
            <w:r>
              <w:rPr>
                <w:rFonts w:ascii="Arial" w:cs="Arial" w:eastAsia="Arial" w:hAnsi="Arial"/>
                <w:sz w:val="18"/>
                <w:szCs w:val="18"/>
                <w:color w:val="auto"/>
              </w:rPr>
              <w:t>-</w:t>
            </w:r>
          </w:p>
        </w:tc>
      </w:tr>
      <w:tr>
        <w:trPr>
          <w:trHeight w:val="210"/>
        </w:trPr>
        <w:tc>
          <w:tcPr>
            <w:tcW w:w="7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(2,961</w:t>
            </w:r>
          </w:p>
        </w:tc>
        <w:tc>
          <w:tcPr>
            <w:tcW w:w="220" w:type="dxa"/>
            <w:vAlign w:val="bottom"/>
            <w:tcBorders>
              <w:top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(4,572</w:t>
            </w:r>
          </w:p>
        </w:tc>
        <w:tc>
          <w:tcPr>
            <w:tcW w:w="220" w:type="dxa"/>
            <w:vAlign w:val="bottom"/>
            <w:tcBorders>
              <w:top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color w:val="auto"/>
                <w:w w:val="74"/>
              </w:rPr>
              <w: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(984</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09"/>
        </w:trPr>
        <w:tc>
          <w:tcPr>
            <w:tcW w:w="7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7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 (expenses)</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b w:val="1"/>
                <w:bCs w:val="1"/>
                <w:color w:val="auto"/>
              </w:rPr>
              <w:t>(1,571)</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b w:val="1"/>
                <w:bCs w:val="1"/>
                <w:color w:val="auto"/>
              </w:rPr>
              <w:t>(1,735)</w:t>
            </w:r>
          </w:p>
        </w:tc>
        <w:tc>
          <w:tcPr>
            <w:tcW w:w="11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b w:val="1"/>
                <w:bCs w:val="1"/>
                <w:color w:val="auto"/>
              </w:rPr>
              <w:t>1,767</w:t>
            </w:r>
          </w:p>
        </w:tc>
      </w:tr>
      <w:tr>
        <w:trPr>
          <w:trHeight w:val="210"/>
        </w:trPr>
        <w:tc>
          <w:tcPr>
            <w:tcW w:w="710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100" w:type="dxa"/>
            <w:vAlign w:val="bottom"/>
          </w:tcPr>
          <w:p>
            <w:pPr>
              <w:ind w:left="160"/>
              <w:spacing w:after="0"/>
              <w:rPr>
                <w:sz w:val="20"/>
                <w:szCs w:val="20"/>
                <w:color w:val="auto"/>
              </w:rPr>
            </w:pPr>
            <w:r>
              <w:rPr>
                <w:rFonts w:ascii="Arial" w:cs="Arial" w:eastAsia="Arial" w:hAnsi="Arial"/>
                <w:sz w:val="18"/>
                <w:szCs w:val="18"/>
                <w:color w:val="auto"/>
              </w:rPr>
              <w:t>Fees and commissions, net</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420</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132</w:t>
            </w:r>
          </w:p>
        </w:tc>
        <w:tc>
          <w:tcPr>
            <w:tcW w:w="1180" w:type="dxa"/>
            <w:vAlign w:val="bottom"/>
            <w:gridSpan w:val="2"/>
          </w:tcPr>
          <w:p>
            <w:pPr>
              <w:jc w:val="right"/>
              <w:ind w:right="21"/>
              <w:spacing w:after="0"/>
              <w:rPr>
                <w:sz w:val="20"/>
                <w:szCs w:val="20"/>
                <w:color w:val="auto"/>
              </w:rPr>
            </w:pPr>
            <w:r>
              <w:rPr>
                <w:rFonts w:ascii="Arial" w:cs="Arial" w:eastAsia="Arial" w:hAnsi="Arial"/>
                <w:sz w:val="18"/>
                <w:szCs w:val="18"/>
                <w:color w:val="auto"/>
              </w:rPr>
              <w:t>1</w:t>
            </w:r>
          </w:p>
        </w:tc>
      </w:tr>
      <w:tr>
        <w:trPr>
          <w:trHeight w:val="216"/>
        </w:trPr>
        <w:tc>
          <w:tcPr>
            <w:tcW w:w="7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(Loss) gain on financial instruments, net</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(41)</w:t>
            </w:r>
          </w:p>
        </w:tc>
        <w:tc>
          <w:tcPr>
            <w:tcW w:w="11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41</w:t>
            </w:r>
          </w:p>
        </w:tc>
      </w:tr>
      <w:tr>
        <w:trPr>
          <w:trHeight w:val="230"/>
        </w:trPr>
        <w:tc>
          <w:tcPr>
            <w:tcW w:w="7100" w:type="dxa"/>
            <w:vAlign w:val="bottom"/>
          </w:tcPr>
          <w:p>
            <w:pPr>
              <w:ind w:left="160"/>
              <w:spacing w:after="0"/>
              <w:rPr>
                <w:sz w:val="20"/>
                <w:szCs w:val="20"/>
                <w:color w:val="auto"/>
              </w:rPr>
            </w:pPr>
            <w:r>
              <w:rPr>
                <w:rFonts w:ascii="Arial" w:cs="Arial" w:eastAsia="Arial" w:hAnsi="Arial"/>
                <w:sz w:val="18"/>
                <w:szCs w:val="18"/>
                <w:color w:val="auto"/>
              </w:rPr>
              <w:t>Other income, net</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1"/>
              <w:spacing w:after="0"/>
              <w:rPr>
                <w:sz w:val="20"/>
                <w:szCs w:val="20"/>
                <w:color w:val="auto"/>
              </w:rPr>
            </w:pPr>
            <w:r>
              <w:rPr>
                <w:rFonts w:ascii="Arial" w:cs="Arial" w:eastAsia="Arial" w:hAnsi="Arial"/>
                <w:sz w:val="18"/>
                <w:szCs w:val="18"/>
                <w:color w:val="auto"/>
              </w:rPr>
              <w:t>1</w:t>
            </w:r>
          </w:p>
        </w:tc>
      </w:tr>
      <w:tr>
        <w:trPr>
          <w:trHeight w:val="210"/>
        </w:trPr>
        <w:tc>
          <w:tcPr>
            <w:tcW w:w="7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tcBorders>
              <w:top w:val="single" w:sz="8" w:color="CCEEFF"/>
            </w:tcBorders>
            <w:shd w:val="clear" w:color="auto" w:fill="CCEEFF"/>
          </w:tcPr>
          <w:p>
            <w:pPr>
              <w:spacing w:after="0"/>
              <w:rPr>
                <w:sz w:val="18"/>
                <w:szCs w:val="18"/>
                <w:color w:val="auto"/>
              </w:rPr>
            </w:pPr>
          </w:p>
        </w:tc>
      </w:tr>
      <w:tr>
        <w:trPr>
          <w:trHeight w:val="209"/>
        </w:trPr>
        <w:tc>
          <w:tcPr>
            <w:tcW w:w="7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100" w:type="dxa"/>
            <w:vAlign w:val="bottom"/>
          </w:tcPr>
          <w:p>
            <w:pPr>
              <w:ind w:left="160"/>
              <w:spacing w:after="0"/>
              <w:rPr>
                <w:sz w:val="20"/>
                <w:szCs w:val="20"/>
                <w:color w:val="auto"/>
              </w:rPr>
            </w:pPr>
            <w:r>
              <w:rPr>
                <w:rFonts w:ascii="Arial" w:cs="Arial" w:eastAsia="Arial" w:hAnsi="Arial"/>
                <w:sz w:val="18"/>
                <w:szCs w:val="18"/>
                <w:color w:val="auto"/>
              </w:rPr>
              <w:t>Depreciation of equipment and leasehold improvements</w:t>
            </w:r>
          </w:p>
        </w:tc>
        <w:tc>
          <w:tcPr>
            <w:tcW w:w="1300" w:type="dxa"/>
            <w:vAlign w:val="bottom"/>
            <w:gridSpan w:val="2"/>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81"/>
              <w:spacing w:after="0"/>
              <w:rPr>
                <w:sz w:val="20"/>
                <w:szCs w:val="20"/>
                <w:color w:val="auto"/>
              </w:rPr>
            </w:pPr>
            <w:r>
              <w:rPr>
                <w:rFonts w:ascii="Arial" w:cs="Arial" w:eastAsia="Arial" w:hAnsi="Arial"/>
                <w:sz w:val="18"/>
                <w:szCs w:val="18"/>
                <w:color w:val="auto"/>
              </w:rPr>
              <w:t>(899)</w:t>
            </w:r>
          </w:p>
        </w:tc>
        <w:tc>
          <w:tcPr>
            <w:tcW w:w="1180" w:type="dxa"/>
            <w:vAlign w:val="bottom"/>
            <w:gridSpan w:val="2"/>
          </w:tcPr>
          <w:p>
            <w:pPr>
              <w:jc w:val="right"/>
              <w:ind w:right="21"/>
              <w:spacing w:after="0"/>
              <w:rPr>
                <w:sz w:val="20"/>
                <w:szCs w:val="20"/>
                <w:color w:val="auto"/>
              </w:rPr>
            </w:pPr>
            <w:r>
              <w:rPr>
                <w:rFonts w:ascii="Arial" w:cs="Arial" w:eastAsia="Arial" w:hAnsi="Arial"/>
                <w:sz w:val="18"/>
                <w:szCs w:val="18"/>
                <w:color w:val="auto"/>
              </w:rPr>
              <w:t>-</w:t>
            </w:r>
          </w:p>
        </w:tc>
      </w:tr>
      <w:tr>
        <w:trPr>
          <w:trHeight w:val="230"/>
        </w:trPr>
        <w:tc>
          <w:tcPr>
            <w:tcW w:w="7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expenses</w:t>
            </w:r>
          </w:p>
        </w:tc>
        <w:tc>
          <w:tcPr>
            <w:tcW w:w="13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(409)</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(2,287)</w:t>
            </w:r>
          </w:p>
        </w:tc>
      </w:tr>
      <w:tr>
        <w:trPr>
          <w:trHeight w:val="210"/>
        </w:trPr>
        <w:tc>
          <w:tcPr>
            <w:tcW w:w="7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(1,308</w:t>
            </w:r>
          </w:p>
        </w:tc>
        <w:tc>
          <w:tcPr>
            <w:tcW w:w="220" w:type="dxa"/>
            <w:vAlign w:val="bottom"/>
            <w:tcBorders>
              <w:bottom w:val="single" w:sz="8" w:color="CCEEFF"/>
            </w:tcBorders>
          </w:tcPr>
          <w:p>
            <w:pPr>
              <w:jc w:val="right"/>
              <w:ind w:right="81"/>
              <w:spacing w:after="0"/>
              <w:rPr>
                <w:sz w:val="20"/>
                <w:szCs w:val="20"/>
                <w:color w:val="auto"/>
              </w:rPr>
            </w:pPr>
            <w:r>
              <w:rPr>
                <w:rFonts w:ascii="Arial" w:cs="Arial" w:eastAsia="Arial" w:hAnsi="Arial"/>
                <w:sz w:val="16"/>
                <w:szCs w:val="16"/>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(2,287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71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(1,151</w:t>
            </w:r>
          </w:p>
        </w:tc>
        <w:tc>
          <w:tcPr>
            <w:tcW w:w="220" w:type="dxa"/>
            <w:vAlign w:val="bottom"/>
            <w:tcBorders>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(2,952</w:t>
            </w:r>
          </w:p>
        </w:tc>
        <w:tc>
          <w:tcPr>
            <w:tcW w:w="220" w:type="dxa"/>
            <w:vAlign w:val="bottom"/>
            <w:tcBorders>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(477</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7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277" w:lineRule="auto"/>
        <w:tabs>
          <w:tab w:leader="none" w:pos="660" w:val="left"/>
        </w:tabs>
        <w:numPr>
          <w:ilvl w:val="0"/>
          <w:numId w:val="284"/>
        </w:numPr>
        <w:rPr>
          <w:rFonts w:ascii="Arial" w:cs="Arial" w:eastAsia="Arial" w:hAnsi="Arial"/>
          <w:sz w:val="18"/>
          <w:szCs w:val="18"/>
          <w:color w:val="auto"/>
        </w:rPr>
      </w:pPr>
      <w:r>
        <w:rPr>
          <w:rFonts w:ascii="Arial" w:cs="Arial" w:eastAsia="Arial" w:hAnsi="Arial"/>
          <w:sz w:val="18"/>
          <w:szCs w:val="18"/>
          <w:color w:val="auto"/>
        </w:rPr>
        <w:t>This caption includes the financial cost relating to leases and depreciation expense for the right-of-use assets that originates from the lease contract with related parties where the Bank acts as a lessee through December 31, 2019.</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type w:val="continuous"/>
        </w:sectPr>
      </w:pPr>
    </w:p>
    <w:bookmarkStart w:id="252" w:name="page253"/>
    <w:bookmarkEnd w:id="2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85"/>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total compensation paid to directors and the executives as representatives of the Bank amounted to:</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41"/>
        </w:trPr>
        <w:tc>
          <w:tcPr>
            <w:tcW w:w="760" w:type="dxa"/>
            <w:vAlign w:val="bottom"/>
          </w:tcPr>
          <w:p>
            <w:pPr>
              <w:spacing w:after="0"/>
              <w:rPr>
                <w:sz w:val="20"/>
                <w:szCs w:val="20"/>
                <w:color w:val="auto"/>
              </w:rPr>
            </w:pPr>
          </w:p>
        </w:tc>
        <w:tc>
          <w:tcPr>
            <w:tcW w:w="634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8"/>
                <w:szCs w:val="18"/>
                <w:b w:val="1"/>
                <w:bCs w:val="1"/>
                <w:color w:val="auto"/>
                <w:w w:val="88"/>
              </w:rPr>
              <w:t>December 31,</w:t>
            </w: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9"/>
        </w:trPr>
        <w:tc>
          <w:tcPr>
            <w:tcW w:w="760" w:type="dxa"/>
            <w:vAlign w:val="bottom"/>
            <w:tcBorders>
              <w:bottom w:val="single" w:sz="8" w:color="CCEEFF"/>
            </w:tcBorders>
          </w:tcPr>
          <w:p>
            <w:pPr>
              <w:spacing w:after="0"/>
              <w:rPr>
                <w:sz w:val="19"/>
                <w:szCs w:val="19"/>
                <w:color w:val="auto"/>
              </w:rPr>
            </w:pPr>
          </w:p>
        </w:tc>
        <w:tc>
          <w:tcPr>
            <w:tcW w:w="634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169"/>
        </w:trPr>
        <w:tc>
          <w:tcPr>
            <w:tcW w:w="7100" w:type="dxa"/>
            <w:vAlign w:val="bottom"/>
            <w:gridSpan w:val="2"/>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Expenses:</w:t>
            </w:r>
          </w:p>
        </w:tc>
        <w:tc>
          <w:tcPr>
            <w:tcW w:w="10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1"/>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34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7100" w:type="dxa"/>
            <w:vAlign w:val="bottom"/>
            <w:gridSpan w:val="2"/>
          </w:tcPr>
          <w:p>
            <w:pPr>
              <w:spacing w:after="0"/>
              <w:rPr>
                <w:sz w:val="20"/>
                <w:szCs w:val="20"/>
                <w:color w:val="auto"/>
              </w:rPr>
            </w:pPr>
            <w:r>
              <w:rPr>
                <w:rFonts w:ascii="Arial" w:cs="Arial" w:eastAsia="Arial" w:hAnsi="Arial"/>
                <w:sz w:val="18"/>
                <w:szCs w:val="18"/>
                <w:color w:val="auto"/>
              </w:rPr>
              <w:t>Compensation costs to directors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2,033</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2,289</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2,331</w:t>
            </w:r>
          </w:p>
        </w:tc>
      </w:tr>
      <w:tr>
        <w:trPr>
          <w:trHeight w:val="197"/>
        </w:trPr>
        <w:tc>
          <w:tcPr>
            <w:tcW w:w="710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10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5,448</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3,244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4,943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3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p>
      <w:pPr>
        <w:ind w:left="340" w:hanging="332"/>
        <w:spacing w:after="0"/>
        <w:tabs>
          <w:tab w:leader="none" w:pos="340" w:val="left"/>
        </w:tabs>
        <w:numPr>
          <w:ilvl w:val="0"/>
          <w:numId w:val="286"/>
        </w:numPr>
        <w:rPr>
          <w:rFonts w:ascii="Arial" w:cs="Arial" w:eastAsia="Arial" w:hAnsi="Arial"/>
          <w:sz w:val="18"/>
          <w:szCs w:val="18"/>
          <w:b w:val="1"/>
          <w:bCs w:val="1"/>
          <w:color w:val="auto"/>
        </w:rPr>
      </w:pPr>
      <w:r>
        <w:rPr>
          <w:rFonts w:ascii="Arial" w:cs="Arial" w:eastAsia="Arial" w:hAnsi="Arial"/>
          <w:sz w:val="18"/>
          <w:szCs w:val="18"/>
          <w:b w:val="1"/>
          <w:bCs w:val="1"/>
          <w:color w:val="auto"/>
        </w:rPr>
        <w:t>Salaries and other employee expenses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details salaries and other employee expenses: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10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8"/>
                <w:szCs w:val="18"/>
                <w:b w:val="1"/>
                <w:bCs w:val="1"/>
                <w:color w:val="auto"/>
                <w:w w:val="88"/>
              </w:rPr>
              <w:t>December 31,</w:t>
            </w:r>
          </w:p>
        </w:tc>
        <w:tc>
          <w:tcPr>
            <w:tcW w:w="10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71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100" w:type="dxa"/>
            <w:vAlign w:val="bottom"/>
            <w:tcBorders>
              <w:bottom w:val="single" w:sz="8" w:color="CCEEFF"/>
            </w:tcBorders>
          </w:tcPr>
          <w:p>
            <w:pPr>
              <w:spacing w:after="0"/>
              <w:rPr>
                <w:sz w:val="19"/>
                <w:szCs w:val="19"/>
                <w:color w:val="auto"/>
              </w:rPr>
            </w:pPr>
          </w:p>
        </w:tc>
      </w:tr>
      <w:tr>
        <w:trPr>
          <w:trHeight w:val="209"/>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Wages and salaries</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13,717</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13,232</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18,487</w:t>
            </w:r>
          </w:p>
        </w:tc>
        <w:tc>
          <w:tcPr>
            <w:tcW w:w="100" w:type="dxa"/>
            <w:vAlign w:val="bottom"/>
            <w:shd w:val="clear" w:color="auto" w:fill="CCEEFF"/>
          </w:tcPr>
          <w:p>
            <w:pPr>
              <w:spacing w:after="0"/>
              <w:rPr>
                <w:sz w:val="18"/>
                <w:szCs w:val="18"/>
                <w:color w:val="auto"/>
              </w:rPr>
            </w:pPr>
          </w:p>
        </w:tc>
      </w:tr>
      <w:tr>
        <w:trPr>
          <w:trHeight w:val="216"/>
        </w:trPr>
        <w:tc>
          <w:tcPr>
            <w:tcW w:w="7100" w:type="dxa"/>
            <w:vAlign w:val="bottom"/>
          </w:tcPr>
          <w:p>
            <w:pPr>
              <w:spacing w:after="0"/>
              <w:rPr>
                <w:sz w:val="20"/>
                <w:szCs w:val="20"/>
                <w:color w:val="auto"/>
              </w:rPr>
            </w:pPr>
            <w:r>
              <w:rPr>
                <w:rFonts w:ascii="Arial" w:cs="Arial" w:eastAsia="Arial" w:hAnsi="Arial"/>
                <w:sz w:val="18"/>
                <w:szCs w:val="18"/>
                <w:color w:val="auto"/>
              </w:rPr>
              <w:t>Payroll taxes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1,722</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1,721</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2,120</w:t>
            </w:r>
          </w:p>
        </w:tc>
      </w:tr>
      <w:tr>
        <w:trPr>
          <w:trHeight w:val="216"/>
        </w:trPr>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Personnel benefits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5,383</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8,867</w:t>
            </w: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6,732</w:t>
            </w:r>
          </w:p>
        </w:tc>
      </w:tr>
      <w:tr>
        <w:trPr>
          <w:trHeight w:val="229"/>
        </w:trPr>
        <w:tc>
          <w:tcPr>
            <w:tcW w:w="7100" w:type="dxa"/>
            <w:vAlign w:val="bottom"/>
          </w:tcPr>
          <w:p>
            <w:pPr>
              <w:spacing w:after="0"/>
              <w:rPr>
                <w:sz w:val="20"/>
                <w:szCs w:val="20"/>
                <w:color w:val="auto"/>
              </w:rPr>
            </w:pPr>
            <w:r>
              <w:rPr>
                <w:rFonts w:ascii="Arial" w:cs="Arial" w:eastAsia="Arial" w:hAnsi="Arial"/>
                <w:sz w:val="18"/>
                <w:szCs w:val="18"/>
                <w:color w:val="auto"/>
              </w:rPr>
              <w:t>Share based payments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640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359</w:t>
            </w: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650</w:t>
            </w:r>
          </w:p>
        </w:tc>
      </w:tr>
      <w:tr>
        <w:trPr>
          <w:trHeight w:val="223"/>
        </w:trPr>
        <w:tc>
          <w:tcPr>
            <w:tcW w:w="7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21,462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24,179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27,989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plans</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84" w:lineRule="exact"/>
        <w:rPr>
          <w:sz w:val="20"/>
          <w:szCs w:val="20"/>
          <w:color w:val="auto"/>
        </w:rPr>
      </w:pPr>
    </w:p>
    <w:p>
      <w:pPr>
        <w:ind w:left="980" w:hanging="324"/>
        <w:spacing w:after="0"/>
        <w:tabs>
          <w:tab w:leader="none" w:pos="980" w:val="left"/>
        </w:tabs>
        <w:numPr>
          <w:ilvl w:val="0"/>
          <w:numId w:val="287"/>
        </w:numPr>
        <w:rPr>
          <w:rFonts w:ascii="Arial" w:cs="Arial" w:eastAsia="Arial" w:hAnsi="Arial"/>
          <w:sz w:val="18"/>
          <w:szCs w:val="18"/>
          <w:color w:val="auto"/>
        </w:rPr>
      </w:pPr>
      <w:r>
        <w:rPr>
          <w:rFonts w:ascii="Arial" w:cs="Arial" w:eastAsia="Arial" w:hAnsi="Arial"/>
          <w:sz w:val="18"/>
          <w:szCs w:val="18"/>
          <w:u w:val="single" w:color="auto"/>
          <w:color w:val="auto"/>
        </w:rPr>
        <w:t>2015 Stock Incentive Plan – Directors and Executives</w:t>
      </w:r>
    </w:p>
    <w:p>
      <w:pPr>
        <w:spacing w:after="0" w:line="225"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who has the authority at its discretion to select the directors and executives to whom the awards may be granted; to determine whether and to what extent awards are granted, and to amend the terms of any outstanding award under this plan. This plan was updated in October 2015, modified and renamed as “2015 Stock Incentive Plan”</w:t>
      </w:r>
    </w:p>
    <w:p>
      <w:pPr>
        <w:spacing w:after="0" w:line="192"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Restricted stocks are issued at the grant date but are withheld by the Bank until the vesting date. Restricted stock is entitled to receive dividends. A restricted stock unit is a grant valued in terms of the Bank’s stock, but no stock is issued at the grant date. Restricted stock units are not entitled to dividends. The Bank issues or disposes of treasury stock and delivers common stock at the vesting date of the restricted stock units.</w:t>
      </w:r>
    </w:p>
    <w:p>
      <w:pPr>
        <w:spacing w:after="0" w:line="16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3" w:name="page254"/>
    <w:bookmarkEnd w:id="2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29. Salaries and other employee expenses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 (continued)</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During 2020, 2019 and 2018, the Board of Directors approved the grant of restricted stock to directors and stock options and restricted stock units to certain executives of the Bank,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 Directors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the year 2020, the Board of Directors granted 63,000 “Class E” common shares.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During the years 2019 and 2018, the Board of Directors granted 57,000, each year, of “Class E” common shares. The fair value of restricted stock granted was based on the stock closing price in the New York Stock Exchange of the “Class E” shares on April 29, 2020, April 17, 2019 and April 11, 2018. The fair value of restricted stock granted totaled $727 thousand in 2020, $1.3 million in 2019, and $1.6 million in 2018, of which $306 thousand, $570 thousand and $739 thousand were recognized in profit or loss during 2020, 2019 and 2018, respectively.</w:t>
      </w:r>
    </w:p>
    <w:p>
      <w:pPr>
        <w:spacing w:after="0" w:line="171" w:lineRule="exact"/>
        <w:rPr>
          <w:sz w:val="20"/>
          <w:szCs w:val="20"/>
          <w:color w:val="auto"/>
        </w:rPr>
      </w:pPr>
    </w:p>
    <w:p>
      <w:pPr>
        <w:jc w:val="both"/>
        <w:ind w:left="340" w:right="20"/>
        <w:spacing w:after="0" w:line="308" w:lineRule="auto"/>
        <w:rPr>
          <w:sz w:val="20"/>
          <w:szCs w:val="20"/>
          <w:color w:val="auto"/>
        </w:rPr>
      </w:pPr>
      <w:r>
        <w:rPr>
          <w:rFonts w:ascii="Arial" w:cs="Arial" w:eastAsia="Arial" w:hAnsi="Arial"/>
          <w:sz w:val="17"/>
          <w:szCs w:val="17"/>
          <w:color w:val="auto"/>
        </w:rPr>
        <w:t>The total expense recognized in profit or loss during 2020, 2019 and 2018 of restricted stock – directors amounted $1.1 million, $1.4 million and $1.5 million, respectively. The remaining cost pending amortization of $699 thousand at December 31, 2020 will be amortized over 2.33 years.</w:t>
      </w:r>
    </w:p>
    <w:p>
      <w:pPr>
        <w:spacing w:after="0" w:line="146"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Restricted stock loses their restriction from the year following the anniversary date, as follows: 35% in the first and second years, and 30% in the third year.</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820" w:type="dxa"/>
            <w:vAlign w:val="bottom"/>
            <w:gridSpan w:val="2"/>
          </w:tcPr>
          <w:p>
            <w:pPr>
              <w:spacing w:after="0"/>
              <w:rPr>
                <w:sz w:val="20"/>
                <w:szCs w:val="20"/>
                <w:color w:val="auto"/>
              </w:rPr>
            </w:pPr>
            <w:r>
              <w:rPr>
                <w:rFonts w:ascii="Arial" w:cs="Arial" w:eastAsia="Arial" w:hAnsi="Arial"/>
                <w:sz w:val="18"/>
                <w:szCs w:val="18"/>
                <w:color w:val="auto"/>
              </w:rPr>
              <w:t>A summary of restricted stock granted to Directors is presented below:</w:t>
            </w:r>
          </w:p>
        </w:tc>
        <w:tc>
          <w:tcPr>
            <w:tcW w:w="10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6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800" w:type="dxa"/>
            <w:vAlign w:val="bottom"/>
          </w:tcPr>
          <w:p>
            <w:pPr>
              <w:spacing w:after="0"/>
              <w:rPr>
                <w:sz w:val="24"/>
                <w:szCs w:val="24"/>
                <w:color w:val="auto"/>
              </w:rPr>
            </w:pPr>
          </w:p>
        </w:tc>
        <w:tc>
          <w:tcPr>
            <w:tcW w:w="602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7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Weighted average</w:t>
            </w:r>
          </w:p>
        </w:tc>
      </w:tr>
      <w:tr>
        <w:trPr>
          <w:trHeight w:val="216"/>
        </w:trPr>
        <w:tc>
          <w:tcPr>
            <w:tcW w:w="800" w:type="dxa"/>
            <w:vAlign w:val="bottom"/>
          </w:tcPr>
          <w:p>
            <w:pPr>
              <w:spacing w:after="0"/>
              <w:rPr>
                <w:sz w:val="18"/>
                <w:szCs w:val="18"/>
                <w:color w:val="auto"/>
              </w:rPr>
            </w:pPr>
          </w:p>
        </w:tc>
        <w:tc>
          <w:tcPr>
            <w:tcW w:w="60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grant date fair</w:t>
            </w:r>
          </w:p>
        </w:tc>
      </w:tr>
      <w:tr>
        <w:trPr>
          <w:trHeight w:val="234"/>
        </w:trPr>
        <w:tc>
          <w:tcPr>
            <w:tcW w:w="800" w:type="dxa"/>
            <w:vAlign w:val="bottom"/>
          </w:tcPr>
          <w:p>
            <w:pPr>
              <w:spacing w:after="0"/>
              <w:rPr>
                <w:sz w:val="20"/>
                <w:szCs w:val="20"/>
                <w:color w:val="auto"/>
              </w:rPr>
            </w:pPr>
          </w:p>
        </w:tc>
        <w:tc>
          <w:tcPr>
            <w:tcW w:w="6020" w:type="dxa"/>
            <w:vAlign w:val="bottom"/>
          </w:tcPr>
          <w:p>
            <w:pPr>
              <w:spacing w:after="0"/>
              <w:rPr>
                <w:sz w:val="20"/>
                <w:szCs w:val="20"/>
                <w:color w:val="auto"/>
              </w:rPr>
            </w:pPr>
          </w:p>
        </w:tc>
        <w:tc>
          <w:tcPr>
            <w:tcW w:w="12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Shares</w:t>
            </w:r>
          </w:p>
        </w:tc>
        <w:tc>
          <w:tcPr>
            <w:tcW w:w="17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value</w:t>
            </w:r>
          </w:p>
        </w:tc>
      </w:tr>
      <w:tr>
        <w:trPr>
          <w:trHeight w:val="210"/>
        </w:trPr>
        <w:tc>
          <w:tcPr>
            <w:tcW w:w="800" w:type="dxa"/>
            <w:vAlign w:val="bottom"/>
          </w:tcPr>
          <w:p>
            <w:pPr>
              <w:spacing w:after="0"/>
              <w:rPr>
                <w:sz w:val="18"/>
                <w:szCs w:val="18"/>
                <w:color w:val="auto"/>
              </w:rPr>
            </w:pPr>
          </w:p>
        </w:tc>
        <w:tc>
          <w:tcPr>
            <w:tcW w:w="6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2018</w:t>
            </w: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91,950</w:t>
            </w:r>
          </w:p>
        </w:tc>
        <w:tc>
          <w:tcPr>
            <w:tcW w:w="18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27.40</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00" w:type="dxa"/>
            <w:vAlign w:val="bottom"/>
          </w:tcPr>
          <w:p>
            <w:pPr>
              <w:spacing w:after="0"/>
              <w:rPr>
                <w:sz w:val="18"/>
                <w:szCs w:val="18"/>
                <w:color w:val="auto"/>
              </w:rPr>
            </w:pPr>
          </w:p>
        </w:tc>
        <w:tc>
          <w:tcPr>
            <w:tcW w:w="6020" w:type="dxa"/>
            <w:vAlign w:val="bottom"/>
          </w:tcPr>
          <w:p>
            <w:pPr>
              <w:spacing w:after="0"/>
              <w:rPr>
                <w:sz w:val="20"/>
                <w:szCs w:val="20"/>
                <w:color w:val="auto"/>
              </w:rPr>
            </w:pPr>
            <w:r>
              <w:rPr>
                <w:rFonts w:ascii="Arial" w:cs="Arial" w:eastAsia="Arial" w:hAnsi="Arial"/>
                <w:sz w:val="18"/>
                <w:szCs w:val="18"/>
                <w:color w:val="auto"/>
              </w:rPr>
              <w:t>Granted</w:t>
            </w:r>
          </w:p>
        </w:tc>
        <w:tc>
          <w:tcPr>
            <w:tcW w:w="1060" w:type="dxa"/>
            <w:vAlign w:val="bottom"/>
          </w:tcPr>
          <w:p>
            <w:pPr>
              <w:jc w:val="right"/>
              <w:spacing w:after="0"/>
              <w:rPr>
                <w:sz w:val="20"/>
                <w:szCs w:val="20"/>
                <w:color w:val="auto"/>
              </w:rPr>
            </w:pPr>
            <w:r>
              <w:rPr>
                <w:rFonts w:ascii="Arial" w:cs="Arial" w:eastAsia="Arial" w:hAnsi="Arial"/>
                <w:sz w:val="18"/>
                <w:szCs w:val="18"/>
                <w:color w:val="auto"/>
              </w:rPr>
              <w:t>57,000</w:t>
            </w:r>
          </w:p>
        </w:tc>
        <w:tc>
          <w:tcPr>
            <w:tcW w:w="180" w:type="dxa"/>
            <w:vAlign w:val="bottom"/>
          </w:tcPr>
          <w:p>
            <w:pPr>
              <w:spacing w:after="0"/>
              <w:rPr>
                <w:sz w:val="18"/>
                <w:szCs w:val="18"/>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28.70</w:t>
            </w:r>
          </w:p>
        </w:tc>
        <w:tc>
          <w:tcPr>
            <w:tcW w:w="100" w:type="dxa"/>
            <w:vAlign w:val="bottom"/>
          </w:tcPr>
          <w:p>
            <w:pPr>
              <w:spacing w:after="0"/>
              <w:rPr>
                <w:sz w:val="18"/>
                <w:szCs w:val="18"/>
                <w:color w:val="auto"/>
              </w:rPr>
            </w:pPr>
          </w:p>
        </w:tc>
      </w:tr>
      <w:tr>
        <w:trPr>
          <w:trHeight w:val="229"/>
        </w:trPr>
        <w:tc>
          <w:tcPr>
            <w:tcW w:w="800" w:type="dxa"/>
            <w:vAlign w:val="bottom"/>
          </w:tcPr>
          <w:p>
            <w:pPr>
              <w:spacing w:after="0"/>
              <w:rPr>
                <w:sz w:val="19"/>
                <w:szCs w:val="19"/>
                <w:color w:val="auto"/>
              </w:rPr>
            </w:pPr>
          </w:p>
        </w:tc>
        <w:tc>
          <w:tcPr>
            <w:tcW w:w="602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(45,300)</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28.07</w:t>
            </w:r>
          </w:p>
        </w:tc>
        <w:tc>
          <w:tcPr>
            <w:tcW w:w="100" w:type="dxa"/>
            <w:vAlign w:val="bottom"/>
            <w:shd w:val="clear" w:color="auto" w:fill="CCEEFF"/>
          </w:tcPr>
          <w:p>
            <w:pPr>
              <w:spacing w:after="0"/>
              <w:rPr>
                <w:sz w:val="19"/>
                <w:szCs w:val="19"/>
                <w:color w:val="auto"/>
              </w:rPr>
            </w:pPr>
          </w:p>
        </w:tc>
      </w:tr>
      <w:tr>
        <w:trPr>
          <w:trHeight w:val="210"/>
        </w:trPr>
        <w:tc>
          <w:tcPr>
            <w:tcW w:w="800" w:type="dxa"/>
            <w:vAlign w:val="bottom"/>
          </w:tcPr>
          <w:p>
            <w:pPr>
              <w:spacing w:after="0"/>
              <w:rPr>
                <w:sz w:val="18"/>
                <w:szCs w:val="18"/>
                <w:color w:val="auto"/>
              </w:rPr>
            </w:pPr>
          </w:p>
        </w:tc>
        <w:tc>
          <w:tcPr>
            <w:tcW w:w="6020" w:type="dxa"/>
            <w:vAlign w:val="bottom"/>
          </w:tcPr>
          <w:p>
            <w:pPr>
              <w:spacing w:after="0"/>
              <w:rPr>
                <w:sz w:val="20"/>
                <w:szCs w:val="20"/>
                <w:color w:val="auto"/>
              </w:rPr>
            </w:pPr>
            <w:r>
              <w:rPr>
                <w:rFonts w:ascii="Arial" w:cs="Arial" w:eastAsia="Arial" w:hAnsi="Arial"/>
                <w:sz w:val="18"/>
                <w:szCs w:val="18"/>
                <w:color w:val="auto"/>
              </w:rPr>
              <w:t>Outstanding at December 31, 2018</w:t>
            </w: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103,650</w:t>
            </w:r>
          </w:p>
        </w:tc>
        <w:tc>
          <w:tcPr>
            <w:tcW w:w="180" w:type="dxa"/>
            <w:vAlign w:val="bottom"/>
          </w:tcPr>
          <w:p>
            <w:pPr>
              <w:spacing w:after="0"/>
              <w:rPr>
                <w:sz w:val="18"/>
                <w:szCs w:val="18"/>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27.82</w:t>
            </w:r>
          </w:p>
        </w:tc>
        <w:tc>
          <w:tcPr>
            <w:tcW w:w="100" w:type="dxa"/>
            <w:vAlign w:val="bottom"/>
          </w:tcPr>
          <w:p>
            <w:pPr>
              <w:spacing w:after="0"/>
              <w:rPr>
                <w:sz w:val="18"/>
                <w:szCs w:val="18"/>
                <w:color w:val="auto"/>
              </w:rPr>
            </w:pPr>
          </w:p>
        </w:tc>
      </w:tr>
      <w:tr>
        <w:trPr>
          <w:trHeight w:val="216"/>
        </w:trPr>
        <w:tc>
          <w:tcPr>
            <w:tcW w:w="800" w:type="dxa"/>
            <w:vAlign w:val="bottom"/>
          </w:tcPr>
          <w:p>
            <w:pPr>
              <w:spacing w:after="0"/>
              <w:rPr>
                <w:sz w:val="18"/>
                <w:szCs w:val="18"/>
                <w:color w:val="auto"/>
              </w:rPr>
            </w:pPr>
          </w:p>
        </w:tc>
        <w:tc>
          <w:tcPr>
            <w:tcW w:w="6020" w:type="dxa"/>
            <w:vAlign w:val="bottom"/>
            <w:shd w:val="clear" w:color="auto" w:fill="CCEEFF"/>
          </w:tcPr>
          <w:p>
            <w:pPr>
              <w:spacing w:after="0"/>
              <w:rPr>
                <w:sz w:val="20"/>
                <w:szCs w:val="20"/>
                <w:color w:val="auto"/>
              </w:rPr>
            </w:pPr>
            <w:r>
              <w:rPr>
                <w:rFonts w:ascii="Arial" w:cs="Arial" w:eastAsia="Arial" w:hAnsi="Arial"/>
                <w:sz w:val="18"/>
                <w:szCs w:val="18"/>
                <w:color w:val="auto"/>
              </w:rPr>
              <w:t>Granted</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57,000</w:t>
            </w:r>
          </w:p>
        </w:tc>
        <w:tc>
          <w:tcPr>
            <w:tcW w:w="18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22.68</w:t>
            </w:r>
          </w:p>
        </w:tc>
        <w:tc>
          <w:tcPr>
            <w:tcW w:w="100" w:type="dxa"/>
            <w:vAlign w:val="bottom"/>
            <w:shd w:val="clear" w:color="auto" w:fill="CCEEFF"/>
          </w:tcPr>
          <w:p>
            <w:pPr>
              <w:spacing w:after="0"/>
              <w:rPr>
                <w:sz w:val="18"/>
                <w:szCs w:val="18"/>
                <w:color w:val="auto"/>
              </w:rPr>
            </w:pPr>
          </w:p>
        </w:tc>
      </w:tr>
      <w:tr>
        <w:trPr>
          <w:trHeight w:val="230"/>
        </w:trPr>
        <w:tc>
          <w:tcPr>
            <w:tcW w:w="800" w:type="dxa"/>
            <w:vAlign w:val="bottom"/>
          </w:tcPr>
          <w:p>
            <w:pPr>
              <w:spacing w:after="0"/>
              <w:rPr>
                <w:sz w:val="19"/>
                <w:szCs w:val="19"/>
                <w:color w:val="auto"/>
              </w:rPr>
            </w:pPr>
          </w:p>
        </w:tc>
        <w:tc>
          <w:tcPr>
            <w:tcW w:w="6020" w:type="dxa"/>
            <w:vAlign w:val="bottom"/>
          </w:tcPr>
          <w:p>
            <w:pPr>
              <w:spacing w:after="0"/>
              <w:rPr>
                <w:sz w:val="20"/>
                <w:szCs w:val="20"/>
                <w:color w:val="auto"/>
              </w:rPr>
            </w:pPr>
            <w:r>
              <w:rPr>
                <w:rFonts w:ascii="Arial" w:cs="Arial" w:eastAsia="Arial" w:hAnsi="Arial"/>
                <w:sz w:val="18"/>
                <w:szCs w:val="18"/>
                <w:color w:val="auto"/>
              </w:rPr>
              <w:t>Vested</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(51,300)</w:t>
            </w:r>
          </w:p>
        </w:tc>
        <w:tc>
          <w:tcPr>
            <w:tcW w:w="1620" w:type="dxa"/>
            <w:vAlign w:val="bottom"/>
          </w:tcPr>
          <w:p>
            <w:pPr>
              <w:jc w:val="right"/>
              <w:spacing w:after="0"/>
              <w:rPr>
                <w:sz w:val="20"/>
                <w:szCs w:val="20"/>
                <w:color w:val="auto"/>
              </w:rPr>
            </w:pPr>
            <w:r>
              <w:rPr>
                <w:rFonts w:ascii="Arial" w:cs="Arial" w:eastAsia="Arial" w:hAnsi="Arial"/>
                <w:sz w:val="18"/>
                <w:szCs w:val="18"/>
                <w:color w:val="auto"/>
              </w:rPr>
              <w:t>27.19</w:t>
            </w:r>
          </w:p>
        </w:tc>
        <w:tc>
          <w:tcPr>
            <w:tcW w:w="100" w:type="dxa"/>
            <w:vAlign w:val="bottom"/>
          </w:tcPr>
          <w:p>
            <w:pPr>
              <w:spacing w:after="0"/>
              <w:rPr>
                <w:sz w:val="19"/>
                <w:szCs w:val="19"/>
                <w:color w:val="auto"/>
              </w:rPr>
            </w:pPr>
          </w:p>
        </w:tc>
      </w:tr>
      <w:tr>
        <w:trPr>
          <w:trHeight w:val="210"/>
        </w:trPr>
        <w:tc>
          <w:tcPr>
            <w:tcW w:w="800" w:type="dxa"/>
            <w:vAlign w:val="bottom"/>
          </w:tcPr>
          <w:p>
            <w:pPr>
              <w:spacing w:after="0"/>
              <w:rPr>
                <w:sz w:val="18"/>
                <w:szCs w:val="18"/>
                <w:color w:val="auto"/>
              </w:rPr>
            </w:pPr>
          </w:p>
        </w:tc>
        <w:tc>
          <w:tcPr>
            <w:tcW w:w="6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2019</w:t>
            </w: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109,350</w:t>
            </w:r>
          </w:p>
        </w:tc>
        <w:tc>
          <w:tcPr>
            <w:tcW w:w="18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25.44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00" w:type="dxa"/>
            <w:vAlign w:val="bottom"/>
          </w:tcPr>
          <w:p>
            <w:pPr>
              <w:spacing w:after="0"/>
              <w:rPr>
                <w:sz w:val="18"/>
                <w:szCs w:val="18"/>
                <w:color w:val="auto"/>
              </w:rPr>
            </w:pPr>
          </w:p>
        </w:tc>
        <w:tc>
          <w:tcPr>
            <w:tcW w:w="6020" w:type="dxa"/>
            <w:vAlign w:val="bottom"/>
          </w:tcPr>
          <w:p>
            <w:pPr>
              <w:spacing w:after="0"/>
              <w:rPr>
                <w:sz w:val="20"/>
                <w:szCs w:val="20"/>
                <w:color w:val="auto"/>
              </w:rPr>
            </w:pPr>
            <w:r>
              <w:rPr>
                <w:rFonts w:ascii="Arial" w:cs="Arial" w:eastAsia="Arial" w:hAnsi="Arial"/>
                <w:sz w:val="18"/>
                <w:szCs w:val="18"/>
                <w:color w:val="auto"/>
              </w:rPr>
              <w:t>Granted</w:t>
            </w:r>
          </w:p>
        </w:tc>
        <w:tc>
          <w:tcPr>
            <w:tcW w:w="1060" w:type="dxa"/>
            <w:vAlign w:val="bottom"/>
          </w:tcPr>
          <w:p>
            <w:pPr>
              <w:jc w:val="right"/>
              <w:spacing w:after="0"/>
              <w:rPr>
                <w:sz w:val="20"/>
                <w:szCs w:val="20"/>
                <w:color w:val="auto"/>
              </w:rPr>
            </w:pPr>
            <w:r>
              <w:rPr>
                <w:rFonts w:ascii="Arial" w:cs="Arial" w:eastAsia="Arial" w:hAnsi="Arial"/>
                <w:sz w:val="18"/>
                <w:szCs w:val="18"/>
                <w:color w:val="auto"/>
              </w:rPr>
              <w:t>63,000</w:t>
            </w:r>
          </w:p>
        </w:tc>
        <w:tc>
          <w:tcPr>
            <w:tcW w:w="180" w:type="dxa"/>
            <w:vAlign w:val="bottom"/>
          </w:tcPr>
          <w:p>
            <w:pPr>
              <w:spacing w:after="0"/>
              <w:rPr>
                <w:sz w:val="18"/>
                <w:szCs w:val="18"/>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11.54</w:t>
            </w:r>
          </w:p>
        </w:tc>
        <w:tc>
          <w:tcPr>
            <w:tcW w:w="100" w:type="dxa"/>
            <w:vAlign w:val="bottom"/>
          </w:tcPr>
          <w:p>
            <w:pPr>
              <w:spacing w:after="0"/>
              <w:rPr>
                <w:sz w:val="18"/>
                <w:szCs w:val="18"/>
                <w:color w:val="auto"/>
              </w:rPr>
            </w:pPr>
          </w:p>
        </w:tc>
      </w:tr>
      <w:tr>
        <w:trPr>
          <w:trHeight w:val="230"/>
        </w:trPr>
        <w:tc>
          <w:tcPr>
            <w:tcW w:w="800" w:type="dxa"/>
            <w:vAlign w:val="bottom"/>
          </w:tcPr>
          <w:p>
            <w:pPr>
              <w:spacing w:after="0"/>
              <w:rPr>
                <w:sz w:val="19"/>
                <w:szCs w:val="19"/>
                <w:color w:val="auto"/>
              </w:rPr>
            </w:pPr>
          </w:p>
        </w:tc>
        <w:tc>
          <w:tcPr>
            <w:tcW w:w="602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(40,200)</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26.26</w:t>
            </w:r>
          </w:p>
        </w:tc>
        <w:tc>
          <w:tcPr>
            <w:tcW w:w="100" w:type="dxa"/>
            <w:vAlign w:val="bottom"/>
            <w:shd w:val="clear" w:color="auto" w:fill="CCEEFF"/>
          </w:tcPr>
          <w:p>
            <w:pPr>
              <w:spacing w:after="0"/>
              <w:rPr>
                <w:sz w:val="19"/>
                <w:szCs w:val="19"/>
                <w:color w:val="auto"/>
              </w:rPr>
            </w:pPr>
          </w:p>
        </w:tc>
      </w:tr>
      <w:tr>
        <w:trPr>
          <w:trHeight w:val="210"/>
        </w:trPr>
        <w:tc>
          <w:tcPr>
            <w:tcW w:w="800" w:type="dxa"/>
            <w:vAlign w:val="bottom"/>
          </w:tcPr>
          <w:p>
            <w:pPr>
              <w:spacing w:after="0"/>
              <w:rPr>
                <w:sz w:val="18"/>
                <w:szCs w:val="18"/>
                <w:color w:val="auto"/>
              </w:rPr>
            </w:pPr>
          </w:p>
        </w:tc>
        <w:tc>
          <w:tcPr>
            <w:tcW w:w="60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Outstanding at December 31, 2020</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132,150</w:t>
            </w:r>
          </w:p>
        </w:tc>
        <w:tc>
          <w:tcPr>
            <w:tcW w:w="180" w:type="dxa"/>
            <w:vAlign w:val="bottom"/>
            <w:tcBorders>
              <w:bottom w:val="single" w:sz="8" w:color="CCEEFF"/>
            </w:tcBorders>
          </w:tcPr>
          <w:p>
            <w:pPr>
              <w:spacing w:after="0"/>
              <w:rPr>
                <w:sz w:val="18"/>
                <w:szCs w:val="18"/>
                <w:color w:val="auto"/>
              </w:rPr>
            </w:pPr>
          </w:p>
        </w:tc>
        <w:tc>
          <w:tcPr>
            <w:tcW w:w="1620" w:type="dxa"/>
            <w:vAlign w:val="bottom"/>
            <w:tcBorders>
              <w:bottom w:val="single" w:sz="8" w:color="CCEEFF"/>
            </w:tcBorders>
          </w:tcPr>
          <w:p>
            <w:pPr>
              <w:jc w:val="right"/>
              <w:spacing w:after="0"/>
              <w:rPr>
                <w:sz w:val="20"/>
                <w:szCs w:val="20"/>
                <w:color w:val="auto"/>
              </w:rPr>
            </w:pPr>
            <w:r>
              <w:rPr>
                <w:rFonts w:ascii="Arial" w:cs="Arial" w:eastAsia="Arial" w:hAnsi="Arial"/>
                <w:sz w:val="18"/>
                <w:szCs w:val="18"/>
                <w:color w:val="auto"/>
              </w:rPr>
              <w:t>18.56</w:t>
            </w:r>
          </w:p>
        </w:tc>
        <w:tc>
          <w:tcPr>
            <w:tcW w:w="100" w:type="dxa"/>
            <w:vAlign w:val="bottom"/>
            <w:tcBorders>
              <w:bottom w:val="single" w:sz="8" w:color="CCEEFF"/>
            </w:tcBorders>
          </w:tcPr>
          <w:p>
            <w:pPr>
              <w:spacing w:after="0"/>
              <w:rPr>
                <w:sz w:val="18"/>
                <w:szCs w:val="18"/>
                <w:color w:val="auto"/>
              </w:rPr>
            </w:pPr>
          </w:p>
        </w:tc>
      </w:tr>
      <w:tr>
        <w:trPr>
          <w:trHeight w:val="223"/>
        </w:trPr>
        <w:tc>
          <w:tcPr>
            <w:tcW w:w="800" w:type="dxa"/>
            <w:vAlign w:val="bottom"/>
          </w:tcPr>
          <w:p>
            <w:pPr>
              <w:spacing w:after="0"/>
              <w:rPr>
                <w:sz w:val="19"/>
                <w:szCs w:val="19"/>
                <w:color w:val="auto"/>
              </w:rPr>
            </w:pPr>
          </w:p>
        </w:tc>
        <w:tc>
          <w:tcPr>
            <w:tcW w:w="60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Expected to vest</w:t>
            </w: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132,150</w:t>
            </w:r>
          </w:p>
        </w:tc>
        <w:tc>
          <w:tcPr>
            <w:tcW w:w="180" w:type="dxa"/>
            <w:vAlign w:val="bottom"/>
            <w:tcBorders>
              <w:bottom w:val="single" w:sz="8" w:color="CCEEFF"/>
            </w:tcBorders>
            <w:shd w:val="clear" w:color="auto" w:fill="CCEEFF"/>
          </w:tcPr>
          <w:p>
            <w:pPr>
              <w:spacing w:after="0"/>
              <w:rPr>
                <w:sz w:val="19"/>
                <w:szCs w:val="19"/>
                <w:color w:val="auto"/>
              </w:rPr>
            </w:pPr>
          </w:p>
        </w:tc>
        <w:tc>
          <w:tcPr>
            <w:tcW w:w="162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800" w:type="dxa"/>
            <w:vAlign w:val="bottom"/>
          </w:tcPr>
          <w:p>
            <w:pPr>
              <w:spacing w:after="0" w:line="20" w:lineRule="exact"/>
              <w:rPr>
                <w:sz w:val="1"/>
                <w:szCs w:val="1"/>
                <w:color w:val="auto"/>
              </w:rPr>
            </w:pPr>
          </w:p>
        </w:tc>
        <w:tc>
          <w:tcPr>
            <w:tcW w:w="60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2020, 2019 and 2018 was $1.1 million, $1.4 million and $1.3 million,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The Board of Directors approved the grant of stock purchase options and restricted stock units to certain executives of the Bank with a grant date fair value of $902 thousand in 2020, $355 thousand in 2019 and $581 thousand in 2018. The distribution of the fair value was in restricted stock units.</w:t>
      </w:r>
    </w:p>
    <w:p>
      <w:pPr>
        <w:spacing w:after="0" w:line="124"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Restricted stock units</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 xml:space="preserve">The fair value of the restricted stock units was based on the “Class E” stock closing price in the New York Stock Exchange on the grant date. These stock units vest 25% each year on the grant date’s anniversary. </w:t>
      </w:r>
      <w:r>
        <w:rPr>
          <w:rFonts w:ascii="Arial" w:cs="Arial" w:eastAsia="Arial" w:hAnsi="Arial"/>
          <w:sz w:val="16"/>
          <w:szCs w:val="16"/>
          <w:color w:val="222222"/>
        </w:rPr>
        <w:t>The restricted stock units are exchanged at a ratio of 1: 1 for common shares “Class E”.</w:t>
      </w:r>
    </w:p>
    <w:p>
      <w:pPr>
        <w:spacing w:after="0" w:line="12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4" w:name="page255"/>
    <w:bookmarkEnd w:id="2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29. Salaries and other employee expenses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Compensation costs of the restricted stock units are amortized during the period of restriction by the accelerated method. During 2020, 2019 and 2018, the cost recognized in profit or loss as a result of the amortization of these grants totaled $640 thousand, $359 thousand and $503 thousand, respectively. The remaining compensation cost pending amortization of $583 thousand in 2020 will be amortized over 3.17 years.</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 summary of the restricted stock units granted to certain executives is presented below:</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7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Weighted</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average</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Weighted</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remaining</w:t>
            </w: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average grant</w:t>
            </w:r>
          </w:p>
        </w:tc>
        <w:tc>
          <w:tcPr>
            <w:tcW w:w="13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contractual</w:t>
            </w:r>
          </w:p>
        </w:tc>
        <w:tc>
          <w:tcPr>
            <w:tcW w:w="134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Aggregate</w:t>
            </w:r>
          </w:p>
        </w:tc>
      </w:tr>
      <w:tr>
        <w:trPr>
          <w:trHeight w:val="234"/>
        </w:trPr>
        <w:tc>
          <w:tcPr>
            <w:tcW w:w="4740" w:type="dxa"/>
            <w:vAlign w:val="bottom"/>
          </w:tcPr>
          <w:p>
            <w:pPr>
              <w:spacing w:after="0"/>
              <w:rPr>
                <w:sz w:val="20"/>
                <w:szCs w:val="20"/>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Shares</w:t>
            </w: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date fair value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term</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intrinsic value</w:t>
            </w:r>
          </w:p>
        </w:tc>
      </w:tr>
      <w:tr>
        <w:trPr>
          <w:trHeight w:val="209"/>
        </w:trPr>
        <w:tc>
          <w:tcPr>
            <w:tcW w:w="4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2018</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50,805</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21.07</w:t>
            </w: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740" w:type="dxa"/>
            <w:vAlign w:val="bottom"/>
          </w:tcPr>
          <w:p>
            <w:pPr>
              <w:spacing w:after="0"/>
              <w:rPr>
                <w:sz w:val="20"/>
                <w:szCs w:val="20"/>
                <w:color w:val="auto"/>
              </w:rPr>
            </w:pPr>
            <w:r>
              <w:rPr>
                <w:rFonts w:ascii="Arial" w:cs="Arial" w:eastAsia="Arial" w:hAnsi="Arial"/>
                <w:sz w:val="18"/>
                <w:szCs w:val="18"/>
                <w:color w:val="auto"/>
              </w:rPr>
              <w:t>Granted</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23,412</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24.80</w:t>
            </w: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(49,055)</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20.90</w:t>
            </w:r>
          </w:p>
        </w:tc>
        <w:tc>
          <w:tcPr>
            <w:tcW w:w="1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09"/>
        </w:trPr>
        <w:tc>
          <w:tcPr>
            <w:tcW w:w="4740" w:type="dxa"/>
            <w:vAlign w:val="bottom"/>
          </w:tcPr>
          <w:p>
            <w:pPr>
              <w:spacing w:after="0"/>
              <w:rPr>
                <w:sz w:val="20"/>
                <w:szCs w:val="20"/>
                <w:color w:val="auto"/>
              </w:rPr>
            </w:pPr>
            <w:r>
              <w:rPr>
                <w:rFonts w:ascii="Arial" w:cs="Arial" w:eastAsia="Arial" w:hAnsi="Arial"/>
                <w:sz w:val="18"/>
                <w:szCs w:val="18"/>
                <w:color w:val="auto"/>
              </w:rPr>
              <w:t>Outstanding at December 31, 2018</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25,162</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24.86</w:t>
            </w: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Granted</w:t>
            </w:r>
          </w:p>
        </w:tc>
        <w:tc>
          <w:tcPr>
            <w:tcW w:w="1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23,743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14.95</w:t>
            </w: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4740" w:type="dxa"/>
            <w:vAlign w:val="bottom"/>
          </w:tcPr>
          <w:p>
            <w:pPr>
              <w:spacing w:after="0"/>
              <w:rPr>
                <w:sz w:val="20"/>
                <w:szCs w:val="20"/>
                <w:color w:val="auto"/>
              </w:rPr>
            </w:pPr>
            <w:r>
              <w:rPr>
                <w:rFonts w:ascii="Arial" w:cs="Arial" w:eastAsia="Arial" w:hAnsi="Arial"/>
                <w:sz w:val="18"/>
                <w:szCs w:val="18"/>
                <w:color w:val="auto"/>
              </w:rPr>
              <w:t>Vested</w:t>
            </w:r>
          </w:p>
        </w:tc>
        <w:tc>
          <w:tcPr>
            <w:tcW w:w="1280" w:type="dxa"/>
            <w:vAlign w:val="bottom"/>
            <w:gridSpan w:val="2"/>
          </w:tcPr>
          <w:p>
            <w:pPr>
              <w:jc w:val="right"/>
              <w:ind w:right="140"/>
              <w:spacing w:after="0"/>
              <w:rPr>
                <w:sz w:val="20"/>
                <w:szCs w:val="20"/>
                <w:color w:val="auto"/>
              </w:rPr>
            </w:pPr>
            <w:r>
              <w:rPr>
                <w:rFonts w:ascii="Arial" w:cs="Arial" w:eastAsia="Arial" w:hAnsi="Arial"/>
                <w:sz w:val="18"/>
                <w:szCs w:val="18"/>
                <w:color w:val="auto"/>
              </w:rPr>
              <w:t>(6,727)</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24.92</w:t>
            </w:r>
          </w:p>
        </w:tc>
        <w:tc>
          <w:tcPr>
            <w:tcW w:w="1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9"/>
        </w:trPr>
        <w:tc>
          <w:tcPr>
            <w:tcW w:w="4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2019</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42,178</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CCEEFF"/>
            </w:tcBorders>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19.27</w:t>
            </w:r>
          </w:p>
        </w:tc>
        <w:tc>
          <w:tcPr>
            <w:tcW w:w="1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4740" w:type="dxa"/>
            <w:vAlign w:val="bottom"/>
          </w:tcPr>
          <w:p>
            <w:pPr>
              <w:spacing w:after="0"/>
              <w:rPr>
                <w:sz w:val="20"/>
                <w:szCs w:val="20"/>
                <w:color w:val="auto"/>
              </w:rPr>
            </w:pPr>
            <w:r>
              <w:rPr>
                <w:rFonts w:ascii="Arial" w:cs="Arial" w:eastAsia="Arial" w:hAnsi="Arial"/>
                <w:sz w:val="18"/>
                <w:szCs w:val="18"/>
                <w:color w:val="auto"/>
              </w:rPr>
              <w:t>Granted</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51,829</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17.41</w:t>
            </w: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0"/>
        </w:trPr>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Vested</w:t>
            </w:r>
          </w:p>
        </w:tc>
        <w:tc>
          <w:tcPr>
            <w:tcW w:w="12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(12,664)</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20.24</w:t>
            </w:r>
          </w:p>
        </w:tc>
        <w:tc>
          <w:tcPr>
            <w:tcW w:w="1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r>
      <w:tr>
        <w:trPr>
          <w:trHeight w:val="263"/>
        </w:trPr>
        <w:tc>
          <w:tcPr>
            <w:tcW w:w="4740" w:type="dxa"/>
            <w:vAlign w:val="bottom"/>
          </w:tcPr>
          <w:p>
            <w:pPr>
              <w:spacing w:after="0"/>
              <w:rPr>
                <w:sz w:val="20"/>
                <w:szCs w:val="20"/>
                <w:color w:val="auto"/>
              </w:rPr>
            </w:pPr>
            <w:r>
              <w:rPr>
                <w:rFonts w:ascii="Arial" w:cs="Arial" w:eastAsia="Arial" w:hAnsi="Arial"/>
                <w:sz w:val="18"/>
                <w:szCs w:val="18"/>
                <w:color w:val="auto"/>
              </w:rPr>
              <w:t>Outstanding at December 31, 2019</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81,343</w:t>
            </w:r>
          </w:p>
        </w:tc>
        <w:tc>
          <w:tcPr>
            <w:tcW w:w="200" w:type="dxa"/>
            <w:vAlign w:val="bottom"/>
          </w:tcPr>
          <w:p>
            <w:pPr>
              <w:spacing w:after="0"/>
              <w:rPr>
                <w:sz w:val="22"/>
                <w:szCs w:val="22"/>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17.93</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color w:val="auto"/>
                <w:w w:val="87"/>
              </w:rPr>
              <w:t>2.59 years</w:t>
            </w:r>
          </w:p>
        </w:tc>
        <w:tc>
          <w:tcPr>
            <w:tcW w:w="1240" w:type="dxa"/>
            <w:vAlign w:val="bottom"/>
          </w:tcPr>
          <w:p>
            <w:pPr>
              <w:jc w:val="center"/>
              <w:spacing w:after="0"/>
              <w:rPr>
                <w:sz w:val="20"/>
                <w:szCs w:val="20"/>
                <w:color w:val="auto"/>
              </w:rPr>
            </w:pPr>
            <w:r>
              <w:rPr>
                <w:rFonts w:ascii="Arial" w:cs="Arial" w:eastAsia="Arial" w:hAnsi="Arial"/>
                <w:sz w:val="18"/>
                <w:szCs w:val="18"/>
                <w:color w:val="auto"/>
                <w:w w:val="88"/>
              </w:rPr>
              <w:t>15.71</w:t>
            </w:r>
          </w:p>
        </w:tc>
        <w:tc>
          <w:tcPr>
            <w:tcW w:w="100" w:type="dxa"/>
            <w:vAlign w:val="bottom"/>
          </w:tcPr>
          <w:p>
            <w:pPr>
              <w:spacing w:after="0"/>
              <w:rPr>
                <w:sz w:val="22"/>
                <w:szCs w:val="22"/>
                <w:color w:val="auto"/>
              </w:rPr>
            </w:pPr>
          </w:p>
        </w:tc>
      </w:tr>
      <w:tr>
        <w:trPr>
          <w:trHeight w:val="196"/>
        </w:trPr>
        <w:tc>
          <w:tcPr>
            <w:tcW w:w="474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Expected to vest</w:t>
            </w:r>
          </w:p>
        </w:tc>
        <w:tc>
          <w:tcPr>
            <w:tcW w:w="10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81,343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17.93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300" w:type="dxa"/>
            <w:vAlign w:val="bottom"/>
            <w:tcBorders>
              <w:top w:val="single" w:sz="8" w:color="CCEEFF"/>
              <w:bottom w:val="single" w:sz="8" w:color="CCEEFF"/>
            </w:tcBorders>
            <w:gridSpan w:val="2"/>
            <w:shd w:val="clear" w:color="auto" w:fill="CCEEFF"/>
          </w:tcPr>
          <w:p>
            <w:pPr>
              <w:jc w:val="center"/>
              <w:ind w:right="200"/>
              <w:spacing w:after="0" w:line="190" w:lineRule="exact"/>
              <w:rPr>
                <w:sz w:val="20"/>
                <w:szCs w:val="20"/>
                <w:color w:val="auto"/>
              </w:rPr>
            </w:pPr>
            <w:r>
              <w:rPr>
                <w:rFonts w:ascii="Arial" w:cs="Arial" w:eastAsia="Arial" w:hAnsi="Arial"/>
                <w:sz w:val="18"/>
                <w:szCs w:val="18"/>
                <w:color w:val="auto"/>
                <w:w w:val="87"/>
              </w:rPr>
              <w:t>2.60 years</w:t>
            </w:r>
          </w:p>
        </w:tc>
        <w:tc>
          <w:tcPr>
            <w:tcW w:w="1240" w:type="dxa"/>
            <w:vAlign w:val="bottom"/>
            <w:tcBorders>
              <w:top w:val="single" w:sz="8" w:color="auto"/>
              <w:bottom w:val="single" w:sz="8" w:color="auto"/>
            </w:tcBorders>
            <w:shd w:val="clear" w:color="auto" w:fill="CCEEFF"/>
          </w:tcPr>
          <w:p>
            <w:pPr>
              <w:jc w:val="center"/>
              <w:spacing w:after="0" w:line="196" w:lineRule="exact"/>
              <w:rPr>
                <w:sz w:val="20"/>
                <w:szCs w:val="20"/>
                <w:color w:val="auto"/>
              </w:rPr>
            </w:pPr>
            <w:r>
              <w:rPr>
                <w:rFonts w:ascii="Arial" w:cs="Arial" w:eastAsia="Arial" w:hAnsi="Arial"/>
                <w:sz w:val="18"/>
                <w:szCs w:val="18"/>
                <w:color w:val="auto"/>
                <w:w w:val="88"/>
              </w:rPr>
              <w:t>15.71</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47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fair value of vested stock during the years 2020, 2019 and 2018 is $256 thousand, $168 thousand, and $1 million, respectively.</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Stock purchase options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Bank´s policy indicates that options expire seven years after the grant date and are exercisable at a rate of 25% each year on the grant date’s anniversary.</w:t>
      </w:r>
    </w:p>
    <w:p>
      <w:pPr>
        <w:spacing w:after="0" w:line="17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5" w:name="page256"/>
    <w:bookmarkEnd w:id="2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29. Salaries and other employee expenses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5"/>
          <w:szCs w:val="15"/>
          <w:b w:val="1"/>
          <w:bCs w:val="1"/>
          <w:color w:val="auto"/>
        </w:rPr>
        <w:t>Cash and stock-based compensation plan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i w:val="1"/>
          <w:iCs w:val="1"/>
          <w:u w:val="single" w:color="auto"/>
          <w:color w:val="auto"/>
        </w:rPr>
        <w:t>Restricted Stock Units and Stock Purchase Options granted to certain Executives (continued)</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Related cost recognized in profit or loss during 2018 as a result of the amortization of these plans amounted to $14 thousand.</w:t>
      </w:r>
    </w:p>
    <w:p>
      <w:pPr>
        <w:spacing w:after="0" w:line="22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060" w:type="dxa"/>
            <w:vAlign w:val="bottom"/>
            <w:gridSpan w:val="2"/>
          </w:tcPr>
          <w:p>
            <w:pPr>
              <w:spacing w:after="0"/>
              <w:rPr>
                <w:sz w:val="20"/>
                <w:szCs w:val="20"/>
                <w:color w:val="auto"/>
              </w:rPr>
            </w:pPr>
            <w:r>
              <w:rPr>
                <w:rFonts w:ascii="Arial" w:cs="Arial" w:eastAsia="Arial" w:hAnsi="Arial"/>
                <w:sz w:val="18"/>
                <w:szCs w:val="18"/>
                <w:color w:val="auto"/>
              </w:rPr>
              <w:t>A summary of stock options granted is presented below:</w:t>
            </w:r>
          </w:p>
        </w:tc>
        <w:tc>
          <w:tcPr>
            <w:tcW w:w="1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240" w:type="dxa"/>
            <w:vAlign w:val="bottom"/>
          </w:tcPr>
          <w:p>
            <w:pPr>
              <w:spacing w:after="0"/>
              <w:rPr>
                <w:sz w:val="24"/>
                <w:szCs w:val="24"/>
                <w:color w:val="auto"/>
              </w:rPr>
            </w:pPr>
          </w:p>
        </w:tc>
        <w:tc>
          <w:tcPr>
            <w:tcW w:w="48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1"/>
              </w:rPr>
              <w:t>Weighted</w:t>
            </w: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48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average</w:t>
            </w: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48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Weighted</w:t>
            </w:r>
          </w:p>
        </w:tc>
        <w:tc>
          <w:tcPr>
            <w:tcW w:w="13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remaining</w:t>
            </w:r>
          </w:p>
        </w:tc>
        <w:tc>
          <w:tcPr>
            <w:tcW w:w="12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Aggregate</w:t>
            </w: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48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average</w:t>
            </w:r>
          </w:p>
        </w:tc>
        <w:tc>
          <w:tcPr>
            <w:tcW w:w="13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contractual</w:t>
            </w:r>
          </w:p>
        </w:tc>
        <w:tc>
          <w:tcPr>
            <w:tcW w:w="12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intrinsic</w:t>
            </w:r>
          </w:p>
        </w:tc>
        <w:tc>
          <w:tcPr>
            <w:tcW w:w="0" w:type="dxa"/>
            <w:vAlign w:val="bottom"/>
          </w:tcPr>
          <w:p>
            <w:pPr>
              <w:spacing w:after="0"/>
              <w:rPr>
                <w:sz w:val="1"/>
                <w:szCs w:val="1"/>
                <w:color w:val="auto"/>
              </w:rPr>
            </w:pPr>
          </w:p>
        </w:tc>
      </w:tr>
      <w:tr>
        <w:trPr>
          <w:trHeight w:val="234"/>
        </w:trPr>
        <w:tc>
          <w:tcPr>
            <w:tcW w:w="240" w:type="dxa"/>
            <w:vAlign w:val="bottom"/>
          </w:tcPr>
          <w:p>
            <w:pPr>
              <w:spacing w:after="0"/>
              <w:rPr>
                <w:sz w:val="20"/>
                <w:szCs w:val="20"/>
                <w:color w:val="auto"/>
              </w:rPr>
            </w:pPr>
          </w:p>
        </w:tc>
        <w:tc>
          <w:tcPr>
            <w:tcW w:w="4820" w:type="dxa"/>
            <w:vAlign w:val="bottom"/>
          </w:tcPr>
          <w:p>
            <w:pPr>
              <w:spacing w:after="0"/>
              <w:rPr>
                <w:sz w:val="20"/>
                <w:szCs w:val="20"/>
                <w:color w:val="auto"/>
              </w:rPr>
            </w:pPr>
          </w:p>
        </w:tc>
        <w:tc>
          <w:tcPr>
            <w:tcW w:w="13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Options</w:t>
            </w:r>
          </w:p>
        </w:tc>
        <w:tc>
          <w:tcPr>
            <w:tcW w:w="13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exercise price</w:t>
            </w:r>
          </w:p>
        </w:tc>
        <w:tc>
          <w:tcPr>
            <w:tcW w:w="13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7"/>
              </w:rPr>
              <w:t>term</w:t>
            </w:r>
          </w:p>
        </w:tc>
        <w:tc>
          <w:tcPr>
            <w:tcW w:w="12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value</w:t>
            </w:r>
          </w:p>
        </w:tc>
        <w:tc>
          <w:tcPr>
            <w:tcW w:w="0" w:type="dxa"/>
            <w:vAlign w:val="bottom"/>
          </w:tcPr>
          <w:p>
            <w:pPr>
              <w:spacing w:after="0"/>
              <w:rPr>
                <w:sz w:val="1"/>
                <w:szCs w:val="1"/>
                <w:color w:val="auto"/>
              </w:rPr>
            </w:pPr>
          </w:p>
        </w:tc>
      </w:tr>
      <w:tr>
        <w:trPr>
          <w:trHeight w:val="209"/>
        </w:trPr>
        <w:tc>
          <w:tcPr>
            <w:tcW w:w="240" w:type="dxa"/>
            <w:vAlign w:val="bottom"/>
          </w:tcPr>
          <w:p>
            <w:pPr>
              <w:spacing w:after="0"/>
              <w:rPr>
                <w:sz w:val="18"/>
                <w:szCs w:val="18"/>
                <w:color w:val="auto"/>
              </w:rPr>
            </w:pPr>
          </w:p>
        </w:tc>
        <w:tc>
          <w:tcPr>
            <w:tcW w:w="4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January 1, 2018</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273,643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27.48</w:t>
            </w:r>
          </w:p>
        </w:tc>
        <w:tc>
          <w:tcPr>
            <w:tcW w:w="2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4820" w:type="dxa"/>
            <w:vAlign w:val="bottom"/>
          </w:tcPr>
          <w:p>
            <w:pPr>
              <w:spacing w:after="0"/>
              <w:rPr>
                <w:sz w:val="20"/>
                <w:szCs w:val="20"/>
                <w:color w:val="auto"/>
              </w:rPr>
            </w:pPr>
            <w:r>
              <w:rPr>
                <w:rFonts w:ascii="Arial" w:cs="Arial" w:eastAsia="Arial" w:hAnsi="Arial"/>
                <w:sz w:val="18"/>
                <w:szCs w:val="18"/>
                <w:color w:val="auto"/>
              </w:rPr>
              <w:t>Granted</w:t>
            </w: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Forfeited</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(28,315)</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29.25</w:t>
            </w: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40" w:type="dxa"/>
            <w:vAlign w:val="bottom"/>
          </w:tcPr>
          <w:p>
            <w:pPr>
              <w:spacing w:after="0"/>
              <w:rPr>
                <w:sz w:val="19"/>
                <w:szCs w:val="19"/>
                <w:color w:val="auto"/>
              </w:rPr>
            </w:pPr>
          </w:p>
        </w:tc>
        <w:tc>
          <w:tcPr>
            <w:tcW w:w="4820" w:type="dxa"/>
            <w:vAlign w:val="bottom"/>
          </w:tcPr>
          <w:p>
            <w:pPr>
              <w:spacing w:after="0"/>
              <w:rPr>
                <w:sz w:val="20"/>
                <w:szCs w:val="20"/>
                <w:color w:val="auto"/>
              </w:rPr>
            </w:pPr>
            <w:r>
              <w:rPr>
                <w:rFonts w:ascii="Arial" w:cs="Arial" w:eastAsia="Arial" w:hAnsi="Arial"/>
                <w:sz w:val="18"/>
                <w:szCs w:val="18"/>
                <w:color w:val="auto"/>
              </w:rPr>
              <w:t>Exercised</w:t>
            </w:r>
          </w:p>
        </w:tc>
        <w:tc>
          <w:tcPr>
            <w:tcW w:w="1300" w:type="dxa"/>
            <w:vAlign w:val="bottom"/>
            <w:gridSpan w:val="2"/>
          </w:tcPr>
          <w:p>
            <w:pPr>
              <w:jc w:val="right"/>
              <w:ind w:right="140"/>
              <w:spacing w:after="0"/>
              <w:rPr>
                <w:sz w:val="20"/>
                <w:szCs w:val="20"/>
                <w:color w:val="auto"/>
              </w:rPr>
            </w:pPr>
            <w:r>
              <w:rPr>
                <w:rFonts w:ascii="Arial" w:cs="Arial" w:eastAsia="Arial" w:hAnsi="Arial"/>
                <w:sz w:val="18"/>
                <w:szCs w:val="18"/>
                <w:color w:val="auto"/>
              </w:rPr>
              <w:t>(102,918)</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24.55</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40" w:type="dxa"/>
            <w:vAlign w:val="bottom"/>
          </w:tcPr>
          <w:p>
            <w:pPr>
              <w:spacing w:after="0"/>
              <w:rPr>
                <w:sz w:val="19"/>
                <w:szCs w:val="19"/>
                <w:color w:val="auto"/>
              </w:rPr>
            </w:pPr>
          </w:p>
        </w:tc>
        <w:tc>
          <w:tcPr>
            <w:tcW w:w="4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Outstanding at December 31, 2018</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CCEEFF"/>
              <w:bottom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29.25</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40" w:type="dxa"/>
            <w:vAlign w:val="bottom"/>
          </w:tcPr>
          <w:p>
            <w:pPr>
              <w:spacing w:after="0" w:line="20" w:lineRule="exact"/>
              <w:rPr>
                <w:sz w:val="1"/>
                <w:szCs w:val="1"/>
                <w:color w:val="auto"/>
              </w:rPr>
            </w:pPr>
          </w:p>
        </w:tc>
        <w:tc>
          <w:tcPr>
            <w:tcW w:w="4820" w:type="dxa"/>
            <w:vAlign w:val="bottom"/>
            <w:vMerge w:val="restart"/>
          </w:tcPr>
          <w:p>
            <w:pPr>
              <w:spacing w:after="0"/>
              <w:rPr>
                <w:sz w:val="20"/>
                <w:szCs w:val="20"/>
                <w:color w:val="auto"/>
              </w:rPr>
            </w:pPr>
            <w:r>
              <w:rPr>
                <w:rFonts w:ascii="Arial" w:cs="Arial" w:eastAsia="Arial" w:hAnsi="Arial"/>
                <w:sz w:val="18"/>
                <w:szCs w:val="18"/>
                <w:color w:val="auto"/>
              </w:rPr>
              <w:t>Outstanding at December 31, 2019</w:t>
            </w: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380" w:type="dxa"/>
            <w:vAlign w:val="bottom"/>
            <w:gridSpan w:val="2"/>
            <w:vMerge w:val="restart"/>
          </w:tcPr>
          <w:p>
            <w:pPr>
              <w:jc w:val="right"/>
              <w:ind w:right="220"/>
              <w:spacing w:after="0"/>
              <w:rPr>
                <w:sz w:val="20"/>
                <w:szCs w:val="20"/>
                <w:color w:val="auto"/>
              </w:rPr>
            </w:pPr>
            <w:r>
              <w:rPr>
                <w:rFonts w:ascii="Arial" w:cs="Arial" w:eastAsia="Arial" w:hAnsi="Arial"/>
                <w:sz w:val="18"/>
                <w:szCs w:val="18"/>
                <w:color w:val="auto"/>
              </w:rPr>
              <w:t>29.25</w:t>
            </w: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40" w:type="dxa"/>
            <w:vAlign w:val="bottom"/>
          </w:tcPr>
          <w:p>
            <w:pPr>
              <w:spacing w:after="0"/>
              <w:rPr>
                <w:sz w:val="20"/>
                <w:szCs w:val="20"/>
                <w:color w:val="auto"/>
              </w:rPr>
            </w:pPr>
          </w:p>
        </w:tc>
        <w:tc>
          <w:tcPr>
            <w:tcW w:w="4820" w:type="dxa"/>
            <w:vAlign w:val="bottom"/>
            <w:tcBorders>
              <w:bottom w:val="single" w:sz="8" w:color="CCEEFF"/>
            </w:tcBorders>
            <w:vMerge w:val="continue"/>
          </w:tcPr>
          <w:p>
            <w:pPr>
              <w:spacing w:after="0"/>
              <w:rPr>
                <w:sz w:val="20"/>
                <w:szCs w:val="20"/>
                <w:color w:val="auto"/>
              </w:rPr>
            </w:pPr>
          </w:p>
        </w:tc>
        <w:tc>
          <w:tcPr>
            <w:tcW w:w="11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142,410</w:t>
            </w:r>
          </w:p>
        </w:tc>
        <w:tc>
          <w:tcPr>
            <w:tcW w:w="20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CCEEFF"/>
            </w:tcBorders>
            <w:gridSpan w:val="2"/>
            <w:vMerge w:val="continue"/>
          </w:tcPr>
          <w:p>
            <w:pPr>
              <w:spacing w:after="0"/>
              <w:rPr>
                <w:sz w:val="20"/>
                <w:szCs w:val="20"/>
                <w:color w:val="auto"/>
              </w:rPr>
            </w:pPr>
          </w:p>
        </w:tc>
        <w:tc>
          <w:tcPr>
            <w:tcW w:w="114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12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40" w:type="dxa"/>
            <w:vAlign w:val="bottom"/>
          </w:tcPr>
          <w:p>
            <w:pPr>
              <w:spacing w:after="0"/>
              <w:rPr>
                <w:sz w:val="18"/>
                <w:szCs w:val="18"/>
                <w:color w:val="auto"/>
              </w:rPr>
            </w:pPr>
          </w:p>
        </w:tc>
        <w:tc>
          <w:tcPr>
            <w:tcW w:w="4820" w:type="dxa"/>
            <w:vAlign w:val="bottom"/>
            <w:shd w:val="clear" w:color="auto" w:fill="CCEEFF"/>
          </w:tcPr>
          <w:p>
            <w:pPr>
              <w:spacing w:after="0" w:line="190" w:lineRule="exact"/>
              <w:rPr>
                <w:sz w:val="20"/>
                <w:szCs w:val="20"/>
                <w:color w:val="auto"/>
              </w:rPr>
            </w:pPr>
            <w:r>
              <w:rPr>
                <w:rFonts w:ascii="Arial" w:cs="Arial" w:eastAsia="Arial" w:hAnsi="Arial"/>
                <w:sz w:val="18"/>
                <w:szCs w:val="18"/>
                <w:color w:val="auto"/>
              </w:rPr>
              <w:t>Outstanding at December 31, 2020</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142,410</w:t>
            </w:r>
          </w:p>
        </w:tc>
        <w:tc>
          <w:tcPr>
            <w:tcW w:w="20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29.25</w:t>
            </w:r>
          </w:p>
        </w:tc>
        <w:tc>
          <w:tcPr>
            <w:tcW w:w="1360" w:type="dxa"/>
            <w:vAlign w:val="bottom"/>
            <w:gridSpan w:val="2"/>
            <w:shd w:val="clear" w:color="auto" w:fill="CCEEFF"/>
          </w:tcPr>
          <w:p>
            <w:pPr>
              <w:jc w:val="center"/>
              <w:ind w:right="220"/>
              <w:spacing w:after="0" w:line="190" w:lineRule="exact"/>
              <w:rPr>
                <w:sz w:val="20"/>
                <w:szCs w:val="20"/>
                <w:color w:val="auto"/>
              </w:rPr>
            </w:pPr>
            <w:r>
              <w:rPr>
                <w:rFonts w:ascii="Arial" w:cs="Arial" w:eastAsia="Arial" w:hAnsi="Arial"/>
                <w:sz w:val="18"/>
                <w:szCs w:val="18"/>
                <w:color w:val="auto"/>
                <w:w w:val="87"/>
              </w:rPr>
              <w:t>1.11 years</w:t>
            </w:r>
          </w:p>
        </w:tc>
        <w:tc>
          <w:tcPr>
            <w:tcW w:w="1240" w:type="dxa"/>
            <w:vAlign w:val="bottom"/>
            <w:gridSpan w:val="2"/>
            <w:shd w:val="clear" w:color="auto" w:fill="CCEEFF"/>
          </w:tcPr>
          <w:p>
            <w:pPr>
              <w:jc w:val="right"/>
              <w:ind w:right="120"/>
              <w:spacing w:after="0" w:line="190" w:lineRule="exact"/>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240" w:type="dxa"/>
            <w:vAlign w:val="bottom"/>
          </w:tcPr>
          <w:p>
            <w:pPr>
              <w:spacing w:after="0" w:line="20" w:lineRule="exact"/>
              <w:rPr>
                <w:sz w:val="1"/>
                <w:szCs w:val="1"/>
                <w:color w:val="auto"/>
              </w:rPr>
            </w:pPr>
          </w:p>
        </w:tc>
        <w:tc>
          <w:tcPr>
            <w:tcW w:w="48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Exercisable</w:t>
            </w: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CCEEFF"/>
            </w:tcBorders>
            <w:gridSpan w:val="2"/>
            <w:vMerge w:val="restart"/>
          </w:tcPr>
          <w:p>
            <w:pPr>
              <w:jc w:val="center"/>
              <w:ind w:right="220"/>
              <w:spacing w:after="0"/>
              <w:rPr>
                <w:sz w:val="20"/>
                <w:szCs w:val="20"/>
                <w:color w:val="auto"/>
              </w:rPr>
            </w:pPr>
            <w:r>
              <w:rPr>
                <w:rFonts w:ascii="Arial" w:cs="Arial" w:eastAsia="Arial" w:hAnsi="Arial"/>
                <w:sz w:val="18"/>
                <w:szCs w:val="18"/>
                <w:color w:val="auto"/>
                <w:w w:val="87"/>
              </w:rPr>
              <w:t>1.11 years</w:t>
            </w: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7"/>
        </w:trPr>
        <w:tc>
          <w:tcPr>
            <w:tcW w:w="240" w:type="dxa"/>
            <w:vAlign w:val="bottom"/>
          </w:tcPr>
          <w:p>
            <w:pPr>
              <w:spacing w:after="0"/>
              <w:rPr>
                <w:sz w:val="22"/>
                <w:szCs w:val="22"/>
                <w:color w:val="auto"/>
              </w:rPr>
            </w:pPr>
          </w:p>
        </w:tc>
        <w:tc>
          <w:tcPr>
            <w:tcW w:w="4820" w:type="dxa"/>
            <w:vAlign w:val="bottom"/>
            <w:vMerge w:val="continue"/>
          </w:tcPr>
          <w:p>
            <w:pPr>
              <w:spacing w:after="0"/>
              <w:rPr>
                <w:sz w:val="22"/>
                <w:szCs w:val="22"/>
                <w:color w:val="auto"/>
              </w:rPr>
            </w:pPr>
          </w:p>
        </w:tc>
        <w:tc>
          <w:tcPr>
            <w:tcW w:w="1300" w:type="dxa"/>
            <w:vAlign w:val="bottom"/>
            <w:gridSpan w:val="2"/>
          </w:tcPr>
          <w:p>
            <w:pPr>
              <w:jc w:val="right"/>
              <w:ind w:right="200"/>
              <w:spacing w:after="0"/>
              <w:rPr>
                <w:sz w:val="20"/>
                <w:szCs w:val="20"/>
                <w:color w:val="auto"/>
              </w:rPr>
            </w:pPr>
            <w:r>
              <w:rPr>
                <w:rFonts w:ascii="Arial" w:cs="Arial" w:eastAsia="Arial" w:hAnsi="Arial"/>
                <w:sz w:val="18"/>
                <w:szCs w:val="18"/>
                <w:color w:val="auto"/>
              </w:rPr>
              <w:t>142,410</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29.25</w:t>
            </w:r>
          </w:p>
        </w:tc>
        <w:tc>
          <w:tcPr>
            <w:tcW w:w="1360" w:type="dxa"/>
            <w:vAlign w:val="bottom"/>
            <w:gridSpan w:val="2"/>
            <w:vMerge w:val="continue"/>
          </w:tcPr>
          <w:p>
            <w:pPr>
              <w:spacing w:after="0"/>
              <w:rPr>
                <w:sz w:val="22"/>
                <w:szCs w:val="22"/>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vMerge w:val="continue"/>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40" w:type="dxa"/>
            <w:vAlign w:val="bottom"/>
          </w:tcPr>
          <w:p>
            <w:pPr>
              <w:spacing w:after="0" w:line="20" w:lineRule="exact"/>
              <w:rPr>
                <w:sz w:val="1"/>
                <w:szCs w:val="1"/>
                <w:color w:val="auto"/>
              </w:rPr>
            </w:pPr>
          </w:p>
        </w:tc>
        <w:tc>
          <w:tcPr>
            <w:tcW w:w="4820" w:type="dxa"/>
            <w:vAlign w:val="bottom"/>
            <w:tcBorders>
              <w:top w:val="single" w:sz="8" w:color="CCEEFF"/>
            </w:tcBorders>
            <w:vMerge w:val="restart"/>
            <w:shd w:val="clear" w:color="auto" w:fill="CCEEFF"/>
          </w:tcPr>
          <w:p>
            <w:pPr>
              <w:spacing w:after="0"/>
              <w:rPr>
                <w:sz w:val="20"/>
                <w:szCs w:val="20"/>
                <w:color w:val="auto"/>
              </w:rPr>
            </w:pPr>
            <w:r>
              <w:rPr>
                <w:rFonts w:ascii="Arial" w:cs="Arial" w:eastAsia="Arial" w:hAnsi="Arial"/>
                <w:sz w:val="18"/>
                <w:szCs w:val="18"/>
                <w:color w:val="auto"/>
              </w:rPr>
              <w:t>Expected to vest</w:t>
            </w:r>
          </w:p>
        </w:tc>
        <w:tc>
          <w:tcPr>
            <w:tcW w:w="1100" w:type="dxa"/>
            <w:vAlign w:val="bottom"/>
            <w:tcBorders>
              <w:top w:val="single" w:sz="8" w:color="auto"/>
            </w:tcBorders>
            <w:shd w:val="clear" w:color="auto" w:fill="000000"/>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16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20" w:type="dxa"/>
            <w:vAlign w:val="bottom"/>
            <w:tcBorders>
              <w:top w:val="single" w:sz="8" w:color="auto"/>
            </w:tcBorders>
            <w:shd w:val="clear" w:color="auto" w:fill="000000"/>
          </w:tcPr>
          <w:p>
            <w:pPr>
              <w:spacing w:after="0" w:line="20" w:lineRule="exact"/>
              <w:rPr>
                <w:sz w:val="1"/>
                <w:szCs w:val="1"/>
                <w:color w:val="auto"/>
              </w:rPr>
            </w:pPr>
          </w:p>
        </w:tc>
        <w:tc>
          <w:tcPr>
            <w:tcW w:w="120" w:type="dxa"/>
            <w:vAlign w:val="bottom"/>
            <w:tcBorders>
              <w:top w:val="single" w:sz="8" w:color="CCEEFF"/>
            </w:tcBorders>
            <w:vMerge w:val="restart"/>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40" w:type="dxa"/>
            <w:vAlign w:val="bottom"/>
          </w:tcPr>
          <w:p>
            <w:pPr>
              <w:spacing w:after="0"/>
              <w:rPr>
                <w:sz w:val="20"/>
                <w:szCs w:val="20"/>
                <w:color w:val="auto"/>
              </w:rPr>
            </w:pPr>
          </w:p>
        </w:tc>
        <w:tc>
          <w:tcPr>
            <w:tcW w:w="4820" w:type="dxa"/>
            <w:vAlign w:val="bottom"/>
            <w:vMerge w:val="continue"/>
            <w:shd w:val="clear" w:color="auto" w:fill="CCEEFF"/>
          </w:tcPr>
          <w:p>
            <w:pPr>
              <w:spacing w:after="0"/>
              <w:rPr>
                <w:sz w:val="20"/>
                <w:szCs w:val="20"/>
                <w:color w:val="auto"/>
              </w:rPr>
            </w:pP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40" w:type="dxa"/>
            <w:vAlign w:val="bottom"/>
          </w:tcPr>
          <w:p>
            <w:pPr>
              <w:spacing w:after="0" w:line="20" w:lineRule="exact"/>
              <w:rPr>
                <w:sz w:val="1"/>
                <w:szCs w:val="1"/>
                <w:color w:val="auto"/>
              </w:rPr>
            </w:pPr>
          </w:p>
        </w:tc>
        <w:tc>
          <w:tcPr>
            <w:tcW w:w="48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During 2020 and 2019 there were no options exercised. The intrinsic value of exercised options during the years 2018 was $406 thousand. During 2018, the Bank received $2.5 million from exercised options.</w:t>
      </w:r>
    </w:p>
    <w:p>
      <w:pPr>
        <w:spacing w:after="0" w:line="16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 Other plans - Expatriate Top Executives Plan</w:t>
      </w:r>
    </w:p>
    <w:p>
      <w:pPr>
        <w:spacing w:after="0" w:line="229" w:lineRule="exact"/>
        <w:rPr>
          <w:sz w:val="20"/>
          <w:szCs w:val="20"/>
          <w:color w:val="auto"/>
        </w:rPr>
      </w:pPr>
    </w:p>
    <w:p>
      <w:pPr>
        <w:jc w:val="both"/>
        <w:ind w:left="340"/>
        <w:spacing w:after="0" w:line="255" w:lineRule="auto"/>
        <w:rPr>
          <w:sz w:val="20"/>
          <w:szCs w:val="20"/>
          <w:color w:val="auto"/>
        </w:rPr>
      </w:pPr>
      <w:r>
        <w:rPr>
          <w:rFonts w:ascii="Arial" w:cs="Arial" w:eastAsia="Arial" w:hAnsi="Arial"/>
          <w:sz w:val="18"/>
          <w:szCs w:val="18"/>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2020, 2019 and 2018, the Bank charged to salaries expense $75 thousand, $87 thousand and $102 thousand, respectively, that correspond to the Bank’s contributions to this plan.</w:t>
      </w:r>
    </w:p>
    <w:p>
      <w:pPr>
        <w:spacing w:after="0" w:line="19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F-120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6" w:name="page257"/>
    <w:bookmarkEnd w:id="2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440" w:type="dxa"/>
            <w:vAlign w:val="bottom"/>
            <w:gridSpan w:val="2"/>
          </w:tcPr>
          <w:p>
            <w:pPr>
              <w:spacing w:after="0"/>
              <w:rPr>
                <w:sz w:val="20"/>
                <w:szCs w:val="20"/>
                <w:color w:val="auto"/>
              </w:rPr>
            </w:pPr>
            <w:r>
              <w:rPr>
                <w:rFonts w:ascii="Arial" w:cs="Arial" w:eastAsia="Arial" w:hAnsi="Arial"/>
                <w:sz w:val="18"/>
                <w:szCs w:val="18"/>
                <w:b w:val="1"/>
                <w:bCs w:val="1"/>
                <w:color w:val="auto"/>
              </w:rPr>
              <w:t>30. Other expenses</w:t>
            </w: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46"/>
        </w:trPr>
        <w:tc>
          <w:tcPr>
            <w:tcW w:w="340" w:type="dxa"/>
            <w:vAlign w:val="bottom"/>
          </w:tcPr>
          <w:p>
            <w:pPr>
              <w:spacing w:after="0"/>
              <w:rPr>
                <w:sz w:val="24"/>
                <w:szCs w:val="24"/>
                <w:color w:val="auto"/>
              </w:rPr>
            </w:pPr>
          </w:p>
        </w:tc>
        <w:tc>
          <w:tcPr>
            <w:tcW w:w="710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8"/>
                <w:szCs w:val="18"/>
                <w:b w:val="1"/>
                <w:bCs w:val="1"/>
                <w:color w:val="auto"/>
                <w:w w:val="88"/>
              </w:rPr>
              <w:t>December 31,</w:t>
            </w: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340" w:type="dxa"/>
            <w:vAlign w:val="bottom"/>
          </w:tcPr>
          <w:p>
            <w:pPr>
              <w:spacing w:after="0"/>
              <w:rPr>
                <w:sz w:val="19"/>
                <w:szCs w:val="19"/>
                <w:color w:val="auto"/>
              </w:rPr>
            </w:pPr>
          </w:p>
        </w:tc>
        <w:tc>
          <w:tcPr>
            <w:tcW w:w="71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22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2018</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Administrative</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4,142</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5,560</w:t>
            </w: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6,391</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100" w:type="dxa"/>
            <w:vAlign w:val="bottom"/>
          </w:tcPr>
          <w:p>
            <w:pPr>
              <w:spacing w:after="0"/>
              <w:rPr>
                <w:sz w:val="20"/>
                <w:szCs w:val="20"/>
                <w:color w:val="auto"/>
              </w:rPr>
            </w:pPr>
            <w:r>
              <w:rPr>
                <w:rFonts w:ascii="Arial" w:cs="Arial" w:eastAsia="Arial" w:hAnsi="Arial"/>
                <w:sz w:val="18"/>
                <w:szCs w:val="18"/>
                <w:color w:val="auto"/>
              </w:rPr>
              <w:t>Professional services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3,316</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3,487</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4,293</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Maintenance and repairs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2,081</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1,770</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2,912</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100" w:type="dxa"/>
            <w:vAlign w:val="bottom"/>
          </w:tcPr>
          <w:p>
            <w:pPr>
              <w:spacing w:after="0"/>
              <w:rPr>
                <w:sz w:val="20"/>
                <w:szCs w:val="20"/>
                <w:color w:val="auto"/>
              </w:rPr>
            </w:pPr>
            <w:r>
              <w:rPr>
                <w:rFonts w:ascii="Arial" w:cs="Arial" w:eastAsia="Arial" w:hAnsi="Arial"/>
                <w:sz w:val="18"/>
                <w:szCs w:val="18"/>
                <w:color w:val="auto"/>
              </w:rPr>
              <w:t>Regulatory fees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964</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994</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1246</w:t>
            </w:r>
          </w:p>
        </w:tc>
        <w:tc>
          <w:tcPr>
            <w:tcW w:w="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Rental - office and equipment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575</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658</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2,913</w:t>
            </w:r>
          </w:p>
        </w:tc>
        <w:tc>
          <w:tcPr>
            <w:tcW w:w="80" w:type="dxa"/>
            <w:vAlign w:val="bottom"/>
            <w:shd w:val="clear" w:color="auto" w:fill="CCEEFF"/>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7100" w:type="dxa"/>
            <w:vAlign w:val="bottom"/>
          </w:tcPr>
          <w:p>
            <w:pPr>
              <w:spacing w:after="0"/>
              <w:rPr>
                <w:sz w:val="20"/>
                <w:szCs w:val="20"/>
                <w:color w:val="auto"/>
              </w:rPr>
            </w:pPr>
            <w:r>
              <w:rPr>
                <w:rFonts w:ascii="Arial" w:cs="Arial" w:eastAsia="Arial" w:hAnsi="Arial"/>
                <w:sz w:val="18"/>
                <w:szCs w:val="18"/>
                <w:color w:val="auto"/>
              </w:rPr>
              <w:t>Advertising and marketing</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100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290</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337</w:t>
            </w:r>
          </w:p>
        </w:tc>
        <w:tc>
          <w:tcPr>
            <w:tcW w:w="8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344</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180</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379</w:t>
            </w:r>
          </w:p>
        </w:tc>
        <w:tc>
          <w:tcPr>
            <w:tcW w:w="80" w:type="dxa"/>
            <w:vAlign w:val="bottom"/>
            <w:shd w:val="clear" w:color="auto" w:fill="CCEEFF"/>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7100" w:type="dxa"/>
            <w:vAlign w:val="bottom"/>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11,522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12,939</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18,471</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7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288"/>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460" w:hanging="332"/>
        <w:spacing w:after="0" w:line="503" w:lineRule="auto"/>
        <w:tabs>
          <w:tab w:leader="none" w:pos="340" w:val="left"/>
        </w:tabs>
        <w:numPr>
          <w:ilvl w:val="0"/>
          <w:numId w:val="28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December 31, 2020, and 2019, the minimum LCR to be reported to the SBP was 65% and 50%, respectively. The Bank´s LCR as of December 31, 2020 and 2019 was 249% and 131%, respectively.</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4" w:lineRule="exact"/>
        <w:rPr>
          <w:sz w:val="20"/>
          <w:szCs w:val="20"/>
          <w:color w:val="auto"/>
        </w:rPr>
      </w:pPr>
    </w:p>
    <w:tbl>
      <w:tblPr>
        <w:tblLayout w:type="fixed"/>
        <w:tblInd w:w="2820" w:type="dxa"/>
        <w:tblCellMar>
          <w:top w:w="0" w:type="dxa"/>
          <w:left w:w="0" w:type="dxa"/>
          <w:bottom w:w="0" w:type="dxa"/>
          <w:right w:w="0" w:type="dxa"/>
        </w:tblCellMar>
      </w:tblPr>
      <w:tr>
        <w:trPr>
          <w:trHeight w:val="230"/>
        </w:trPr>
        <w:tc>
          <w:tcPr>
            <w:tcW w:w="2800" w:type="dxa"/>
            <w:vAlign w:val="bottom"/>
            <w:tcBorders>
              <w:bottom w:val="single" w:sz="8" w:color="auto"/>
            </w:tcBorders>
          </w:tcPr>
          <w:p>
            <w:pPr>
              <w:jc w:val="center"/>
              <w:ind w:left="50"/>
              <w:spacing w:after="0"/>
              <w:rPr>
                <w:sz w:val="20"/>
                <w:szCs w:val="20"/>
                <w:color w:val="auto"/>
              </w:rPr>
            </w:pPr>
            <w:r>
              <w:rPr>
                <w:rFonts w:ascii="Arial" w:cs="Arial" w:eastAsia="Arial" w:hAnsi="Arial"/>
                <w:sz w:val="18"/>
                <w:szCs w:val="18"/>
                <w:color w:val="auto"/>
                <w:w w:val="89"/>
              </w:rPr>
              <w:t>Liquid assets</w:t>
            </w:r>
          </w:p>
        </w:tc>
        <w:tc>
          <w:tcPr>
            <w:tcW w:w="2180" w:type="dxa"/>
            <w:vAlign w:val="bottom"/>
          </w:tcPr>
          <w:p>
            <w:pPr>
              <w:ind w:left="100"/>
              <w:spacing w:after="0"/>
              <w:rPr>
                <w:sz w:val="20"/>
                <w:szCs w:val="20"/>
                <w:color w:val="auto"/>
              </w:rPr>
            </w:pPr>
            <w:r>
              <w:rPr>
                <w:rFonts w:ascii="Arial" w:cs="Arial" w:eastAsia="Arial" w:hAnsi="Arial"/>
                <w:sz w:val="18"/>
                <w:szCs w:val="18"/>
                <w:color w:val="auto"/>
                <w:w w:val="95"/>
              </w:rPr>
              <w:t>x 100 = X% (Liquidity ratio)</w:t>
            </w:r>
          </w:p>
        </w:tc>
      </w:tr>
      <w:tr>
        <w:trPr>
          <w:trHeight w:val="224"/>
        </w:trPr>
        <w:tc>
          <w:tcPr>
            <w:tcW w:w="2800" w:type="dxa"/>
            <w:vAlign w:val="bottom"/>
          </w:tcPr>
          <w:p>
            <w:pPr>
              <w:jc w:val="center"/>
              <w:ind w:left="70"/>
              <w:spacing w:after="0"/>
              <w:rPr>
                <w:sz w:val="20"/>
                <w:szCs w:val="20"/>
                <w:color w:val="auto"/>
              </w:rPr>
            </w:pPr>
            <w:r>
              <w:rPr>
                <w:rFonts w:ascii="Arial" w:cs="Arial" w:eastAsia="Arial" w:hAnsi="Arial"/>
                <w:sz w:val="18"/>
                <w:szCs w:val="18"/>
                <w:color w:val="auto"/>
                <w:w w:val="92"/>
              </w:rPr>
              <w:t>Liabilities (Deposits Received)</w:t>
            </w:r>
          </w:p>
        </w:tc>
        <w:tc>
          <w:tcPr>
            <w:tcW w:w="2180" w:type="dxa"/>
            <w:vAlign w:val="bottom"/>
          </w:tcPr>
          <w:p>
            <w:pPr>
              <w:spacing w:after="0"/>
              <w:rPr>
                <w:sz w:val="19"/>
                <w:szCs w:val="19"/>
                <w:color w:val="auto"/>
              </w:rPr>
            </w:pPr>
          </w:p>
        </w:tc>
      </w:tr>
    </w:tbl>
    <w:p>
      <w:pPr>
        <w:spacing w:after="0" w:line="187"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of December 31, 2020, and 2019, the percentage of the liquidity index reported by the Bank to the regulator was 79.99% and 100.36%,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7" w:name="page258"/>
    <w:bookmarkEnd w:id="2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89"/>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46"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96" w:lineRule="exact"/>
        <w:rPr>
          <w:sz w:val="20"/>
          <w:szCs w:val="20"/>
          <w:color w:val="auto"/>
        </w:rPr>
      </w:pPr>
    </w:p>
    <w:tbl>
      <w:tblPr>
        <w:tblLayout w:type="fixed"/>
        <w:tblInd w:w="580" w:type="dxa"/>
        <w:tblCellMar>
          <w:top w:w="0" w:type="dxa"/>
          <w:left w:w="0" w:type="dxa"/>
          <w:bottom w:w="0" w:type="dxa"/>
          <w:right w:w="0" w:type="dxa"/>
        </w:tblCellMar>
      </w:tblPr>
      <w:tr>
        <w:trPr>
          <w:trHeight w:val="234"/>
        </w:trPr>
        <w:tc>
          <w:tcPr>
            <w:tcW w:w="6620" w:type="dxa"/>
            <w:vAlign w:val="bottom"/>
          </w:tcPr>
          <w:p>
            <w:pPr>
              <w:spacing w:after="0"/>
              <w:rPr>
                <w:sz w:val="20"/>
                <w:szCs w:val="20"/>
                <w:color w:val="auto"/>
              </w:rPr>
            </w:pPr>
          </w:p>
        </w:tc>
        <w:tc>
          <w:tcPr>
            <w:tcW w:w="1780" w:type="dxa"/>
            <w:vAlign w:val="bottom"/>
            <w:gridSpan w:val="2"/>
          </w:tcPr>
          <w:p>
            <w:pPr>
              <w:jc w:val="right"/>
              <w:ind w:right="210"/>
              <w:spacing w:after="0"/>
              <w:rPr>
                <w:sz w:val="20"/>
                <w:szCs w:val="20"/>
                <w:color w:val="auto"/>
              </w:rPr>
            </w:pPr>
            <w:r>
              <w:rPr>
                <w:rFonts w:ascii="Arial" w:cs="Arial" w:eastAsia="Arial" w:hAnsi="Arial"/>
                <w:sz w:val="18"/>
                <w:szCs w:val="18"/>
                <w:b w:val="1"/>
                <w:bCs w:val="1"/>
                <w:color w:val="auto"/>
                <w:w w:val="90"/>
              </w:rPr>
              <w:t>December 31, 2020</w:t>
            </w:r>
          </w:p>
        </w:tc>
        <w:tc>
          <w:tcPr>
            <w:tcW w:w="170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w w:val="90"/>
              </w:rPr>
              <w:t>December 31, 2019</w:t>
            </w:r>
          </w:p>
        </w:tc>
      </w:tr>
      <w:tr>
        <w:trPr>
          <w:trHeight w:val="230"/>
        </w:trPr>
        <w:tc>
          <w:tcPr>
            <w:tcW w:w="6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Capital funds</w:t>
            </w: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1,048,182</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1,026,125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10"/>
        </w:trPr>
        <w:tc>
          <w:tcPr>
            <w:tcW w:w="6620" w:type="dxa"/>
            <w:vAlign w:val="bottom"/>
            <w:tcBorders>
              <w:bottom w:val="single" w:sz="8" w:color="CCEEFF"/>
            </w:tcBorders>
          </w:tcPr>
          <w:p>
            <w:pPr>
              <w:spacing w:after="0" w:line="203" w:lineRule="exact"/>
              <w:rPr>
                <w:sz w:val="20"/>
                <w:szCs w:val="20"/>
                <w:color w:val="auto"/>
              </w:rPr>
            </w:pPr>
            <w:r>
              <w:rPr>
                <w:rFonts w:ascii="Arial" w:cs="Arial" w:eastAsia="Arial" w:hAnsi="Arial"/>
                <w:sz w:val="18"/>
                <w:szCs w:val="18"/>
                <w:color w:val="auto"/>
              </w:rPr>
              <w:t>Risk-weighted assets</w:t>
            </w:r>
          </w:p>
        </w:tc>
        <w:tc>
          <w:tcPr>
            <w:tcW w:w="15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5,187,054</w:t>
            </w:r>
          </w:p>
        </w:tc>
        <w:tc>
          <w:tcPr>
            <w:tcW w:w="260" w:type="dxa"/>
            <w:vAlign w:val="bottom"/>
            <w:tcBorders>
              <w:bottom w:val="single" w:sz="8" w:color="CCEEFF"/>
            </w:tcBorders>
          </w:tcPr>
          <w:p>
            <w:pPr>
              <w:spacing w:after="0"/>
              <w:rPr>
                <w:sz w:val="18"/>
                <w:szCs w:val="18"/>
                <w:color w:val="auto"/>
              </w:rPr>
            </w:pPr>
          </w:p>
        </w:tc>
        <w:tc>
          <w:tcPr>
            <w:tcW w:w="15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5,937,648</w:t>
            </w:r>
          </w:p>
        </w:tc>
        <w:tc>
          <w:tcPr>
            <w:tcW w:w="180" w:type="dxa"/>
            <w:vAlign w:val="bottom"/>
            <w:tcBorders>
              <w:bottom w:val="single" w:sz="8" w:color="CCEEFF"/>
            </w:tcBorders>
          </w:tcPr>
          <w:p>
            <w:pPr>
              <w:spacing w:after="0"/>
              <w:rPr>
                <w:sz w:val="18"/>
                <w:szCs w:val="18"/>
                <w:color w:val="auto"/>
              </w:rPr>
            </w:pPr>
          </w:p>
        </w:tc>
      </w:tr>
      <w:tr>
        <w:trPr>
          <w:trHeight w:val="223"/>
        </w:trPr>
        <w:tc>
          <w:tcPr>
            <w:tcW w:w="66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Capital adequacy index</w:t>
            </w: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w:t>
            </w:r>
          </w:p>
        </w:tc>
        <w:tc>
          <w:tcPr>
            <w:tcW w:w="26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74"/>
              </w:rPr>
              <w:t>%</w:t>
            </w: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17.28</w:t>
            </w:r>
          </w:p>
        </w:tc>
        <w:tc>
          <w:tcPr>
            <w:tcW w:w="1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Leverage ratio</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222222"/>
        </w:rPr>
        <w:t xml:space="preserve">Article No. 17 of the Rule No. 1-2015 establishes the leverage ratio of a regulated entity by means of the quotient between the ordinary primary capital and the total exposure for non-risk-weighted assets inside and outside the consolidated statement of financial position established by the </w:t>
      </w:r>
      <w:r>
        <w:rPr>
          <w:rFonts w:ascii="Arial" w:cs="Arial" w:eastAsia="Arial" w:hAnsi="Arial"/>
          <w:sz w:val="17"/>
          <w:szCs w:val="17"/>
          <w:color w:val="000000"/>
        </w:rPr>
        <w:t>SBP</w:t>
      </w:r>
      <w:r>
        <w:rPr>
          <w:rFonts w:ascii="Arial" w:cs="Arial" w:eastAsia="Arial" w:hAnsi="Arial"/>
          <w:sz w:val="17"/>
          <w:szCs w:val="17"/>
          <w:color w:val="222222"/>
        </w:rPr>
        <w:t>.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71"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222222"/>
        </w:rPr>
        <w:t>The leverage ratio cannot be lower, at any time, than 3%. The Bank will inform to SBP as often as the compliance with the leverage ratio is determined.</w:t>
      </w:r>
    </w:p>
    <w:p>
      <w:pPr>
        <w:spacing w:after="0" w:line="180" w:lineRule="exact"/>
        <w:rPr>
          <w:sz w:val="20"/>
          <w:szCs w:val="20"/>
          <w:color w:val="auto"/>
        </w:rPr>
      </w:pPr>
    </w:p>
    <w:tbl>
      <w:tblPr>
        <w:tblLayout w:type="fixed"/>
        <w:tblInd w:w="580" w:type="dxa"/>
        <w:tblCellMar>
          <w:top w:w="0" w:type="dxa"/>
          <w:left w:w="0" w:type="dxa"/>
          <w:bottom w:w="0" w:type="dxa"/>
          <w:right w:w="0" w:type="dxa"/>
        </w:tblCellMar>
      </w:tblPr>
      <w:tr>
        <w:trPr>
          <w:trHeight w:val="234"/>
        </w:trPr>
        <w:tc>
          <w:tcPr>
            <w:tcW w:w="6620" w:type="dxa"/>
            <w:vAlign w:val="bottom"/>
          </w:tcPr>
          <w:p>
            <w:pPr>
              <w:spacing w:after="0"/>
              <w:rPr>
                <w:sz w:val="20"/>
                <w:szCs w:val="20"/>
                <w:color w:val="auto"/>
              </w:rPr>
            </w:pPr>
          </w:p>
        </w:tc>
        <w:tc>
          <w:tcPr>
            <w:tcW w:w="1780" w:type="dxa"/>
            <w:vAlign w:val="bottom"/>
            <w:gridSpan w:val="2"/>
          </w:tcPr>
          <w:p>
            <w:pPr>
              <w:jc w:val="right"/>
              <w:ind w:right="210"/>
              <w:spacing w:after="0"/>
              <w:rPr>
                <w:sz w:val="20"/>
                <w:szCs w:val="20"/>
                <w:color w:val="auto"/>
              </w:rPr>
            </w:pPr>
            <w:r>
              <w:rPr>
                <w:rFonts w:ascii="Arial" w:cs="Arial" w:eastAsia="Arial" w:hAnsi="Arial"/>
                <w:sz w:val="18"/>
                <w:szCs w:val="18"/>
                <w:b w:val="1"/>
                <w:bCs w:val="1"/>
                <w:color w:val="auto"/>
                <w:w w:val="90"/>
              </w:rPr>
              <w:t>December 31, 2020</w:t>
            </w:r>
          </w:p>
        </w:tc>
        <w:tc>
          <w:tcPr>
            <w:tcW w:w="170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w w:val="90"/>
              </w:rPr>
              <w:t>December 31, 2019</w:t>
            </w:r>
          </w:p>
        </w:tc>
      </w:tr>
      <w:tr>
        <w:trPr>
          <w:trHeight w:val="230"/>
        </w:trPr>
        <w:tc>
          <w:tcPr>
            <w:tcW w:w="6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912,164</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890,106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10"/>
        </w:trPr>
        <w:tc>
          <w:tcPr>
            <w:tcW w:w="6620" w:type="dxa"/>
            <w:vAlign w:val="bottom"/>
            <w:tcBorders>
              <w:bottom w:val="single" w:sz="8" w:color="CCEEFF"/>
            </w:tcBorders>
          </w:tcPr>
          <w:p>
            <w:pPr>
              <w:spacing w:after="0" w:line="203" w:lineRule="exact"/>
              <w:rPr>
                <w:sz w:val="20"/>
                <w:szCs w:val="20"/>
                <w:color w:val="auto"/>
              </w:rPr>
            </w:pPr>
            <w:r>
              <w:rPr>
                <w:rFonts w:ascii="Arial" w:cs="Arial" w:eastAsia="Arial" w:hAnsi="Arial"/>
                <w:sz w:val="18"/>
                <w:szCs w:val="18"/>
                <w:color w:val="auto"/>
              </w:rPr>
              <w:t>Non-risk-weighted assets</w:t>
            </w:r>
          </w:p>
        </w:tc>
        <w:tc>
          <w:tcPr>
            <w:tcW w:w="15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6,479,416</w:t>
            </w:r>
          </w:p>
        </w:tc>
        <w:tc>
          <w:tcPr>
            <w:tcW w:w="260" w:type="dxa"/>
            <w:vAlign w:val="bottom"/>
            <w:tcBorders>
              <w:bottom w:val="single" w:sz="8" w:color="CCEEFF"/>
            </w:tcBorders>
          </w:tcPr>
          <w:p>
            <w:pPr>
              <w:spacing w:after="0"/>
              <w:rPr>
                <w:sz w:val="18"/>
                <w:szCs w:val="18"/>
                <w:color w:val="auto"/>
              </w:rPr>
            </w:pPr>
          </w:p>
        </w:tc>
        <w:tc>
          <w:tcPr>
            <w:tcW w:w="152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7,323,187</w:t>
            </w:r>
          </w:p>
        </w:tc>
        <w:tc>
          <w:tcPr>
            <w:tcW w:w="180" w:type="dxa"/>
            <w:vAlign w:val="bottom"/>
            <w:tcBorders>
              <w:bottom w:val="single" w:sz="8" w:color="CCEEFF"/>
            </w:tcBorders>
          </w:tcPr>
          <w:p>
            <w:pPr>
              <w:spacing w:after="0"/>
              <w:rPr>
                <w:sz w:val="18"/>
                <w:szCs w:val="18"/>
                <w:color w:val="auto"/>
              </w:rPr>
            </w:pPr>
          </w:p>
        </w:tc>
      </w:tr>
      <w:tr>
        <w:trPr>
          <w:trHeight w:val="223"/>
        </w:trPr>
        <w:tc>
          <w:tcPr>
            <w:tcW w:w="66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w:t>
            </w:r>
          </w:p>
        </w:tc>
        <w:tc>
          <w:tcPr>
            <w:tcW w:w="260" w:type="dxa"/>
            <w:vAlign w:val="bottom"/>
            <w:tcBorders>
              <w:bottom w:val="single" w:sz="8" w:color="CCEEFF"/>
            </w:tcBorders>
            <w:shd w:val="clear" w:color="auto" w:fill="CCEEFF"/>
          </w:tcPr>
          <w:p>
            <w:pPr>
              <w:jc w:val="right"/>
              <w:ind w:right="30"/>
              <w:spacing w:after="0"/>
              <w:rPr>
                <w:sz w:val="20"/>
                <w:szCs w:val="20"/>
                <w:color w:val="auto"/>
              </w:rPr>
            </w:pPr>
            <w:r>
              <w:rPr>
                <w:rFonts w:ascii="Arial" w:cs="Arial" w:eastAsia="Arial" w:hAnsi="Arial"/>
                <w:sz w:val="18"/>
                <w:szCs w:val="18"/>
                <w:color w:val="auto"/>
                <w:w w:val="74"/>
              </w:rPr>
              <w:t>%</w:t>
            </w:r>
          </w:p>
        </w:tc>
        <w:tc>
          <w:tcPr>
            <w:tcW w:w="1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12.15</w:t>
            </w:r>
          </w:p>
        </w:tc>
        <w:tc>
          <w:tcPr>
            <w:tcW w:w="1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w w:val="74"/>
              </w:rPr>
              <w:t>%</w:t>
            </w: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SBP 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3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58" w:name="page259"/>
    <w:bookmarkEnd w:id="2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90"/>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Article No.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83"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18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78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8"/>
                <w:szCs w:val="18"/>
                <w:b w:val="1"/>
                <w:bCs w:val="1"/>
                <w:color w:val="auto"/>
              </w:rPr>
              <w:t>December 31, 2020</w:t>
            </w:r>
          </w:p>
        </w:tc>
        <w:tc>
          <w:tcPr>
            <w:tcW w:w="13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r>
      <w:tr>
        <w:trPr>
          <w:trHeight w:val="191"/>
        </w:trPr>
        <w:tc>
          <w:tcPr>
            <w:tcW w:w="34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Special</w:t>
            </w: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18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3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Normal</w:t>
            </w:r>
          </w:p>
        </w:tc>
        <w:tc>
          <w:tcPr>
            <w:tcW w:w="14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Mention</w:t>
            </w:r>
          </w:p>
        </w:tc>
        <w:tc>
          <w:tcPr>
            <w:tcW w:w="146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Substandard</w:t>
            </w:r>
          </w:p>
        </w:tc>
        <w:tc>
          <w:tcPr>
            <w:tcW w:w="132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Doubtful</w:t>
            </w:r>
          </w:p>
        </w:tc>
        <w:tc>
          <w:tcPr>
            <w:tcW w:w="1500" w:type="dxa"/>
            <w:vAlign w:val="bottom"/>
            <w:gridSpan w:val="2"/>
          </w:tcPr>
          <w:p>
            <w:pPr>
              <w:ind w:left="80"/>
              <w:spacing w:after="0"/>
              <w:rPr>
                <w:sz w:val="20"/>
                <w:szCs w:val="20"/>
                <w:color w:val="auto"/>
              </w:rPr>
            </w:pPr>
            <w:r>
              <w:rPr>
                <w:rFonts w:ascii="Arial" w:cs="Arial" w:eastAsia="Arial" w:hAnsi="Arial"/>
                <w:sz w:val="18"/>
                <w:szCs w:val="18"/>
                <w:b w:val="1"/>
                <w:bCs w:val="1"/>
                <w:color w:val="auto"/>
              </w:rPr>
              <w:t>Unrecoverable</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20"/>
                <w:szCs w:val="20"/>
                <w:color w:val="auto"/>
              </w:rPr>
            </w:pPr>
          </w:p>
        </w:tc>
      </w:tr>
      <w:tr>
        <w:trPr>
          <w:trHeight w:val="190"/>
        </w:trPr>
        <w:tc>
          <w:tcPr>
            <w:tcW w:w="340" w:type="dxa"/>
            <w:vAlign w:val="bottom"/>
          </w:tcPr>
          <w:p>
            <w:pPr>
              <w:spacing w:after="0"/>
              <w:rPr>
                <w:sz w:val="16"/>
                <w:szCs w:val="16"/>
                <w:color w:val="auto"/>
              </w:rPr>
            </w:pPr>
          </w:p>
        </w:tc>
        <w:tc>
          <w:tcPr>
            <w:tcW w:w="2240" w:type="dxa"/>
            <w:vAlign w:val="bottom"/>
            <w:tcBorders>
              <w:top w:val="single" w:sz="8" w:color="CCEEFF"/>
            </w:tcBorders>
            <w:gridSpan w:val="2"/>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Loans at amortized cost</w:t>
            </w:r>
          </w:p>
        </w:tc>
        <w:tc>
          <w:tcPr>
            <w:tcW w:w="11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3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36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1820" w:type="dxa"/>
            <w:vAlign w:val="bottom"/>
            <w:tcBorders>
              <w:top w:val="single" w:sz="8" w:color="auto"/>
            </w:tcBorders>
          </w:tcPr>
          <w:p>
            <w:pPr>
              <w:spacing w:after="0"/>
              <w:rPr>
                <w:sz w:val="20"/>
                <w:szCs w:val="20"/>
                <w:color w:val="auto"/>
              </w:rPr>
            </w:pPr>
            <w:r>
              <w:rPr>
                <w:rFonts w:ascii="Arial" w:cs="Arial" w:eastAsia="Arial" w:hAnsi="Arial"/>
                <w:sz w:val="18"/>
                <w:szCs w:val="18"/>
                <w:color w:val="auto"/>
              </w:rPr>
              <w:t>Corporations</w:t>
            </w:r>
          </w:p>
        </w:tc>
        <w:tc>
          <w:tcPr>
            <w:tcW w:w="420" w:type="dxa"/>
            <w:vAlign w:val="bottom"/>
            <w:tcBorders>
              <w:top w:val="single" w:sz="8" w:color="CCEEFF"/>
            </w:tcBorders>
          </w:tcPr>
          <w:p>
            <w:pPr>
              <w:spacing w:after="0"/>
              <w:rPr>
                <w:sz w:val="18"/>
                <w:szCs w:val="18"/>
                <w:color w:val="auto"/>
              </w:rPr>
            </w:pPr>
          </w:p>
        </w:tc>
        <w:tc>
          <w:tcPr>
            <w:tcW w:w="132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2,147,846</w:t>
            </w:r>
          </w:p>
        </w:tc>
        <w:tc>
          <w:tcPr>
            <w:tcW w:w="1420" w:type="dxa"/>
            <w:vAlign w:val="bottom"/>
            <w:tcBorders>
              <w:top w:val="single" w:sz="8" w:color="CCEEFF"/>
            </w:tcBorders>
            <w:gridSpan w:val="2"/>
          </w:tcPr>
          <w:p>
            <w:pPr>
              <w:jc w:val="right"/>
              <w:ind w:right="180"/>
              <w:spacing w:after="0"/>
              <w:rPr>
                <w:sz w:val="20"/>
                <w:szCs w:val="20"/>
                <w:color w:val="auto"/>
              </w:rPr>
            </w:pPr>
            <w:r>
              <w:rPr>
                <w:rFonts w:ascii="Arial" w:cs="Arial" w:eastAsia="Arial" w:hAnsi="Arial"/>
                <w:sz w:val="18"/>
                <w:szCs w:val="18"/>
                <w:color w:val="auto"/>
              </w:rPr>
              <w:t>9,281</w:t>
            </w:r>
          </w:p>
        </w:tc>
        <w:tc>
          <w:tcPr>
            <w:tcW w:w="146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10,593</w:t>
            </w:r>
          </w:p>
        </w:tc>
        <w:tc>
          <w:tcPr>
            <w:tcW w:w="132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2,167,720</w:t>
            </w: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color w:val="auto"/>
              </w:rPr>
              <w:t>Private</w:t>
            </w: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2,231,742</w:t>
            </w:r>
          </w:p>
        </w:tc>
        <w:tc>
          <w:tcPr>
            <w:tcW w:w="14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2,231,742</w:t>
            </w:r>
          </w:p>
        </w:tc>
        <w:tc>
          <w:tcPr>
            <w:tcW w:w="3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2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476,520</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476,520</w:t>
            </w:r>
          </w:p>
        </w:tc>
        <w:tc>
          <w:tcPr>
            <w:tcW w:w="36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1820" w:type="dxa"/>
            <w:vAlign w:val="bottom"/>
            <w:tcBorders>
              <w:bottom w:val="single" w:sz="8" w:color="CCEEFF"/>
            </w:tcBorders>
          </w:tcPr>
          <w:p>
            <w:pPr>
              <w:spacing w:after="0"/>
              <w:rPr>
                <w:sz w:val="18"/>
                <w:szCs w:val="18"/>
                <w:color w:val="auto"/>
              </w:rPr>
            </w:pPr>
          </w:p>
        </w:tc>
        <w:tc>
          <w:tcPr>
            <w:tcW w:w="42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100" w:type="dxa"/>
            <w:vAlign w:val="bottom"/>
            <w:tcBorders>
              <w:bottom w:val="single" w:sz="8" w:color="CCEEFF"/>
            </w:tcBorders>
          </w:tcPr>
          <w:p>
            <w:pPr>
              <w:spacing w:after="0"/>
              <w:rPr>
                <w:sz w:val="18"/>
                <w:szCs w:val="18"/>
                <w:color w:val="auto"/>
              </w:rPr>
            </w:pPr>
          </w:p>
        </w:tc>
        <w:tc>
          <w:tcPr>
            <w:tcW w:w="36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Sovereign</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20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1820" w:type="dxa"/>
            <w:vAlign w:val="bottom"/>
            <w:tcBorders>
              <w:bottom w:val="single" w:sz="8" w:color="CCEEFF"/>
            </w:tcBorders>
          </w:tcPr>
          <w:p>
            <w:pPr>
              <w:spacing w:after="0"/>
              <w:rPr>
                <w:sz w:val="18"/>
                <w:szCs w:val="18"/>
                <w:color w:val="auto"/>
              </w:rPr>
            </w:pPr>
          </w:p>
        </w:tc>
        <w:tc>
          <w:tcPr>
            <w:tcW w:w="42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4,891,523</w:t>
            </w:r>
          </w:p>
        </w:tc>
        <w:tc>
          <w:tcPr>
            <w:tcW w:w="20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9,281</w:t>
            </w:r>
          </w:p>
        </w:tc>
        <w:tc>
          <w:tcPr>
            <w:tcW w:w="1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100" w:type="dxa"/>
            <w:vAlign w:val="bottom"/>
            <w:tcBorders>
              <w:bottom w:val="single" w:sz="8" w:color="CCEEFF"/>
            </w:tcBorders>
          </w:tcPr>
          <w:p>
            <w:pPr>
              <w:spacing w:after="0"/>
              <w:rPr>
                <w:sz w:val="18"/>
                <w:szCs w:val="18"/>
                <w:color w:val="auto"/>
              </w:rPr>
            </w:pPr>
          </w:p>
        </w:tc>
        <w:tc>
          <w:tcPr>
            <w:tcW w:w="36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240" w:type="dxa"/>
            <w:vAlign w:val="bottom"/>
            <w:gridSpan w:val="2"/>
          </w:tcPr>
          <w:p>
            <w:pPr>
              <w:spacing w:after="0"/>
              <w:rPr>
                <w:sz w:val="20"/>
                <w:szCs w:val="20"/>
                <w:color w:val="auto"/>
              </w:rPr>
            </w:pPr>
            <w:r>
              <w:rPr>
                <w:rFonts w:ascii="Arial" w:cs="Arial" w:eastAsia="Arial" w:hAnsi="Arial"/>
                <w:sz w:val="18"/>
                <w:szCs w:val="18"/>
                <w:color w:val="auto"/>
              </w:rPr>
              <w:t>Allowance for loan</w:t>
            </w:r>
          </w:p>
        </w:tc>
        <w:tc>
          <w:tcPr>
            <w:tcW w:w="1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r>
      <w:tr>
        <w:trPr>
          <w:trHeight w:val="283"/>
        </w:trPr>
        <w:tc>
          <w:tcPr>
            <w:tcW w:w="340" w:type="dxa"/>
            <w:vAlign w:val="bottom"/>
          </w:tcPr>
          <w:p>
            <w:pPr>
              <w:spacing w:after="0"/>
              <w:rPr>
                <w:sz w:val="24"/>
                <w:szCs w:val="24"/>
                <w:color w:val="auto"/>
              </w:rPr>
            </w:pPr>
          </w:p>
        </w:tc>
        <w:tc>
          <w:tcPr>
            <w:tcW w:w="2240" w:type="dxa"/>
            <w:vAlign w:val="bottom"/>
            <w:gridSpan w:val="2"/>
            <w:shd w:val="clear" w:color="auto" w:fill="CCEEFF"/>
          </w:tcPr>
          <w:p>
            <w:pPr>
              <w:spacing w:after="0" w:line="284" w:lineRule="exact"/>
              <w:rPr>
                <w:sz w:val="20"/>
                <w:szCs w:val="20"/>
                <w:color w:val="auto"/>
              </w:rPr>
            </w:pPr>
            <w:r>
              <w:rPr>
                <w:rFonts w:ascii="Arial" w:cs="Arial" w:eastAsia="Arial" w:hAnsi="Arial"/>
                <w:sz w:val="18"/>
                <w:szCs w:val="18"/>
                <w:color w:val="auto"/>
              </w:rPr>
              <w:t xml:space="preserve">losses IFRS </w:t>
            </w:r>
            <w:r>
              <w:rPr>
                <w:rFonts w:ascii="Arial" w:cs="Arial" w:eastAsia="Arial" w:hAnsi="Arial"/>
                <w:sz w:val="29"/>
                <w:szCs w:val="29"/>
                <w:color w:val="auto"/>
                <w:vertAlign w:val="superscript"/>
              </w:rPr>
              <w:t>(*)</w:t>
            </w:r>
            <w:r>
              <w:rPr>
                <w:rFonts w:ascii="Arial" w:cs="Arial" w:eastAsia="Arial" w:hAnsi="Arial"/>
                <w:sz w:val="18"/>
                <w:szCs w:val="18"/>
                <w:color w:val="auto"/>
              </w:rPr>
              <w: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34,720</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1,857</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4,588</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41,165</w:t>
            </w:r>
          </w:p>
        </w:tc>
        <w:tc>
          <w:tcPr>
            <w:tcW w:w="360" w:type="dxa"/>
            <w:vAlign w:val="bottom"/>
          </w:tcPr>
          <w:p>
            <w:pPr>
              <w:spacing w:after="0"/>
              <w:rPr>
                <w:sz w:val="24"/>
                <w:szCs w:val="24"/>
                <w:color w:val="auto"/>
              </w:rPr>
            </w:pPr>
          </w:p>
        </w:tc>
      </w:tr>
      <w:tr>
        <w:trPr>
          <w:trHeight w:val="20"/>
        </w:trPr>
        <w:tc>
          <w:tcPr>
            <w:tcW w:w="340" w:type="dxa"/>
            <w:vAlign w:val="bottom"/>
          </w:tcPr>
          <w:p>
            <w:pPr>
              <w:spacing w:after="0" w:line="20" w:lineRule="exact"/>
              <w:rPr>
                <w:sz w:val="1"/>
                <w:szCs w:val="1"/>
                <w:color w:val="auto"/>
              </w:rPr>
            </w:pPr>
          </w:p>
        </w:tc>
        <w:tc>
          <w:tcPr>
            <w:tcW w:w="182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Loans at FVTPL</w:t>
            </w: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240" w:type="dxa"/>
            <w:vAlign w:val="bottom"/>
            <w:gridSpan w:val="2"/>
          </w:tcPr>
          <w:p>
            <w:pPr>
              <w:spacing w:after="0"/>
              <w:rPr>
                <w:sz w:val="20"/>
                <w:szCs w:val="20"/>
                <w:color w:val="auto"/>
              </w:rPr>
            </w:pPr>
            <w:r>
              <w:rPr>
                <w:rFonts w:ascii="Arial" w:cs="Arial" w:eastAsia="Arial" w:hAnsi="Arial"/>
                <w:sz w:val="18"/>
                <w:szCs w:val="18"/>
                <w:color w:val="auto"/>
              </w:rPr>
              <w:t>Financial Institutions:</w:t>
            </w:r>
          </w:p>
        </w:tc>
        <w:tc>
          <w:tcPr>
            <w:tcW w:w="1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6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2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4,949</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4,949</w:t>
            </w:r>
          </w:p>
        </w:tc>
        <w:tc>
          <w:tcPr>
            <w:tcW w:w="36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240" w:type="dxa"/>
            <w:vAlign w:val="bottom"/>
            <w:gridSpan w:val="2"/>
          </w:tcPr>
          <w:p>
            <w:pPr>
              <w:spacing w:after="0"/>
              <w:rPr>
                <w:sz w:val="20"/>
                <w:szCs w:val="20"/>
                <w:color w:val="auto"/>
              </w:rPr>
            </w:pPr>
            <w:r>
              <w:rPr>
                <w:rFonts w:ascii="Arial" w:cs="Arial" w:eastAsia="Arial" w:hAnsi="Arial"/>
                <w:sz w:val="18"/>
                <w:szCs w:val="18"/>
                <w:color w:val="auto"/>
              </w:rPr>
              <w:t>Total loans</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4,896,472</w:t>
            </w:r>
          </w:p>
        </w:tc>
        <w:tc>
          <w:tcPr>
            <w:tcW w:w="2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9,281</w:t>
            </w:r>
          </w:p>
        </w:tc>
        <w:tc>
          <w:tcPr>
            <w:tcW w:w="18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4,916,346</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940"/>
              <w:spacing w:after="0"/>
              <w:rPr>
                <w:sz w:val="20"/>
                <w:szCs w:val="20"/>
                <w:color w:val="auto"/>
              </w:rPr>
            </w:pPr>
            <w:r>
              <w:rPr>
                <w:rFonts w:ascii="Arial" w:cs="Arial" w:eastAsia="Arial" w:hAnsi="Arial"/>
                <w:sz w:val="18"/>
                <w:szCs w:val="18"/>
                <w:color w:val="auto"/>
              </w:rPr>
              <w:t>F-123</w:t>
            </w: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88" w:right="339" w:bottom="1440" w:gutter="0" w:footer="0" w:header="0"/>
        </w:sectPr>
      </w:pPr>
    </w:p>
    <w:bookmarkStart w:id="259" w:name="page260"/>
    <w:bookmarkEnd w:id="2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32. Applicable laws and regulations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660" w:type="dxa"/>
            <w:vAlign w:val="bottom"/>
            <w:tcBorders>
              <w:bottom w:val="single" w:sz="8" w:color="auto"/>
            </w:tcBorders>
            <w:gridSpan w:val="5"/>
          </w:tcPr>
          <w:p>
            <w:pPr>
              <w:ind w:left="580"/>
              <w:spacing w:after="0"/>
              <w:rPr>
                <w:sz w:val="20"/>
                <w:szCs w:val="20"/>
                <w:color w:val="auto"/>
              </w:rPr>
            </w:pPr>
            <w:r>
              <w:rPr>
                <w:rFonts w:ascii="Arial" w:cs="Arial" w:eastAsia="Arial" w:hAnsi="Arial"/>
                <w:sz w:val="18"/>
                <w:szCs w:val="18"/>
                <w:b w:val="1"/>
                <w:bCs w:val="1"/>
                <w:color w:val="auto"/>
              </w:rPr>
              <w:t>December 31, 2019</w:t>
            </w:r>
          </w:p>
        </w:tc>
        <w:tc>
          <w:tcPr>
            <w:tcW w:w="10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2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5"/>
              </w:rPr>
              <w:t>Special</w:t>
            </w:r>
          </w:p>
        </w:tc>
        <w:tc>
          <w:tcPr>
            <w:tcW w:w="1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34"/>
        </w:trPr>
        <w:tc>
          <w:tcPr>
            <w:tcW w:w="2240" w:type="dxa"/>
            <w:vAlign w:val="bottom"/>
            <w:gridSpan w:val="2"/>
          </w:tcPr>
          <w:p>
            <w:pPr>
              <w:ind w:left="140"/>
              <w:spacing w:after="0"/>
              <w:rPr>
                <w:sz w:val="20"/>
                <w:szCs w:val="20"/>
                <w:color w:val="auto"/>
              </w:rPr>
            </w:pPr>
            <w:r>
              <w:rPr>
                <w:rFonts w:ascii="Arial" w:cs="Arial" w:eastAsia="Arial" w:hAnsi="Arial"/>
                <w:sz w:val="18"/>
                <w:szCs w:val="18"/>
                <w:b w:val="1"/>
                <w:bCs w:val="1"/>
                <w:color w:val="auto"/>
              </w:rPr>
              <w:t>Loans at amortized cost</w:t>
            </w:r>
          </w:p>
        </w:tc>
        <w:tc>
          <w:tcPr>
            <w:tcW w:w="80" w:type="dxa"/>
            <w:vAlign w:val="bottom"/>
          </w:tcPr>
          <w:p>
            <w:pPr>
              <w:spacing w:after="0"/>
              <w:rPr>
                <w:sz w:val="20"/>
                <w:szCs w:val="20"/>
                <w:color w:val="auto"/>
              </w:rPr>
            </w:pPr>
          </w:p>
        </w:tc>
        <w:tc>
          <w:tcPr>
            <w:tcW w:w="12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Normal</w:t>
            </w:r>
          </w:p>
        </w:tc>
        <w:tc>
          <w:tcPr>
            <w:tcW w:w="100" w:type="dxa"/>
            <w:vAlign w:val="bottom"/>
          </w:tcPr>
          <w:p>
            <w:pPr>
              <w:spacing w:after="0"/>
              <w:rPr>
                <w:sz w:val="20"/>
                <w:szCs w:val="20"/>
                <w:color w:val="auto"/>
              </w:rPr>
            </w:pPr>
          </w:p>
        </w:tc>
        <w:tc>
          <w:tcPr>
            <w:tcW w:w="13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5"/>
              </w:rPr>
              <w:t>Mention</w:t>
            </w:r>
          </w:p>
        </w:tc>
        <w:tc>
          <w:tcPr>
            <w:tcW w:w="100" w:type="dxa"/>
            <w:vAlign w:val="bottom"/>
          </w:tcPr>
          <w:p>
            <w:pPr>
              <w:spacing w:after="0"/>
              <w:rPr>
                <w:sz w:val="20"/>
                <w:szCs w:val="20"/>
                <w:color w:val="auto"/>
              </w:rPr>
            </w:pPr>
          </w:p>
        </w:tc>
        <w:tc>
          <w:tcPr>
            <w:tcW w:w="1340" w:type="dxa"/>
            <w:vAlign w:val="bottom"/>
            <w:gridSpan w:val="2"/>
          </w:tcPr>
          <w:p>
            <w:pPr>
              <w:ind w:left="80"/>
              <w:spacing w:after="0"/>
              <w:rPr>
                <w:sz w:val="20"/>
                <w:szCs w:val="20"/>
                <w:color w:val="auto"/>
              </w:rPr>
            </w:pPr>
            <w:r>
              <w:rPr>
                <w:rFonts w:ascii="Arial" w:cs="Arial" w:eastAsia="Arial" w:hAnsi="Arial"/>
                <w:sz w:val="18"/>
                <w:szCs w:val="18"/>
                <w:b w:val="1"/>
                <w:bCs w:val="1"/>
                <w:color w:val="auto"/>
              </w:rPr>
              <w:t>Substandard</w:t>
            </w:r>
          </w:p>
        </w:tc>
        <w:tc>
          <w:tcPr>
            <w:tcW w:w="100" w:type="dxa"/>
            <w:vAlign w:val="bottom"/>
          </w:tcPr>
          <w:p>
            <w:pPr>
              <w:spacing w:after="0"/>
              <w:rPr>
                <w:sz w:val="20"/>
                <w:szCs w:val="20"/>
                <w:color w:val="auto"/>
              </w:rPr>
            </w:pPr>
          </w:p>
        </w:tc>
        <w:tc>
          <w:tcPr>
            <w:tcW w:w="1220" w:type="dxa"/>
            <w:vAlign w:val="bottom"/>
            <w:gridSpan w:val="2"/>
          </w:tcPr>
          <w:p>
            <w:pPr>
              <w:ind w:left="160"/>
              <w:spacing w:after="0"/>
              <w:rPr>
                <w:sz w:val="20"/>
                <w:szCs w:val="20"/>
                <w:color w:val="auto"/>
              </w:rPr>
            </w:pPr>
            <w:r>
              <w:rPr>
                <w:rFonts w:ascii="Arial" w:cs="Arial" w:eastAsia="Arial" w:hAnsi="Arial"/>
                <w:sz w:val="18"/>
                <w:szCs w:val="18"/>
                <w:b w:val="1"/>
                <w:bCs w:val="1"/>
                <w:color w:val="auto"/>
              </w:rPr>
              <w:t>Doubtful</w:t>
            </w:r>
          </w:p>
        </w:tc>
        <w:tc>
          <w:tcPr>
            <w:tcW w:w="100" w:type="dxa"/>
            <w:vAlign w:val="bottom"/>
          </w:tcPr>
          <w:p>
            <w:pPr>
              <w:spacing w:after="0"/>
              <w:rPr>
                <w:sz w:val="20"/>
                <w:szCs w:val="20"/>
                <w:color w:val="auto"/>
              </w:rPr>
            </w:pPr>
          </w:p>
        </w:tc>
        <w:tc>
          <w:tcPr>
            <w:tcW w:w="1460" w:type="dxa"/>
            <w:vAlign w:val="bottom"/>
            <w:gridSpan w:val="2"/>
          </w:tcPr>
          <w:p>
            <w:pPr>
              <w:ind w:left="60"/>
              <w:spacing w:after="0"/>
              <w:rPr>
                <w:sz w:val="20"/>
                <w:szCs w:val="20"/>
                <w:color w:val="auto"/>
              </w:rPr>
            </w:pPr>
            <w:r>
              <w:rPr>
                <w:rFonts w:ascii="Arial" w:cs="Arial" w:eastAsia="Arial" w:hAnsi="Arial"/>
                <w:sz w:val="18"/>
                <w:szCs w:val="18"/>
                <w:b w:val="1"/>
                <w:bCs w:val="1"/>
                <w:color w:val="auto"/>
              </w:rPr>
              <w:t>Unrecoverable</w:t>
            </w:r>
          </w:p>
        </w:tc>
        <w:tc>
          <w:tcPr>
            <w:tcW w:w="120" w:type="dxa"/>
            <w:vAlign w:val="bottom"/>
          </w:tcPr>
          <w:p>
            <w:pPr>
              <w:spacing w:after="0"/>
              <w:rPr>
                <w:sz w:val="20"/>
                <w:szCs w:val="20"/>
                <w:color w:val="auto"/>
              </w:rPr>
            </w:pPr>
          </w:p>
        </w:tc>
        <w:tc>
          <w:tcPr>
            <w:tcW w:w="1160" w:type="dxa"/>
            <w:vAlign w:val="bottom"/>
            <w:gridSpan w:val="3"/>
          </w:tcPr>
          <w:p>
            <w:pPr>
              <w:ind w:left="340"/>
              <w:spacing w:after="0"/>
              <w:rPr>
                <w:sz w:val="20"/>
                <w:szCs w:val="20"/>
                <w:color w:val="auto"/>
              </w:rPr>
            </w:pPr>
            <w:r>
              <w:rPr>
                <w:rFonts w:ascii="Arial" w:cs="Arial" w:eastAsia="Arial" w:hAnsi="Arial"/>
                <w:sz w:val="18"/>
                <w:szCs w:val="18"/>
                <w:b w:val="1"/>
                <w:bCs w:val="1"/>
                <w:color w:val="auto"/>
              </w:rPr>
              <w:t>Total</w:t>
            </w:r>
          </w:p>
        </w:tc>
      </w:tr>
      <w:tr>
        <w:trPr>
          <w:trHeight w:val="210"/>
        </w:trPr>
        <w:tc>
          <w:tcPr>
            <w:tcW w:w="2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2,487,859</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13,595</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ind w:left="1080"/>
              <w:spacing w:after="0"/>
              <w:rPr>
                <w:sz w:val="20"/>
                <w:szCs w:val="20"/>
                <w:color w:val="auto"/>
              </w:rPr>
            </w:pPr>
            <w:r>
              <w:rPr>
                <w:rFonts w:ascii="Arial" w:cs="Arial" w:eastAsia="Arial" w:hAnsi="Arial"/>
                <w:sz w:val="16"/>
                <w:szCs w:val="16"/>
                <w:color w:val="auto"/>
                <w:w w:val="74"/>
              </w:rPr>
              <w:t>-</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2,563,299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240" w:type="dxa"/>
            <w:vAlign w:val="bottom"/>
            <w:gridSpan w:val="2"/>
          </w:tcPr>
          <w:p>
            <w:pPr>
              <w:spacing w:after="0"/>
              <w:rPr>
                <w:sz w:val="20"/>
                <w:szCs w:val="20"/>
                <w:color w:val="auto"/>
              </w:rPr>
            </w:pPr>
            <w:r>
              <w:rPr>
                <w:rFonts w:ascii="Arial" w:cs="Arial" w:eastAsia="Arial" w:hAnsi="Arial"/>
                <w:sz w:val="18"/>
                <w:szCs w:val="18"/>
                <w:color w:val="auto"/>
              </w:rPr>
              <w:t>Financial Institutions:</w:t>
            </w:r>
          </w:p>
        </w:tc>
        <w:tc>
          <w:tcPr>
            <w:tcW w:w="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2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28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2,692,787</w:t>
            </w:r>
          </w:p>
        </w:tc>
        <w:tc>
          <w:tcPr>
            <w:tcW w:w="14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3"/>
            <w:shd w:val="clear" w:color="auto" w:fill="CCEEFF"/>
          </w:tcPr>
          <w:p>
            <w:pPr>
              <w:ind w:left="1180"/>
              <w:spacing w:after="0"/>
              <w:rPr>
                <w:sz w:val="20"/>
                <w:szCs w:val="20"/>
                <w:color w:val="auto"/>
              </w:rPr>
            </w:pPr>
            <w:r>
              <w:rPr>
                <w:rFonts w:ascii="Arial" w:cs="Arial" w:eastAsia="Arial" w:hAnsi="Arial"/>
                <w:sz w:val="18"/>
                <w:szCs w:val="18"/>
                <w:color w:val="auto"/>
              </w:rPr>
              <w:t>-</w:t>
            </w:r>
          </w:p>
        </w:tc>
        <w:tc>
          <w:tcPr>
            <w:tcW w:w="13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2,692,787</w:t>
            </w:r>
          </w:p>
        </w:tc>
        <w:tc>
          <w:tcPr>
            <w:tcW w:w="80" w:type="dxa"/>
            <w:vAlign w:val="bottom"/>
            <w:shd w:val="clear" w:color="auto" w:fill="CCEEFF"/>
          </w:tcPr>
          <w:p>
            <w:pPr>
              <w:spacing w:after="0"/>
              <w:rPr>
                <w:sz w:val="18"/>
                <w:szCs w:val="18"/>
                <w:color w:val="auto"/>
              </w:rPr>
            </w:pPr>
          </w:p>
        </w:tc>
      </w:tr>
      <w:tr>
        <w:trPr>
          <w:trHeight w:val="229"/>
        </w:trPr>
        <w:tc>
          <w:tcPr>
            <w:tcW w:w="2240" w:type="dxa"/>
            <w:vAlign w:val="bottom"/>
            <w:gridSpan w:val="2"/>
          </w:tcPr>
          <w:p>
            <w:pPr>
              <w:ind w:left="160"/>
              <w:spacing w:after="0"/>
              <w:rPr>
                <w:sz w:val="20"/>
                <w:szCs w:val="20"/>
                <w:color w:val="auto"/>
              </w:rPr>
            </w:pPr>
            <w:r>
              <w:rPr>
                <w:rFonts w:ascii="Arial" w:cs="Arial" w:eastAsia="Arial" w:hAnsi="Arial"/>
                <w:sz w:val="18"/>
                <w:szCs w:val="18"/>
                <w:color w:val="auto"/>
              </w:rPr>
              <w:t>State-owned</w:t>
            </w:r>
          </w:p>
        </w:tc>
        <w:tc>
          <w:tcPr>
            <w:tcW w:w="1280" w:type="dxa"/>
            <w:vAlign w:val="bottom"/>
            <w:gridSpan w:val="3"/>
          </w:tcPr>
          <w:p>
            <w:pPr>
              <w:jc w:val="right"/>
              <w:ind w:right="180"/>
              <w:spacing w:after="0"/>
              <w:rPr>
                <w:sz w:val="20"/>
                <w:szCs w:val="20"/>
                <w:color w:val="auto"/>
              </w:rPr>
            </w:pPr>
            <w:r>
              <w:rPr>
                <w:rFonts w:ascii="Arial" w:cs="Arial" w:eastAsia="Arial" w:hAnsi="Arial"/>
                <w:sz w:val="18"/>
                <w:szCs w:val="18"/>
                <w:color w:val="auto"/>
              </w:rPr>
              <w:t>589,690</w:t>
            </w:r>
          </w:p>
        </w:tc>
        <w:tc>
          <w:tcPr>
            <w:tcW w:w="142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3"/>
          </w:tcPr>
          <w:p>
            <w:pPr>
              <w:ind w:left="1180"/>
              <w:spacing w:after="0"/>
              <w:rPr>
                <w:sz w:val="20"/>
                <w:szCs w:val="20"/>
                <w:color w:val="auto"/>
              </w:rPr>
            </w:pPr>
            <w:r>
              <w:rPr>
                <w:rFonts w:ascii="Arial" w:cs="Arial" w:eastAsia="Arial" w:hAnsi="Arial"/>
                <w:sz w:val="18"/>
                <w:szCs w:val="18"/>
                <w:color w:val="auto"/>
              </w:rPr>
              <w:t>-</w:t>
            </w:r>
          </w:p>
        </w:tc>
        <w:tc>
          <w:tcPr>
            <w:tcW w:w="132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3"/>
          </w:tcPr>
          <w:p>
            <w:pPr>
              <w:jc w:val="right"/>
              <w:ind w:right="20"/>
              <w:spacing w:after="0"/>
              <w:rPr>
                <w:sz w:val="20"/>
                <w:szCs w:val="20"/>
                <w:color w:val="auto"/>
              </w:rPr>
            </w:pPr>
            <w:r>
              <w:rPr>
                <w:rFonts w:ascii="Arial" w:cs="Arial" w:eastAsia="Arial" w:hAnsi="Arial"/>
                <w:sz w:val="18"/>
                <w:szCs w:val="18"/>
                <w:color w:val="auto"/>
              </w:rPr>
              <w:t>589,690</w:t>
            </w:r>
          </w:p>
        </w:tc>
        <w:tc>
          <w:tcPr>
            <w:tcW w:w="80" w:type="dxa"/>
            <w:vAlign w:val="bottom"/>
          </w:tcPr>
          <w:p>
            <w:pPr>
              <w:spacing w:after="0"/>
              <w:rPr>
                <w:sz w:val="19"/>
                <w:szCs w:val="19"/>
                <w:color w:val="auto"/>
              </w:rPr>
            </w:pPr>
          </w:p>
        </w:tc>
      </w:tr>
      <w:tr>
        <w:trPr>
          <w:trHeight w:val="210"/>
        </w:trPr>
        <w:tc>
          <w:tcPr>
            <w:tcW w:w="2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3,282,477</w:t>
            </w: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gridSpan w:val="2"/>
            <w:shd w:val="clear" w:color="auto" w:fill="CCEEFF"/>
          </w:tcPr>
          <w:p>
            <w:pPr>
              <w:ind w:left="1180"/>
              <w:spacing w:after="0"/>
              <w:rPr>
                <w:sz w:val="20"/>
                <w:szCs w:val="20"/>
                <w:color w:val="auto"/>
              </w:rPr>
            </w:pPr>
            <w:r>
              <w:rPr>
                <w:rFonts w:ascii="Arial" w:cs="Arial" w:eastAsia="Arial" w:hAnsi="Arial"/>
                <w:sz w:val="16"/>
                <w:szCs w:val="16"/>
                <w:color w:val="auto"/>
                <w:w w:val="74"/>
              </w:rPr>
              <w:t>-</w:t>
            </w:r>
          </w:p>
        </w:tc>
        <w:tc>
          <w:tcPr>
            <w:tcW w:w="2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3,282,477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09"/>
        </w:trPr>
        <w:tc>
          <w:tcPr>
            <w:tcW w:w="22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Sovereign</w:t>
            </w:r>
          </w:p>
        </w:tc>
        <w:tc>
          <w:tcPr>
            <w:tcW w:w="11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47,221</w:t>
            </w:r>
          </w:p>
        </w:tc>
        <w:tc>
          <w:tcPr>
            <w:tcW w:w="18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gridSpan w:val="2"/>
          </w:tcPr>
          <w:p>
            <w:pPr>
              <w:ind w:left="1180"/>
              <w:spacing w:after="0"/>
              <w:rPr>
                <w:sz w:val="20"/>
                <w:szCs w:val="20"/>
                <w:color w:val="auto"/>
              </w:rPr>
            </w:pPr>
            <w:r>
              <w:rPr>
                <w:rFonts w:ascii="Arial" w:cs="Arial" w:eastAsia="Arial" w:hAnsi="Arial"/>
                <w:sz w:val="16"/>
                <w:szCs w:val="16"/>
                <w:color w:val="auto"/>
                <w:w w:val="74"/>
              </w:rPr>
              <w:t>-</w:t>
            </w:r>
          </w:p>
        </w:tc>
        <w:tc>
          <w:tcPr>
            <w:tcW w:w="20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47,221</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23"/>
        </w:trPr>
        <w:tc>
          <w:tcPr>
            <w:tcW w:w="22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5,817,557</w:t>
            </w:r>
          </w:p>
        </w:tc>
        <w:tc>
          <w:tcPr>
            <w:tcW w:w="18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13,595</w:t>
            </w:r>
          </w:p>
        </w:tc>
        <w:tc>
          <w:tcPr>
            <w:tcW w:w="18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gridSpan w:val="2"/>
            <w:shd w:val="clear" w:color="auto" w:fill="CCEEFF"/>
          </w:tcPr>
          <w:p>
            <w:pPr>
              <w:ind w:left="118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3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20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r>
      <w:tr>
        <w:trPr>
          <w:trHeight w:val="20"/>
        </w:trPr>
        <w:tc>
          <w:tcPr>
            <w:tcW w:w="2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2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2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for loan</w:t>
            </w:r>
          </w:p>
        </w:tc>
        <w:tc>
          <w:tcPr>
            <w:tcW w:w="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83"/>
        </w:trPr>
        <w:tc>
          <w:tcPr>
            <w:tcW w:w="2240" w:type="dxa"/>
            <w:vAlign w:val="bottom"/>
            <w:gridSpan w:val="2"/>
          </w:tcPr>
          <w:p>
            <w:pPr>
              <w:spacing w:after="0" w:line="284" w:lineRule="exact"/>
              <w:rPr>
                <w:sz w:val="20"/>
                <w:szCs w:val="20"/>
                <w:color w:val="auto"/>
              </w:rPr>
            </w:pPr>
            <w:r>
              <w:rPr>
                <w:rFonts w:ascii="Arial" w:cs="Arial" w:eastAsia="Arial" w:hAnsi="Arial"/>
                <w:sz w:val="18"/>
                <w:szCs w:val="18"/>
                <w:color w:val="auto"/>
              </w:rPr>
              <w:t xml:space="preserve">losses IFRS </w:t>
            </w:r>
            <w:r>
              <w:rPr>
                <w:rFonts w:ascii="Arial" w:cs="Arial" w:eastAsia="Arial" w:hAnsi="Arial"/>
                <w:sz w:val="29"/>
                <w:szCs w:val="29"/>
                <w:color w:val="auto"/>
                <w:vertAlign w:val="superscript"/>
              </w:rPr>
              <w:t>(*)</w:t>
            </w:r>
            <w:r>
              <w:rPr>
                <w:rFonts w:ascii="Arial" w:cs="Arial" w:eastAsia="Arial" w:hAnsi="Arial"/>
                <w:sz w:val="18"/>
                <w:szCs w:val="18"/>
                <w:color w:val="auto"/>
              </w:rPr>
              <w:t>:</w:t>
            </w:r>
          </w:p>
        </w:tc>
        <w:tc>
          <w:tcPr>
            <w:tcW w:w="128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42,396</w:t>
            </w:r>
          </w:p>
        </w:tc>
        <w:tc>
          <w:tcPr>
            <w:tcW w:w="142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2,338</w:t>
            </w:r>
          </w:p>
        </w:tc>
        <w:tc>
          <w:tcPr>
            <w:tcW w:w="1440" w:type="dxa"/>
            <w:vAlign w:val="bottom"/>
            <w:gridSpan w:val="3"/>
          </w:tcPr>
          <w:p>
            <w:pPr>
              <w:ind w:left="1180"/>
              <w:spacing w:after="0"/>
              <w:rPr>
                <w:sz w:val="20"/>
                <w:szCs w:val="20"/>
                <w:color w:val="auto"/>
              </w:rPr>
            </w:pPr>
            <w:r>
              <w:rPr>
                <w:rFonts w:ascii="Arial" w:cs="Arial" w:eastAsia="Arial" w:hAnsi="Arial"/>
                <w:sz w:val="18"/>
                <w:szCs w:val="18"/>
                <w:b w:val="1"/>
                <w:bCs w:val="1"/>
                <w:color w:val="auto"/>
              </w:rPr>
              <w:t>-</w:t>
            </w:r>
          </w:p>
        </w:tc>
        <w:tc>
          <w:tcPr>
            <w:tcW w:w="132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w:t>
            </w:r>
          </w:p>
        </w:tc>
        <w:tc>
          <w:tcPr>
            <w:tcW w:w="1560" w:type="dxa"/>
            <w:vAlign w:val="bottom"/>
            <w:gridSpan w:val="3"/>
          </w:tcPr>
          <w:p>
            <w:pPr>
              <w:jc w:val="right"/>
              <w:ind w:right="200"/>
              <w:spacing w:after="0"/>
              <w:rPr>
                <w:sz w:val="20"/>
                <w:szCs w:val="20"/>
                <w:color w:val="auto"/>
              </w:rPr>
            </w:pPr>
            <w:r>
              <w:rPr>
                <w:rFonts w:ascii="Arial" w:cs="Arial" w:eastAsia="Arial" w:hAnsi="Arial"/>
                <w:sz w:val="18"/>
                <w:szCs w:val="18"/>
                <w:b w:val="1"/>
                <w:bCs w:val="1"/>
                <w:color w:val="auto"/>
              </w:rPr>
              <w:t>54,573</w:t>
            </w:r>
          </w:p>
        </w:tc>
        <w:tc>
          <w:tcPr>
            <w:tcW w:w="1200" w:type="dxa"/>
            <w:vAlign w:val="bottom"/>
            <w:gridSpan w:val="3"/>
          </w:tcPr>
          <w:p>
            <w:pPr>
              <w:jc w:val="right"/>
              <w:ind w:right="20"/>
              <w:spacing w:after="0"/>
              <w:rPr>
                <w:sz w:val="20"/>
                <w:szCs w:val="20"/>
                <w:color w:val="auto"/>
              </w:rPr>
            </w:pPr>
            <w:r>
              <w:rPr>
                <w:rFonts w:ascii="Arial" w:cs="Arial" w:eastAsia="Arial" w:hAnsi="Arial"/>
                <w:sz w:val="18"/>
                <w:szCs w:val="18"/>
                <w:b w:val="1"/>
                <w:bCs w:val="1"/>
                <w:color w:val="auto"/>
              </w:rPr>
              <w:t>99,307</w:t>
            </w:r>
          </w:p>
        </w:tc>
        <w:tc>
          <w:tcPr>
            <w:tcW w:w="80" w:type="dxa"/>
            <w:vAlign w:val="bottom"/>
          </w:tcPr>
          <w:p>
            <w:pPr>
              <w:spacing w:after="0"/>
              <w:rPr>
                <w:sz w:val="24"/>
                <w:szCs w:val="24"/>
                <w:color w:val="auto"/>
              </w:rPr>
            </w:pPr>
          </w:p>
        </w:tc>
      </w:tr>
      <w:tr>
        <w:trPr>
          <w:trHeight w:val="20"/>
        </w:trPr>
        <w:tc>
          <w:tcPr>
            <w:tcW w:w="2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2020, and 2019, there are no restructured loans.</w:t>
      </w:r>
    </w:p>
    <w:p>
      <w:pPr>
        <w:spacing w:after="0" w:line="266" w:lineRule="exact"/>
        <w:rPr>
          <w:sz w:val="20"/>
          <w:szCs w:val="20"/>
          <w:color w:val="auto"/>
        </w:rPr>
      </w:pPr>
    </w:p>
    <w:p>
      <w:pPr>
        <w:ind w:left="340" w:hanging="8"/>
        <w:spacing w:after="0" w:line="194" w:lineRule="auto"/>
        <w:tabs>
          <w:tab w:leader="none" w:pos="552" w:val="left"/>
        </w:tabs>
        <w:numPr>
          <w:ilvl w:val="0"/>
          <w:numId w:val="291"/>
        </w:numPr>
        <w:rPr>
          <w:rFonts w:ascii="Arial" w:cs="Arial" w:eastAsia="Arial" w:hAnsi="Arial"/>
          <w:sz w:val="30"/>
          <w:szCs w:val="30"/>
          <w:color w:val="auto"/>
          <w:vertAlign w:val="superscript"/>
        </w:rPr>
      </w:pPr>
      <w:r>
        <w:rPr>
          <w:rFonts w:ascii="Arial" w:cs="Arial" w:eastAsia="Arial" w:hAnsi="Arial"/>
          <w:sz w:val="18"/>
          <w:szCs w:val="18"/>
          <w:color w:val="auto"/>
        </w:rPr>
        <w:t>As of December 31, 2020, and 2019, there is no excess in the specific provision calculated in accordance with Agreement No. 8-2014 of the SBP, over the provision calculated in accordance with IFRS.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78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2020</w:t>
            </w:r>
          </w:p>
        </w:tc>
        <w:tc>
          <w:tcPr>
            <w:tcW w:w="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140" w:type="dxa"/>
            <w:vAlign w:val="bottom"/>
            <w:gridSpan w:val="2"/>
          </w:tcPr>
          <w:p>
            <w:pPr>
              <w:jc w:val="center"/>
              <w:ind w:right="460"/>
              <w:spacing w:after="0" w:line="191" w:lineRule="exact"/>
              <w:rPr>
                <w:sz w:val="20"/>
                <w:szCs w:val="20"/>
                <w:color w:val="auto"/>
              </w:rPr>
            </w:pPr>
            <w:r>
              <w:rPr>
                <w:rFonts w:ascii="Arial" w:cs="Arial" w:eastAsia="Arial" w:hAnsi="Arial"/>
                <w:sz w:val="18"/>
                <w:szCs w:val="18"/>
                <w:b w:val="1"/>
                <w:bCs w:val="1"/>
                <w:color w:val="auto"/>
                <w:w w:val="88"/>
              </w:rPr>
              <w:t>Special</w:t>
            </w: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b w:val="1"/>
                <w:bCs w:val="1"/>
                <w:color w:val="auto"/>
                <w:w w:val="99"/>
              </w:rPr>
              <w:t>Loans at amortized cost</w:t>
            </w:r>
          </w:p>
        </w:tc>
        <w:tc>
          <w:tcPr>
            <w:tcW w:w="1600" w:type="dxa"/>
            <w:vAlign w:val="bottom"/>
            <w:gridSpan w:val="3"/>
          </w:tcPr>
          <w:p>
            <w:pPr>
              <w:ind w:left="280"/>
              <w:spacing w:after="0"/>
              <w:rPr>
                <w:sz w:val="20"/>
                <w:szCs w:val="20"/>
                <w:color w:val="auto"/>
              </w:rPr>
            </w:pPr>
            <w:r>
              <w:rPr>
                <w:rFonts w:ascii="Arial" w:cs="Arial" w:eastAsia="Arial" w:hAnsi="Arial"/>
                <w:sz w:val="18"/>
                <w:szCs w:val="18"/>
                <w:b w:val="1"/>
                <w:bCs w:val="1"/>
                <w:color w:val="auto"/>
              </w:rPr>
              <w:t>Normal</w:t>
            </w:r>
          </w:p>
        </w:tc>
        <w:tc>
          <w:tcPr>
            <w:tcW w:w="1140" w:type="dxa"/>
            <w:vAlign w:val="bottom"/>
            <w:gridSpan w:val="2"/>
          </w:tcPr>
          <w:p>
            <w:pPr>
              <w:jc w:val="center"/>
              <w:ind w:right="460"/>
              <w:spacing w:after="0"/>
              <w:rPr>
                <w:sz w:val="20"/>
                <w:szCs w:val="20"/>
                <w:color w:val="auto"/>
              </w:rPr>
            </w:pPr>
            <w:r>
              <w:rPr>
                <w:rFonts w:ascii="Arial" w:cs="Arial" w:eastAsia="Arial" w:hAnsi="Arial"/>
                <w:sz w:val="18"/>
                <w:szCs w:val="18"/>
                <w:b w:val="1"/>
                <w:bCs w:val="1"/>
                <w:color w:val="auto"/>
                <w:w w:val="92"/>
              </w:rPr>
              <w:t>Mention</w:t>
            </w:r>
          </w:p>
        </w:tc>
        <w:tc>
          <w:tcPr>
            <w:tcW w:w="1460" w:type="dxa"/>
            <w:vAlign w:val="bottom"/>
            <w:gridSpan w:val="2"/>
          </w:tcPr>
          <w:p>
            <w:pPr>
              <w:ind w:left="140"/>
              <w:spacing w:after="0"/>
              <w:rPr>
                <w:sz w:val="20"/>
                <w:szCs w:val="20"/>
                <w:color w:val="auto"/>
              </w:rPr>
            </w:pPr>
            <w:r>
              <w:rPr>
                <w:rFonts w:ascii="Arial" w:cs="Arial" w:eastAsia="Arial" w:hAnsi="Arial"/>
                <w:sz w:val="18"/>
                <w:szCs w:val="18"/>
                <w:b w:val="1"/>
                <w:bCs w:val="1"/>
                <w:color w:val="auto"/>
              </w:rPr>
              <w:t>Substandard</w:t>
            </w:r>
          </w:p>
        </w:tc>
        <w:tc>
          <w:tcPr>
            <w:tcW w:w="1320" w:type="dxa"/>
            <w:vAlign w:val="bottom"/>
            <w:gridSpan w:val="2"/>
          </w:tcPr>
          <w:p>
            <w:pPr>
              <w:ind w:left="220"/>
              <w:spacing w:after="0"/>
              <w:rPr>
                <w:sz w:val="20"/>
                <w:szCs w:val="20"/>
                <w:color w:val="auto"/>
              </w:rPr>
            </w:pPr>
            <w:r>
              <w:rPr>
                <w:rFonts w:ascii="Arial" w:cs="Arial" w:eastAsia="Arial" w:hAnsi="Arial"/>
                <w:sz w:val="18"/>
                <w:szCs w:val="18"/>
                <w:b w:val="1"/>
                <w:bCs w:val="1"/>
                <w:color w:val="auto"/>
              </w:rPr>
              <w:t>Doubtful</w:t>
            </w:r>
          </w:p>
        </w:tc>
        <w:tc>
          <w:tcPr>
            <w:tcW w:w="20" w:type="dxa"/>
            <w:vAlign w:val="bottom"/>
          </w:tcPr>
          <w:p>
            <w:pPr>
              <w:spacing w:after="0"/>
              <w:rPr>
                <w:sz w:val="20"/>
                <w:szCs w:val="20"/>
                <w:color w:val="auto"/>
              </w:rPr>
            </w:pPr>
          </w:p>
        </w:tc>
        <w:tc>
          <w:tcPr>
            <w:tcW w:w="148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Unrecoverable</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Borders>
              <w:top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30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2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2019</w:t>
            </w:r>
          </w:p>
        </w:tc>
        <w:tc>
          <w:tcPr>
            <w:tcW w:w="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140" w:type="dxa"/>
            <w:vAlign w:val="bottom"/>
            <w:gridSpan w:val="2"/>
          </w:tcPr>
          <w:p>
            <w:pPr>
              <w:jc w:val="center"/>
              <w:ind w:right="460"/>
              <w:spacing w:after="0" w:line="191" w:lineRule="exact"/>
              <w:rPr>
                <w:sz w:val="20"/>
                <w:szCs w:val="20"/>
                <w:color w:val="auto"/>
              </w:rPr>
            </w:pPr>
            <w:r>
              <w:rPr>
                <w:rFonts w:ascii="Arial" w:cs="Arial" w:eastAsia="Arial" w:hAnsi="Arial"/>
                <w:sz w:val="18"/>
                <w:szCs w:val="18"/>
                <w:b w:val="1"/>
                <w:bCs w:val="1"/>
                <w:color w:val="auto"/>
                <w:w w:val="88"/>
              </w:rPr>
              <w:t>Special</w:t>
            </w: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b w:val="1"/>
                <w:bCs w:val="1"/>
                <w:color w:val="auto"/>
                <w:w w:val="99"/>
              </w:rPr>
              <w:t>Loans at amortized cost</w:t>
            </w:r>
          </w:p>
        </w:tc>
        <w:tc>
          <w:tcPr>
            <w:tcW w:w="1600" w:type="dxa"/>
            <w:vAlign w:val="bottom"/>
            <w:gridSpan w:val="3"/>
          </w:tcPr>
          <w:p>
            <w:pPr>
              <w:ind w:left="280"/>
              <w:spacing w:after="0"/>
              <w:rPr>
                <w:sz w:val="20"/>
                <w:szCs w:val="20"/>
                <w:color w:val="auto"/>
              </w:rPr>
            </w:pPr>
            <w:r>
              <w:rPr>
                <w:rFonts w:ascii="Arial" w:cs="Arial" w:eastAsia="Arial" w:hAnsi="Arial"/>
                <w:sz w:val="18"/>
                <w:szCs w:val="18"/>
                <w:b w:val="1"/>
                <w:bCs w:val="1"/>
                <w:color w:val="auto"/>
              </w:rPr>
              <w:t>Normal</w:t>
            </w:r>
          </w:p>
        </w:tc>
        <w:tc>
          <w:tcPr>
            <w:tcW w:w="1140" w:type="dxa"/>
            <w:vAlign w:val="bottom"/>
            <w:gridSpan w:val="2"/>
          </w:tcPr>
          <w:p>
            <w:pPr>
              <w:jc w:val="center"/>
              <w:ind w:right="460"/>
              <w:spacing w:after="0"/>
              <w:rPr>
                <w:sz w:val="20"/>
                <w:szCs w:val="20"/>
                <w:color w:val="auto"/>
              </w:rPr>
            </w:pPr>
            <w:r>
              <w:rPr>
                <w:rFonts w:ascii="Arial" w:cs="Arial" w:eastAsia="Arial" w:hAnsi="Arial"/>
                <w:sz w:val="18"/>
                <w:szCs w:val="18"/>
                <w:b w:val="1"/>
                <w:bCs w:val="1"/>
                <w:color w:val="auto"/>
                <w:w w:val="92"/>
              </w:rPr>
              <w:t>Mention</w:t>
            </w:r>
          </w:p>
        </w:tc>
        <w:tc>
          <w:tcPr>
            <w:tcW w:w="1460" w:type="dxa"/>
            <w:vAlign w:val="bottom"/>
            <w:gridSpan w:val="2"/>
          </w:tcPr>
          <w:p>
            <w:pPr>
              <w:ind w:left="140"/>
              <w:spacing w:after="0"/>
              <w:rPr>
                <w:sz w:val="20"/>
                <w:szCs w:val="20"/>
                <w:color w:val="auto"/>
              </w:rPr>
            </w:pPr>
            <w:r>
              <w:rPr>
                <w:rFonts w:ascii="Arial" w:cs="Arial" w:eastAsia="Arial" w:hAnsi="Arial"/>
                <w:sz w:val="18"/>
                <w:szCs w:val="18"/>
                <w:b w:val="1"/>
                <w:bCs w:val="1"/>
                <w:color w:val="auto"/>
              </w:rPr>
              <w:t>Substandard</w:t>
            </w:r>
          </w:p>
        </w:tc>
        <w:tc>
          <w:tcPr>
            <w:tcW w:w="1320" w:type="dxa"/>
            <w:vAlign w:val="bottom"/>
            <w:gridSpan w:val="2"/>
          </w:tcPr>
          <w:p>
            <w:pPr>
              <w:ind w:left="220"/>
              <w:spacing w:after="0"/>
              <w:rPr>
                <w:sz w:val="20"/>
                <w:szCs w:val="20"/>
                <w:color w:val="auto"/>
              </w:rPr>
            </w:pPr>
            <w:r>
              <w:rPr>
                <w:rFonts w:ascii="Arial" w:cs="Arial" w:eastAsia="Arial" w:hAnsi="Arial"/>
                <w:sz w:val="18"/>
                <w:szCs w:val="18"/>
                <w:b w:val="1"/>
                <w:bCs w:val="1"/>
                <w:color w:val="auto"/>
              </w:rPr>
              <w:t>Doubtful</w:t>
            </w:r>
          </w:p>
        </w:tc>
        <w:tc>
          <w:tcPr>
            <w:tcW w:w="20" w:type="dxa"/>
            <w:vAlign w:val="bottom"/>
          </w:tcPr>
          <w:p>
            <w:pPr>
              <w:spacing w:after="0"/>
              <w:rPr>
                <w:sz w:val="20"/>
                <w:szCs w:val="20"/>
                <w:color w:val="auto"/>
              </w:rPr>
            </w:pPr>
          </w:p>
        </w:tc>
        <w:tc>
          <w:tcPr>
            <w:tcW w:w="148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Unrecoverable</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280" w:type="dxa"/>
            <w:vAlign w:val="bottom"/>
            <w:tcBorders>
              <w:top w:val="single" w:sz="8" w:color="auto"/>
              <w:bottom w:val="single" w:sz="8" w:color="auto"/>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00" w:type="dxa"/>
            <w:vAlign w:val="bottom"/>
            <w:tcBorders>
              <w:top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30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340" w:type="dxa"/>
            <w:vAlign w:val="bottom"/>
          </w:tcPr>
          <w:p>
            <w:pPr>
              <w:spacing w:after="0"/>
              <w:rPr>
                <w:sz w:val="24"/>
                <w:szCs w:val="24"/>
                <w:color w:val="auto"/>
              </w:rPr>
            </w:pPr>
          </w:p>
        </w:tc>
        <w:tc>
          <w:tcPr>
            <w:tcW w:w="2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80" w:type="dxa"/>
            <w:vAlign w:val="bottom"/>
            <w:gridSpan w:val="4"/>
          </w:tcPr>
          <w:p>
            <w:pPr>
              <w:jc w:val="center"/>
              <w:ind w:right="280"/>
              <w:spacing w:after="0"/>
              <w:rPr>
                <w:sz w:val="20"/>
                <w:szCs w:val="20"/>
                <w:color w:val="auto"/>
              </w:rPr>
            </w:pPr>
            <w:r>
              <w:rPr>
                <w:rFonts w:ascii="Arial" w:cs="Arial" w:eastAsia="Arial" w:hAnsi="Arial"/>
                <w:sz w:val="18"/>
                <w:szCs w:val="18"/>
                <w:b w:val="1"/>
                <w:bCs w:val="1"/>
                <w:color w:val="auto"/>
                <w:w w:val="88"/>
              </w:rPr>
              <w:t>December 31,</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0"/>
              </w:rPr>
              <w:t>December 31,</w:t>
            </w: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1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2020</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8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2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2240" w:type="dxa"/>
            <w:vAlign w:val="bottom"/>
            <w:gridSpan w:val="2"/>
          </w:tcPr>
          <w:p>
            <w:pPr>
              <w:ind w:left="160"/>
              <w:spacing w:after="0"/>
              <w:rPr>
                <w:sz w:val="20"/>
                <w:szCs w:val="20"/>
                <w:color w:val="auto"/>
              </w:rPr>
            </w:pPr>
            <w:r>
              <w:rPr>
                <w:rFonts w:ascii="Arial" w:cs="Arial" w:eastAsia="Arial" w:hAnsi="Arial"/>
                <w:sz w:val="18"/>
                <w:szCs w:val="18"/>
                <w:color w:val="auto"/>
              </w:rPr>
              <w:t>Private corporations</w:t>
            </w:r>
          </w:p>
        </w:tc>
        <w:tc>
          <w:tcPr>
            <w:tcW w:w="1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00" w:type="dxa"/>
            <w:vAlign w:val="bottom"/>
            <w:gridSpan w:val="3"/>
          </w:tcPr>
          <w:p>
            <w:pPr>
              <w:jc w:val="right"/>
              <w:ind w:right="60"/>
              <w:spacing w:after="0"/>
              <w:rPr>
                <w:sz w:val="20"/>
                <w:szCs w:val="20"/>
                <w:color w:val="auto"/>
              </w:rPr>
            </w:pPr>
            <w:r>
              <w:rPr>
                <w:rFonts w:ascii="Arial" w:cs="Arial" w:eastAsia="Arial" w:hAnsi="Arial"/>
                <w:sz w:val="18"/>
                <w:szCs w:val="18"/>
                <w:color w:val="auto"/>
              </w:rPr>
              <w:t>10,593</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22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1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40" w:type="dxa"/>
            <w:vAlign w:val="bottom"/>
            <w:gridSpan w:val="9"/>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80" w:type="dxa"/>
            <w:vAlign w:val="bottom"/>
            <w:gridSpan w:val="2"/>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21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6440" w:type="dxa"/>
            <w:vAlign w:val="bottom"/>
            <w:gridSpan w:val="9"/>
            <w:shd w:val="clear" w:color="auto" w:fill="CCEEFF"/>
          </w:tcPr>
          <w:p>
            <w:pPr>
              <w:spacing w:after="0"/>
              <w:rPr>
                <w:sz w:val="20"/>
                <w:szCs w:val="20"/>
                <w:color w:val="auto"/>
              </w:rPr>
            </w:pPr>
            <w:r>
              <w:rPr>
                <w:rFonts w:ascii="Arial" w:cs="Arial" w:eastAsia="Arial" w:hAnsi="Arial"/>
                <w:sz w:val="18"/>
                <w:szCs w:val="18"/>
                <w:color w:val="auto"/>
                <w:w w:val="94"/>
              </w:rPr>
              <w:t>Interest that would be reversed if the loans had been classified as non-accruing loans</w:t>
            </w:r>
          </w:p>
        </w:tc>
        <w:tc>
          <w:tcPr>
            <w:tcW w:w="1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351</w:t>
            </w: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1,379</w:t>
            </w: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840" w:type="dxa"/>
            <w:vAlign w:val="bottom"/>
            <w:gridSpan w:val="5"/>
          </w:tcPr>
          <w:p>
            <w:pPr>
              <w:spacing w:after="0"/>
              <w:rPr>
                <w:sz w:val="20"/>
                <w:szCs w:val="20"/>
                <w:color w:val="auto"/>
              </w:rPr>
            </w:pPr>
            <w:r>
              <w:rPr>
                <w:rFonts w:ascii="Arial" w:cs="Arial" w:eastAsia="Arial" w:hAnsi="Arial"/>
                <w:sz w:val="18"/>
                <w:szCs w:val="18"/>
                <w:color w:val="auto"/>
                <w:w w:val="90"/>
              </w:rPr>
              <w:t>Income from collected interest on non-accruing loans</w:t>
            </w:r>
          </w:p>
        </w:tc>
        <w:tc>
          <w:tcPr>
            <w:tcW w:w="9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631</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60" w:type="dxa"/>
            <w:vAlign w:val="bottom"/>
            <w:gridSpan w:val="2"/>
            <w:vMerge w:val="restart"/>
          </w:tcPr>
          <w:p>
            <w:pPr>
              <w:ind w:left="80"/>
              <w:spacing w:after="0"/>
              <w:rPr>
                <w:sz w:val="20"/>
                <w:szCs w:val="20"/>
                <w:color w:val="auto"/>
              </w:rPr>
            </w:pPr>
            <w:r>
              <w:rPr>
                <w:rFonts w:ascii="Arial" w:cs="Arial" w:eastAsia="Arial" w:hAnsi="Arial"/>
                <w:sz w:val="18"/>
                <w:szCs w:val="18"/>
                <w:color w:val="auto"/>
              </w:rPr>
              <w:t>F-124</w:t>
            </w:r>
          </w:p>
        </w:tc>
        <w:tc>
          <w:tcPr>
            <w:tcW w:w="1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688" w:right="339" w:bottom="1440" w:gutter="0" w:footer="0" w:header="0"/>
        </w:sectPr>
      </w:pPr>
    </w:p>
    <w:bookmarkStart w:id="260" w:name="page261"/>
    <w:bookmarkEnd w:id="2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right="7540" w:hanging="332"/>
        <w:spacing w:after="0" w:line="566" w:lineRule="auto"/>
        <w:tabs>
          <w:tab w:leader="none" w:pos="340" w:val="left"/>
        </w:tabs>
        <w:numPr>
          <w:ilvl w:val="0"/>
          <w:numId w:val="29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Credit risk coverage - dynamic provision</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SBP by means of Rule No. 4-2013, establishes the compulsory constitution of a dynamic provision in addition to the specific credit provision as part of the total provisions for the credit risk coverage.</w:t>
      </w:r>
    </w:p>
    <w:p>
      <w:pPr>
        <w:spacing w:after="0" w:line="170" w:lineRule="exact"/>
        <w:rPr>
          <w:rFonts w:ascii="Arial" w:cs="Arial" w:eastAsia="Arial" w:hAnsi="Arial"/>
          <w:sz w:val="16"/>
          <w:szCs w:val="16"/>
          <w:b w:val="1"/>
          <w:bCs w:val="1"/>
          <w:color w:val="auto"/>
        </w:rPr>
      </w:pP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SBP.</w:t>
      </w:r>
    </w:p>
    <w:p>
      <w:pPr>
        <w:spacing w:after="0" w:line="170"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Modified Special Mention loans</w:t>
      </w:r>
    </w:p>
    <w:p>
      <w:pPr>
        <w:spacing w:after="0" w:line="225" w:lineRule="exact"/>
        <w:rPr>
          <w:rFonts w:ascii="Arial" w:cs="Arial" w:eastAsia="Arial" w:hAnsi="Arial"/>
          <w:sz w:val="16"/>
          <w:szCs w:val="16"/>
          <w:b w:val="1"/>
          <w:bCs w:val="1"/>
          <w:color w:val="auto"/>
        </w:rPr>
      </w:pPr>
    </w:p>
    <w:p>
      <w:pPr>
        <w:jc w:val="both"/>
        <w:ind w:left="340"/>
        <w:spacing w:after="0" w:line="275" w:lineRule="auto"/>
        <w:rPr>
          <w:rFonts w:ascii="Arial" w:cs="Arial" w:eastAsia="Arial" w:hAnsi="Arial"/>
          <w:sz w:val="16"/>
          <w:szCs w:val="16"/>
          <w:b w:val="1"/>
          <w:bCs w:val="1"/>
          <w:color w:val="auto"/>
        </w:rPr>
      </w:pPr>
      <w:r>
        <w:rPr>
          <w:rFonts w:ascii="Arial" w:cs="Arial" w:eastAsia="Arial" w:hAnsi="Arial"/>
          <w:sz w:val="17"/>
          <w:szCs w:val="17"/>
          <w:color w:val="auto"/>
        </w:rPr>
        <w:t>SBP Rule No. 2-2020, which as an amendment to Rule 4-2013, with effect on March 31, 2020, allows banks to grant a grace period to customers affected in their businesses, regarding the COVID-19 effects, until June 30, 2020. As of that date, and as a result of an agreement signed between the Government of Panama and the Banking Association of Panama, as well as the issuance of Law No. 156 on moratorium, extended the financial relief to those affected by COVID-19 and who requested it until December 31, 2020. Subsequently, Rule No. 13-2020 which arise as an amendment to Rule No. 2-2020, with effect on October 2020 allows an additional grace of period to the financial relief until June 30, 2021.</w:t>
      </w:r>
    </w:p>
    <w:p>
      <w:pPr>
        <w:spacing w:after="0" w:line="176" w:lineRule="exact"/>
        <w:rPr>
          <w:rFonts w:ascii="Arial" w:cs="Arial" w:eastAsia="Arial" w:hAnsi="Arial"/>
          <w:sz w:val="16"/>
          <w:szCs w:val="16"/>
          <w:b w:val="1"/>
          <w:bCs w:val="1"/>
          <w:color w:val="auto"/>
        </w:rPr>
      </w:pPr>
    </w:p>
    <w:p>
      <w:pPr>
        <w:jc w:val="both"/>
        <w:ind w:left="340"/>
        <w:spacing w:after="0" w:line="296" w:lineRule="auto"/>
        <w:rPr>
          <w:rFonts w:ascii="Arial" w:cs="Arial" w:eastAsia="Arial" w:hAnsi="Arial"/>
          <w:sz w:val="16"/>
          <w:szCs w:val="16"/>
          <w:b w:val="1"/>
          <w:bCs w:val="1"/>
          <w:color w:val="auto"/>
        </w:rPr>
      </w:pPr>
      <w:r>
        <w:rPr>
          <w:rFonts w:ascii="Arial" w:cs="Arial" w:eastAsia="Arial" w:hAnsi="Arial"/>
          <w:sz w:val="16"/>
          <w:szCs w:val="16"/>
          <w:color w:val="auto"/>
        </w:rPr>
        <w:t>On September 11, 2020, the Superintendence of Banks of Panama issued Rule No. 9-2020 amending Rule No. 2-2020 of March 16, 2020, by which, it defines that loans classified as normal and special mention, as well as restructured loans without arrears, may be modified in accordance with the guidelines established herein. Moreover, the loans amended in normal and special mention categories shall be classified in "modified special mention" category for the purpose of determining the respective provisions. Modified restructured loans in the substandard, doubtful or unrecoverable categories shall maintain the credit classification they had at the time of their modification with their respective provision.</w:t>
      </w:r>
    </w:p>
    <w:p>
      <w:pPr>
        <w:spacing w:after="0" w:line="161" w:lineRule="exact"/>
        <w:rPr>
          <w:rFonts w:ascii="Arial" w:cs="Arial" w:eastAsia="Arial" w:hAnsi="Arial"/>
          <w:sz w:val="16"/>
          <w:szCs w:val="16"/>
          <w:b w:val="1"/>
          <w:bCs w:val="1"/>
          <w:color w:val="auto"/>
        </w:rPr>
      </w:pPr>
    </w:p>
    <w:p>
      <w:pPr>
        <w:jc w:val="both"/>
        <w:ind w:left="340"/>
        <w:spacing w:after="0" w:line="257" w:lineRule="auto"/>
        <w:rPr>
          <w:rFonts w:ascii="Arial" w:cs="Arial" w:eastAsia="Arial" w:hAnsi="Arial"/>
          <w:sz w:val="16"/>
          <w:szCs w:val="16"/>
          <w:b w:val="1"/>
          <w:bCs w:val="1"/>
          <w:color w:val="auto"/>
        </w:rPr>
      </w:pPr>
      <w:r>
        <w:rPr>
          <w:rFonts w:ascii="Arial" w:cs="Arial" w:eastAsia="Arial" w:hAnsi="Arial"/>
          <w:sz w:val="18"/>
          <w:szCs w:val="18"/>
          <w:color w:val="auto"/>
        </w:rPr>
        <w:t>In accordance with the Rule referred to in the preceding paragraph, about the modified special mention loan portfolio, banks will create a provision equivalent to the highest value between the IFRS provision of the modified special mention category and a generic provision equivalent to three percent (3%) of the gross balance of the modified loan portfolio, including uncollected accrued interest and capitalized interests; modified loans secured with deposits pledged in the same bank may be excluded from this calculation up to the secured amount. For this, the following scenarios will be considered:</w:t>
      </w:r>
    </w:p>
    <w:p>
      <w:pPr>
        <w:spacing w:after="0" w:line="187" w:lineRule="exact"/>
        <w:rPr>
          <w:rFonts w:ascii="Arial" w:cs="Arial" w:eastAsia="Arial" w:hAnsi="Arial"/>
          <w:sz w:val="16"/>
          <w:szCs w:val="16"/>
          <w:b w:val="1"/>
          <w:bCs w:val="1"/>
          <w:color w:val="auto"/>
        </w:rPr>
      </w:pPr>
    </w:p>
    <w:p>
      <w:pPr>
        <w:ind w:left="660" w:hanging="328"/>
        <w:spacing w:after="0" w:line="277" w:lineRule="auto"/>
        <w:tabs>
          <w:tab w:leader="none" w:pos="660" w:val="left"/>
        </w:tabs>
        <w:numPr>
          <w:ilvl w:val="1"/>
          <w:numId w:val="292"/>
        </w:numPr>
        <w:rPr>
          <w:rFonts w:ascii="Arial" w:cs="Arial" w:eastAsia="Arial" w:hAnsi="Arial"/>
          <w:sz w:val="18"/>
          <w:szCs w:val="18"/>
          <w:color w:val="auto"/>
        </w:rPr>
      </w:pPr>
      <w:r>
        <w:rPr>
          <w:rFonts w:ascii="Arial" w:cs="Arial" w:eastAsia="Arial" w:hAnsi="Arial"/>
          <w:sz w:val="18"/>
          <w:szCs w:val="18"/>
          <w:color w:val="auto"/>
        </w:rPr>
        <w:t>In cases where the IFRS provision is equal to or greater than the generic provision of 3% established herein, the Bank will record the corresponding IFRS provision in the profit or loss of the year.</w:t>
      </w:r>
    </w:p>
    <w:p>
      <w:pPr>
        <w:spacing w:after="0" w:line="170" w:lineRule="exact"/>
        <w:rPr>
          <w:rFonts w:ascii="Arial" w:cs="Arial" w:eastAsia="Arial" w:hAnsi="Arial"/>
          <w:sz w:val="18"/>
          <w:szCs w:val="18"/>
          <w:color w:val="auto"/>
        </w:rPr>
      </w:pPr>
    </w:p>
    <w:p>
      <w:pPr>
        <w:ind w:left="660" w:hanging="328"/>
        <w:spacing w:after="0" w:line="342" w:lineRule="auto"/>
        <w:tabs>
          <w:tab w:leader="none" w:pos="660" w:val="left"/>
        </w:tabs>
        <w:numPr>
          <w:ilvl w:val="1"/>
          <w:numId w:val="292"/>
        </w:numPr>
        <w:rPr>
          <w:rFonts w:ascii="Arial" w:cs="Arial" w:eastAsia="Arial" w:hAnsi="Arial"/>
          <w:sz w:val="16"/>
          <w:szCs w:val="16"/>
          <w:color w:val="auto"/>
        </w:rPr>
      </w:pPr>
      <w:r>
        <w:rPr>
          <w:rFonts w:ascii="Arial" w:cs="Arial" w:eastAsia="Arial" w:hAnsi="Arial"/>
          <w:sz w:val="16"/>
          <w:szCs w:val="16"/>
          <w:color w:val="auto"/>
        </w:rPr>
        <w:t>In cases where the IFRS provision is less than the generic provision of 3% established herein, the Bank will record such IFRS provision in the profit or loss and the difference must be record in the results or in a regulatory reserve in equity, taking into consideration the following aspects:</w:t>
      </w:r>
    </w:p>
    <w:p>
      <w:pPr>
        <w:spacing w:after="0" w:line="123" w:lineRule="exact"/>
        <w:rPr>
          <w:rFonts w:ascii="Arial" w:cs="Arial" w:eastAsia="Arial" w:hAnsi="Arial"/>
          <w:sz w:val="16"/>
          <w:szCs w:val="16"/>
          <w:color w:val="auto"/>
        </w:rPr>
      </w:pPr>
    </w:p>
    <w:p>
      <w:pPr>
        <w:ind w:left="980" w:right="20" w:hanging="324"/>
        <w:spacing w:after="0" w:line="308" w:lineRule="auto"/>
        <w:tabs>
          <w:tab w:leader="none" w:pos="980" w:val="left"/>
        </w:tabs>
        <w:numPr>
          <w:ilvl w:val="2"/>
          <w:numId w:val="292"/>
        </w:numPr>
        <w:rPr>
          <w:rFonts w:ascii="Arial" w:cs="Arial" w:eastAsia="Arial" w:hAnsi="Arial"/>
          <w:sz w:val="17"/>
          <w:szCs w:val="17"/>
          <w:color w:val="auto"/>
        </w:rPr>
      </w:pPr>
      <w:r>
        <w:rPr>
          <w:rFonts w:ascii="Arial" w:cs="Arial" w:eastAsia="Arial" w:hAnsi="Arial"/>
          <w:sz w:val="17"/>
          <w:szCs w:val="17"/>
          <w:color w:val="auto"/>
        </w:rPr>
        <w:t>When the IFRS provision is equal to or greater than 1.5%, the Bank must record such IFRS provision in the profit or loss. Likewise, the difference to complete the 3% of the generic provision established herein must be recorded in a regulatory reserve in equity.</w:t>
      </w:r>
    </w:p>
    <w:p>
      <w:pPr>
        <w:spacing w:after="0" w:line="146" w:lineRule="exact"/>
        <w:rPr>
          <w:rFonts w:ascii="Arial" w:cs="Arial" w:eastAsia="Arial" w:hAnsi="Arial"/>
          <w:sz w:val="17"/>
          <w:szCs w:val="17"/>
          <w:color w:val="auto"/>
        </w:rPr>
      </w:pPr>
    </w:p>
    <w:p>
      <w:pPr>
        <w:jc w:val="both"/>
        <w:ind w:left="980" w:hanging="324"/>
        <w:spacing w:after="0" w:line="263" w:lineRule="auto"/>
        <w:tabs>
          <w:tab w:leader="none" w:pos="980" w:val="left"/>
        </w:tabs>
        <w:numPr>
          <w:ilvl w:val="2"/>
          <w:numId w:val="292"/>
        </w:numPr>
        <w:rPr>
          <w:rFonts w:ascii="Arial" w:cs="Arial" w:eastAsia="Arial" w:hAnsi="Arial"/>
          <w:sz w:val="18"/>
          <w:szCs w:val="18"/>
          <w:color w:val="auto"/>
        </w:rPr>
      </w:pPr>
      <w:r>
        <w:rPr>
          <w:rFonts w:ascii="Arial" w:cs="Arial" w:eastAsia="Arial" w:hAnsi="Arial"/>
          <w:sz w:val="18"/>
          <w:szCs w:val="18"/>
          <w:color w:val="auto"/>
        </w:rPr>
        <w:t>When the IFRS provision is less than 1.5%, the Bank must ensure that this percentage is completed and recorded in the profit or loss. Likewise, the difference to complete the 3% of the generic provision established herein must be recorded in a new regulatory reserve in equity.</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61" w:name="page262"/>
    <w:bookmarkEnd w:id="2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right="7540" w:hanging="332"/>
        <w:spacing w:after="0" w:line="566" w:lineRule="auto"/>
        <w:tabs>
          <w:tab w:leader="none" w:pos="340" w:val="left"/>
        </w:tabs>
        <w:numPr>
          <w:ilvl w:val="0"/>
          <w:numId w:val="293"/>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Modified special mention loans (continued)</w:t>
      </w:r>
    </w:p>
    <w:p>
      <w:pPr>
        <w:ind w:left="340" w:right="20"/>
        <w:spacing w:after="0" w:line="308" w:lineRule="auto"/>
        <w:rPr>
          <w:rFonts w:ascii="Arial" w:cs="Arial" w:eastAsia="Arial" w:hAnsi="Arial"/>
          <w:sz w:val="16"/>
          <w:szCs w:val="16"/>
          <w:b w:val="1"/>
          <w:bCs w:val="1"/>
          <w:color w:val="auto"/>
        </w:rPr>
      </w:pPr>
      <w:r>
        <w:rPr>
          <w:rFonts w:ascii="Arial" w:cs="Arial" w:eastAsia="Arial" w:hAnsi="Arial"/>
          <w:sz w:val="17"/>
          <w:szCs w:val="17"/>
          <w:color w:val="auto"/>
        </w:rPr>
        <w:t>In accordance with the requirements of Article 4-E of Rule No. 9-2020, a detail of the portfolio of modified special mention category loans and their respective provisions and regulatory reserves as of December 31, 2020, classified according to the three-stage model of IFRS 9 follows:</w:t>
      </w:r>
    </w:p>
    <w:p>
      <w:pPr>
        <w:spacing w:after="0" w:line="146" w:lineRule="exact"/>
        <w:rPr>
          <w:rFonts w:ascii="Arial" w:cs="Arial" w:eastAsia="Arial" w:hAnsi="Arial"/>
          <w:sz w:val="16"/>
          <w:szCs w:val="16"/>
          <w:b w:val="1"/>
          <w:bCs w:val="1"/>
          <w:color w:val="auto"/>
        </w:rPr>
      </w:pPr>
    </w:p>
    <w:p>
      <w:pPr>
        <w:ind w:left="340"/>
        <w:spacing w:after="0"/>
        <w:rPr>
          <w:rFonts w:ascii="Arial" w:cs="Arial" w:eastAsia="Arial" w:hAnsi="Arial"/>
          <w:sz w:val="16"/>
          <w:szCs w:val="16"/>
          <w:b w:val="1"/>
          <w:bCs w:val="1"/>
          <w:color w:val="auto"/>
        </w:rPr>
      </w:pPr>
      <w:r>
        <w:rPr>
          <w:rFonts w:ascii="Arial" w:cs="Arial" w:eastAsia="Arial" w:hAnsi="Arial"/>
          <w:sz w:val="18"/>
          <w:szCs w:val="18"/>
          <w:u w:val="single" w:color="auto"/>
          <w:color w:val="auto"/>
        </w:rPr>
        <w:t>Modified special mention loans (continued)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960" w:type="dxa"/>
            <w:vAlign w:val="bottom"/>
          </w:tcPr>
          <w:p>
            <w:pPr>
              <w:spacing w:after="0"/>
              <w:rPr>
                <w:sz w:val="20"/>
                <w:szCs w:val="20"/>
                <w:color w:val="auto"/>
              </w:rPr>
            </w:pPr>
          </w:p>
        </w:tc>
        <w:tc>
          <w:tcPr>
            <w:tcW w:w="1200" w:type="dxa"/>
            <w:vAlign w:val="bottom"/>
          </w:tcPr>
          <w:p>
            <w:pPr>
              <w:ind w:left="460"/>
              <w:spacing w:after="0"/>
              <w:rPr>
                <w:sz w:val="20"/>
                <w:szCs w:val="20"/>
                <w:color w:val="auto"/>
              </w:rPr>
            </w:pPr>
            <w:r>
              <w:rPr>
                <w:rFonts w:ascii="Arial" w:cs="Arial" w:eastAsia="Arial" w:hAnsi="Arial"/>
                <w:sz w:val="18"/>
                <w:szCs w:val="18"/>
                <w:b w:val="1"/>
                <w:bCs w:val="1"/>
                <w:color w:val="auto"/>
              </w:rPr>
              <w:t>Stage 1</w:t>
            </w: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66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Stage 2</w:t>
            </w:r>
          </w:p>
        </w:tc>
        <w:tc>
          <w:tcPr>
            <w:tcW w:w="166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Stage 3</w:t>
            </w:r>
          </w:p>
        </w:tc>
        <w:tc>
          <w:tcPr>
            <w:tcW w:w="162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96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Modified special mention loans</w:t>
            </w:r>
          </w:p>
        </w:tc>
        <w:tc>
          <w:tcPr>
            <w:tcW w:w="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tcPr>
          <w:p>
            <w:pPr>
              <w:spacing w:after="0"/>
              <w:rPr>
                <w:sz w:val="20"/>
                <w:szCs w:val="20"/>
                <w:color w:val="auto"/>
              </w:rPr>
            </w:pPr>
            <w:r>
              <w:rPr>
                <w:rFonts w:ascii="Arial" w:cs="Arial" w:eastAsia="Arial" w:hAnsi="Arial"/>
                <w:sz w:val="18"/>
                <w:szCs w:val="18"/>
                <w:color w:val="auto"/>
              </w:rPr>
              <w:t>Modified loans</w:t>
            </w:r>
          </w:p>
        </w:tc>
        <w:tc>
          <w:tcPr>
            <w:tcW w:w="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Corporate</w:t>
            </w:r>
          </w:p>
        </w:tc>
        <w:tc>
          <w:tcPr>
            <w:tcW w:w="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8,829</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8,829</w:t>
            </w:r>
          </w:p>
        </w:tc>
        <w:tc>
          <w:tcPr>
            <w:tcW w:w="0" w:type="dxa"/>
            <w:vAlign w:val="bottom"/>
          </w:tcPr>
          <w:p>
            <w:pPr>
              <w:spacing w:after="0"/>
              <w:rPr>
                <w:sz w:val="1"/>
                <w:szCs w:val="1"/>
                <w:color w:val="auto"/>
              </w:rPr>
            </w:pPr>
          </w:p>
        </w:tc>
      </w:tr>
      <w:tr>
        <w:trPr>
          <w:trHeight w:val="202"/>
        </w:trPr>
        <w:tc>
          <w:tcPr>
            <w:tcW w:w="5160" w:type="dxa"/>
            <w:vAlign w:val="bottom"/>
            <w:gridSpan w:val="2"/>
          </w:tcPr>
          <w:p>
            <w:pPr>
              <w:spacing w:after="0" w:line="201" w:lineRule="exact"/>
              <w:rPr>
                <w:sz w:val="20"/>
                <w:szCs w:val="20"/>
                <w:color w:val="auto"/>
              </w:rPr>
            </w:pPr>
            <w:r>
              <w:rPr>
                <w:rFonts w:ascii="Arial" w:cs="Arial" w:eastAsia="Arial" w:hAnsi="Arial"/>
                <w:sz w:val="18"/>
                <w:szCs w:val="18"/>
                <w:color w:val="auto"/>
              </w:rPr>
              <w:t>(-) Modified loans secured by pledged deposits in the</w:t>
            </w:r>
          </w:p>
        </w:tc>
        <w:tc>
          <w:tcPr>
            <w:tcW w:w="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160" w:type="dxa"/>
            <w:vAlign w:val="bottom"/>
            <w:gridSpan w:val="2"/>
          </w:tcPr>
          <w:p>
            <w:pPr>
              <w:spacing w:after="0"/>
              <w:rPr>
                <w:sz w:val="20"/>
                <w:szCs w:val="20"/>
                <w:color w:val="auto"/>
              </w:rPr>
            </w:pPr>
            <w:r>
              <w:rPr>
                <w:rFonts w:ascii="Arial" w:cs="Arial" w:eastAsia="Arial" w:hAnsi="Arial"/>
                <w:sz w:val="18"/>
                <w:szCs w:val="18"/>
                <w:color w:val="auto"/>
              </w:rPr>
              <w:t>same bank up to the guaranteed amount</w:t>
            </w:r>
          </w:p>
        </w:tc>
        <w:tc>
          <w:tcPr>
            <w:tcW w:w="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Interest receivable</w:t>
            </w:r>
          </w:p>
        </w:tc>
        <w:tc>
          <w:tcPr>
            <w:tcW w:w="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c>
          <w:tcPr>
            <w:tcW w:w="0" w:type="dxa"/>
            <w:vAlign w:val="bottom"/>
          </w:tcPr>
          <w:p>
            <w:pPr>
              <w:spacing w:after="0"/>
              <w:rPr>
                <w:sz w:val="1"/>
                <w:szCs w:val="1"/>
                <w:color w:val="auto"/>
              </w:rPr>
            </w:pPr>
          </w:p>
        </w:tc>
      </w:tr>
      <w:tr>
        <w:trPr>
          <w:trHeight w:val="229"/>
        </w:trPr>
        <w:tc>
          <w:tcPr>
            <w:tcW w:w="3960" w:type="dxa"/>
            <w:vAlign w:val="bottom"/>
          </w:tcPr>
          <w:p>
            <w:pPr>
              <w:spacing w:after="0"/>
              <w:rPr>
                <w:sz w:val="20"/>
                <w:szCs w:val="20"/>
                <w:color w:val="auto"/>
              </w:rPr>
            </w:pPr>
            <w:r>
              <w:rPr>
                <w:rFonts w:ascii="Arial" w:cs="Arial" w:eastAsia="Arial" w:hAnsi="Arial"/>
                <w:sz w:val="18"/>
                <w:szCs w:val="18"/>
                <w:color w:val="auto"/>
              </w:rPr>
              <w:t>(-) Unearned interest and deferred fees</w:t>
            </w:r>
          </w:p>
        </w:tc>
        <w:tc>
          <w:tcPr>
            <w:tcW w:w="1200" w:type="dxa"/>
            <w:vAlign w:val="bottom"/>
          </w:tcPr>
          <w:p>
            <w:pPr>
              <w:spacing w:after="0"/>
              <w:rPr>
                <w:sz w:val="19"/>
                <w:szCs w:val="19"/>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
        </w:trPr>
        <w:tc>
          <w:tcPr>
            <w:tcW w:w="396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w w:val="95"/>
              </w:rPr>
              <w:t>Total loan portfolio subject to provisions Rule No. 9-</w:t>
            </w:r>
          </w:p>
        </w:tc>
        <w:tc>
          <w:tcPr>
            <w:tcW w:w="1200" w:type="dxa"/>
            <w:vAlign w:val="bottom"/>
            <w:shd w:val="clear" w:color="auto" w:fill="000000"/>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5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3960" w:type="dxa"/>
            <w:vAlign w:val="bottom"/>
            <w:vMerge w:val="continue"/>
            <w:shd w:val="clear" w:color="auto" w:fill="CCEEFF"/>
          </w:tcPr>
          <w:p>
            <w:pPr>
              <w:spacing w:after="0"/>
              <w:rPr>
                <w:sz w:val="15"/>
                <w:szCs w:val="15"/>
                <w:color w:val="auto"/>
              </w:rPr>
            </w:pPr>
          </w:p>
        </w:tc>
        <w:tc>
          <w:tcPr>
            <w:tcW w:w="1200" w:type="dxa"/>
            <w:vAlign w:val="bottom"/>
            <w:shd w:val="clear" w:color="auto" w:fill="CCEEFF"/>
          </w:tcPr>
          <w:p>
            <w:pPr>
              <w:spacing w:after="0"/>
              <w:rPr>
                <w:sz w:val="15"/>
                <w:szCs w:val="15"/>
                <w:color w:val="auto"/>
              </w:rPr>
            </w:pPr>
          </w:p>
        </w:tc>
        <w:tc>
          <w:tcPr>
            <w:tcW w:w="26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vMerge w:val="restart"/>
            <w:shd w:val="clear" w:color="auto" w:fill="CCEEFF"/>
          </w:tcPr>
          <w:p>
            <w:pPr>
              <w:spacing w:after="0"/>
              <w:rPr>
                <w:sz w:val="15"/>
                <w:szCs w:val="15"/>
                <w:color w:val="auto"/>
              </w:rPr>
            </w:pPr>
          </w:p>
        </w:tc>
        <w:tc>
          <w:tcPr>
            <w:tcW w:w="1660" w:type="dxa"/>
            <w:vAlign w:val="bottom"/>
            <w:gridSpan w:val="2"/>
            <w:vMerge w:val="restart"/>
            <w:shd w:val="clear" w:color="auto" w:fill="CCEEFF"/>
          </w:tcPr>
          <w:p>
            <w:pPr>
              <w:jc w:val="right"/>
              <w:ind w:right="200"/>
              <w:spacing w:after="0"/>
              <w:rPr>
                <w:sz w:val="20"/>
                <w:szCs w:val="20"/>
                <w:color w:val="auto"/>
              </w:rPr>
            </w:pPr>
            <w:r>
              <w:rPr>
                <w:rFonts w:ascii="Arial" w:cs="Arial" w:eastAsia="Arial" w:hAnsi="Arial"/>
                <w:sz w:val="18"/>
                <w:szCs w:val="18"/>
                <w:color w:val="auto"/>
              </w:rPr>
              <w:t>8,836</w:t>
            </w:r>
          </w:p>
        </w:tc>
        <w:tc>
          <w:tcPr>
            <w:tcW w:w="1660" w:type="dxa"/>
            <w:vAlign w:val="bottom"/>
            <w:gridSpan w:val="2"/>
            <w:vMerge w:val="restart"/>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vMerge w:val="restart"/>
            <w:shd w:val="clear" w:color="auto" w:fill="CCEEFF"/>
          </w:tcPr>
          <w:p>
            <w:pPr>
              <w:jc w:val="right"/>
              <w:ind w:right="100"/>
              <w:spacing w:after="0"/>
              <w:rPr>
                <w:sz w:val="20"/>
                <w:szCs w:val="20"/>
                <w:color w:val="auto"/>
              </w:rPr>
            </w:pPr>
            <w:r>
              <w:rPr>
                <w:rFonts w:ascii="Arial" w:cs="Arial" w:eastAsia="Arial" w:hAnsi="Arial"/>
                <w:sz w:val="18"/>
                <w:szCs w:val="18"/>
                <w:color w:val="auto"/>
              </w:rPr>
              <w:t>8,836</w:t>
            </w:r>
          </w:p>
        </w:tc>
        <w:tc>
          <w:tcPr>
            <w:tcW w:w="0" w:type="dxa"/>
            <w:vAlign w:val="bottom"/>
          </w:tcPr>
          <w:p>
            <w:pPr>
              <w:spacing w:after="0"/>
              <w:rPr>
                <w:sz w:val="1"/>
                <w:szCs w:val="1"/>
                <w:color w:val="auto"/>
              </w:rPr>
            </w:pPr>
          </w:p>
        </w:tc>
      </w:tr>
      <w:tr>
        <w:trPr>
          <w:trHeight w:val="217"/>
        </w:trPr>
        <w:tc>
          <w:tcPr>
            <w:tcW w:w="3960" w:type="dxa"/>
            <w:vAlign w:val="bottom"/>
            <w:shd w:val="clear" w:color="auto" w:fill="CCEEFF"/>
          </w:tcPr>
          <w:p>
            <w:pPr>
              <w:spacing w:after="0"/>
              <w:rPr>
                <w:sz w:val="20"/>
                <w:szCs w:val="20"/>
                <w:color w:val="auto"/>
              </w:rPr>
            </w:pPr>
            <w:r>
              <w:rPr>
                <w:rFonts w:ascii="Arial" w:cs="Arial" w:eastAsia="Arial" w:hAnsi="Arial"/>
                <w:sz w:val="18"/>
                <w:szCs w:val="18"/>
                <w:color w:val="auto"/>
              </w:rPr>
              <w:t>2020</w:t>
            </w:r>
          </w:p>
        </w:tc>
        <w:tc>
          <w:tcPr>
            <w:tcW w:w="1200" w:type="dxa"/>
            <w:vAlign w:val="bottom"/>
            <w:shd w:val="clear" w:color="auto" w:fill="CCEEFF"/>
          </w:tcPr>
          <w:p>
            <w:pPr>
              <w:spacing w:after="0"/>
              <w:rPr>
                <w:sz w:val="18"/>
                <w:szCs w:val="18"/>
                <w:color w:val="auto"/>
              </w:rPr>
            </w:pPr>
          </w:p>
        </w:tc>
        <w:tc>
          <w:tcPr>
            <w:tcW w:w="260" w:type="dxa"/>
            <w:vAlign w:val="bottom"/>
            <w:vMerge w:val="continue"/>
            <w:shd w:val="clear" w:color="auto" w:fill="CCEEFF"/>
          </w:tcPr>
          <w:p>
            <w:pPr>
              <w:spacing w:after="0"/>
              <w:rPr>
                <w:sz w:val="18"/>
                <w:szCs w:val="18"/>
                <w:color w:val="auto"/>
              </w:rPr>
            </w:pPr>
          </w:p>
        </w:tc>
        <w:tc>
          <w:tcPr>
            <w:tcW w:w="180" w:type="dxa"/>
            <w:vAlign w:val="bottom"/>
            <w:vMerge w:val="continue"/>
            <w:shd w:val="clear" w:color="auto" w:fill="CCEEFF"/>
          </w:tcPr>
          <w:p>
            <w:pPr>
              <w:spacing w:after="0"/>
              <w:rPr>
                <w:sz w:val="18"/>
                <w:szCs w:val="18"/>
                <w:color w:val="auto"/>
              </w:rPr>
            </w:pPr>
          </w:p>
        </w:tc>
        <w:tc>
          <w:tcPr>
            <w:tcW w:w="1660" w:type="dxa"/>
            <w:vAlign w:val="bottom"/>
            <w:gridSpan w:val="2"/>
            <w:vMerge w:val="continue"/>
            <w:shd w:val="clear" w:color="auto" w:fill="CCEEFF"/>
          </w:tcPr>
          <w:p>
            <w:pPr>
              <w:spacing w:after="0"/>
              <w:rPr>
                <w:sz w:val="18"/>
                <w:szCs w:val="18"/>
                <w:color w:val="auto"/>
              </w:rPr>
            </w:pPr>
          </w:p>
        </w:tc>
        <w:tc>
          <w:tcPr>
            <w:tcW w:w="1660" w:type="dxa"/>
            <w:vAlign w:val="bottom"/>
            <w:gridSpan w:val="2"/>
            <w:vMerge w:val="continue"/>
            <w:shd w:val="clear" w:color="auto" w:fill="CCEEFF"/>
          </w:tcPr>
          <w:p>
            <w:pPr>
              <w:spacing w:after="0"/>
              <w:rPr>
                <w:sz w:val="18"/>
                <w:szCs w:val="18"/>
                <w:color w:val="auto"/>
              </w:rPr>
            </w:pPr>
          </w:p>
        </w:tc>
        <w:tc>
          <w:tcPr>
            <w:tcW w:w="1620" w:type="dxa"/>
            <w:vAlign w:val="bottom"/>
            <w:gridSpan w:val="2"/>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96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5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96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5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1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w:t>
            </w:r>
          </w:p>
        </w:tc>
        <w:tc>
          <w:tcPr>
            <w:tcW w:w="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960" w:type="dxa"/>
            <w:vAlign w:val="bottom"/>
          </w:tcPr>
          <w:p>
            <w:pPr>
              <w:spacing w:after="0"/>
              <w:rPr>
                <w:sz w:val="20"/>
                <w:szCs w:val="20"/>
                <w:color w:val="auto"/>
              </w:rPr>
            </w:pPr>
            <w:r>
              <w:rPr>
                <w:rFonts w:ascii="Arial" w:cs="Arial" w:eastAsia="Arial" w:hAnsi="Arial"/>
                <w:sz w:val="18"/>
                <w:szCs w:val="18"/>
                <w:color w:val="auto"/>
              </w:rPr>
              <w:t>Allowance IFRS 9</w:t>
            </w:r>
          </w:p>
        </w:tc>
        <w:tc>
          <w:tcPr>
            <w:tcW w:w="1200" w:type="dxa"/>
            <w:vAlign w:val="bottom"/>
          </w:tcPr>
          <w:p>
            <w:pPr>
              <w:spacing w:after="0"/>
              <w:rPr>
                <w:sz w:val="19"/>
                <w:szCs w:val="19"/>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1,767</w:t>
            </w:r>
          </w:p>
        </w:tc>
        <w:tc>
          <w:tcPr>
            <w:tcW w:w="16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1,767</w:t>
            </w:r>
          </w:p>
        </w:tc>
        <w:tc>
          <w:tcPr>
            <w:tcW w:w="0" w:type="dxa"/>
            <w:vAlign w:val="bottom"/>
          </w:tcPr>
          <w:p>
            <w:pPr>
              <w:spacing w:after="0"/>
              <w:rPr>
                <w:sz w:val="1"/>
                <w:szCs w:val="1"/>
                <w:color w:val="auto"/>
              </w:rPr>
            </w:pPr>
          </w:p>
        </w:tc>
      </w:tr>
      <w:tr>
        <w:trPr>
          <w:trHeight w:val="20"/>
        </w:trPr>
        <w:tc>
          <w:tcPr>
            <w:tcW w:w="3960" w:type="dxa"/>
            <w:vAlign w:val="bottom"/>
            <w:vMerge w:val="restart"/>
            <w:shd w:val="clear" w:color="auto" w:fill="CCEEFF"/>
          </w:tcPr>
          <w:p>
            <w:pPr>
              <w:spacing w:after="0" w:line="256" w:lineRule="exact"/>
              <w:rPr>
                <w:sz w:val="20"/>
                <w:szCs w:val="20"/>
                <w:color w:val="auto"/>
              </w:rPr>
            </w:pPr>
            <w:r>
              <w:rPr>
                <w:rFonts w:ascii="Arial" w:cs="Arial" w:eastAsia="Arial" w:hAnsi="Arial"/>
                <w:sz w:val="18"/>
                <w:szCs w:val="18"/>
                <w:color w:val="auto"/>
              </w:rPr>
              <w:t xml:space="preserve">Collective allowance (complement to 1.5%) </w:t>
            </w:r>
            <w:r>
              <w:rPr>
                <w:rFonts w:ascii="Arial" w:cs="Arial" w:eastAsia="Arial" w:hAnsi="Arial"/>
                <w:sz w:val="29"/>
                <w:szCs w:val="29"/>
                <w:color w:val="auto"/>
                <w:vertAlign w:val="superscript"/>
              </w:rPr>
              <w:t>*</w:t>
            </w:r>
          </w:p>
        </w:tc>
        <w:tc>
          <w:tcPr>
            <w:tcW w:w="1200" w:type="dxa"/>
            <w:vAlign w:val="bottom"/>
            <w:shd w:val="clear" w:color="auto" w:fill="000000"/>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4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5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960" w:type="dxa"/>
            <w:vAlign w:val="bottom"/>
            <w:vMerge w:val="continue"/>
            <w:shd w:val="clear" w:color="auto" w:fill="CCEEFF"/>
          </w:tcPr>
          <w:p>
            <w:pPr>
              <w:spacing w:after="0"/>
              <w:rPr>
                <w:sz w:val="20"/>
                <w:szCs w:val="20"/>
                <w:color w:val="auto"/>
              </w:rPr>
            </w:pPr>
          </w:p>
        </w:tc>
        <w:tc>
          <w:tcPr>
            <w:tcW w:w="120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4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57"/>
        </w:trPr>
        <w:tc>
          <w:tcPr>
            <w:tcW w:w="51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Regulatory reserve (complement to 3%) </w:t>
            </w:r>
            <w:r>
              <w:rPr>
                <w:rFonts w:ascii="Arial" w:cs="Arial" w:eastAsia="Arial" w:hAnsi="Arial"/>
                <w:sz w:val="29"/>
                <w:szCs w:val="29"/>
                <w:color w:val="auto"/>
                <w:vertAlign w:val="superscript"/>
              </w:rPr>
              <w:t>*</w:t>
            </w:r>
          </w:p>
        </w:tc>
        <w:tc>
          <w:tcPr>
            <w:tcW w:w="2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4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5160" w:type="dxa"/>
            <w:vAlign w:val="bottom"/>
            <w:tcBorders>
              <w:top w:val="single" w:sz="8" w:color="CCEEFF"/>
              <w:bottom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color w:val="auto"/>
              </w:rPr>
              <w:t>Total allowance and reserves</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1,767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9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400" w:hanging="9"/>
        <w:spacing w:after="0" w:line="194" w:lineRule="auto"/>
        <w:tabs>
          <w:tab w:leader="none" w:pos="513" w:val="left"/>
        </w:tabs>
        <w:numPr>
          <w:ilvl w:val="0"/>
          <w:numId w:val="294"/>
        </w:numPr>
        <w:rPr>
          <w:rFonts w:ascii="Arial" w:cs="Arial" w:eastAsia="Arial" w:hAnsi="Arial"/>
          <w:sz w:val="30"/>
          <w:szCs w:val="30"/>
          <w:color w:val="auto"/>
          <w:vertAlign w:val="superscript"/>
        </w:rPr>
      </w:pPr>
      <w:r>
        <w:rPr>
          <w:rFonts w:ascii="Arial" w:cs="Arial" w:eastAsia="Arial" w:hAnsi="Arial"/>
          <w:sz w:val="18"/>
          <w:szCs w:val="18"/>
          <w:color w:val="auto"/>
        </w:rPr>
        <w:t>Because IFRS 9 provision for modified special mention loans by $1.7million exceeds the generic provision equivalent to the 3% required by Rule No. 9-2020, the Bank does not require additional complementary equity reserves to the existing provision.</w:t>
      </w:r>
    </w:p>
    <w:p>
      <w:pPr>
        <w:spacing w:after="0" w:line="202"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As part of the Bank's risk management, both individual and collective analyzes of the condition of the loans have been developed, including the segmentation of the portfolio in order to identify the employment situation or the opening of economic activity of each client and define who will be able to meet their bank obligations, who will have difficulties in doing so and who will definitely not be able to meet and thus determine if there has been a significant increase in risk and classify those loans according to the corresponding impairment stage. Additionally, different agreements have been reached with clients based on the individual analysis of their ability to generate the cash flows necessary to meet their obligations.</w:t>
      </w:r>
    </w:p>
    <w:p>
      <w:pPr>
        <w:spacing w:after="0" w:line="16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December 31, 2020, the modified special mention loan has complied with its contractual payments of the loan agreement.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It is important to note that in addition to the modified special mention loan, the Bank maintains corporate loans in Substandard category and that they embraced to the moratorium of Law No. 156 of June 30, 2020. As of December 31, 2020, these loans carrying amount is $10.9 million (including interest) and present interest payments with a default of up to 30 days.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62" w:name="page263"/>
    <w:bookmarkEnd w:id="2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consolidated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95"/>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parameters established in this methodology are the following:</w:t>
      </w:r>
    </w:p>
    <w:p>
      <w:pPr>
        <w:spacing w:after="0" w:line="225" w:lineRule="exact"/>
        <w:rPr>
          <w:rFonts w:ascii="Arial" w:cs="Arial" w:eastAsia="Arial" w:hAnsi="Arial"/>
          <w:sz w:val="18"/>
          <w:szCs w:val="18"/>
          <w:b w:val="1"/>
          <w:bCs w:val="1"/>
          <w:color w:val="auto"/>
        </w:rPr>
      </w:pPr>
    </w:p>
    <w:p>
      <w:pPr>
        <w:ind w:left="660" w:hanging="328"/>
        <w:spacing w:after="0" w:line="277" w:lineRule="auto"/>
        <w:tabs>
          <w:tab w:leader="none" w:pos="660" w:val="left"/>
        </w:tabs>
        <w:numPr>
          <w:ilvl w:val="1"/>
          <w:numId w:val="295"/>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SBP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295"/>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higher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1"/>
          <w:numId w:val="295"/>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higher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295"/>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retained earnings as long as there are differences between IFRS and the originated prudential regulations.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w:t>
      </w:r>
    </w:p>
    <w:p>
      <w:pPr>
        <w:spacing w:after="0" w:line="225"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46"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As of December 31, 2020, and 2019, the total amount of the dynamic provision and the regulatory credit reserve calculated according to the guidelines of Rule No. 4-2013 of the SBP is $136 million for both years, appropriated from retained earnings for purposes of compliance with local regulatory requirements. This appropriation is restricted from dividend distribution in order to comply with local regulations.</w:t>
      </w:r>
    </w:p>
    <w:p>
      <w:pPr>
        <w:spacing w:after="0" w:line="16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420" w:type="dxa"/>
            <w:vAlign w:val="bottom"/>
            <w:gridSpan w:val="2"/>
          </w:tcPr>
          <w:p>
            <w:pPr>
              <w:spacing w:after="0"/>
              <w:rPr>
                <w:sz w:val="20"/>
                <w:szCs w:val="20"/>
                <w:color w:val="auto"/>
              </w:rPr>
            </w:pPr>
            <w:r>
              <w:rPr>
                <w:rFonts w:ascii="Arial" w:cs="Arial" w:eastAsia="Arial" w:hAnsi="Arial"/>
                <w:sz w:val="18"/>
                <w:szCs w:val="18"/>
                <w:color w:val="auto"/>
              </w:rPr>
              <w:t>The provision and reserve are detailed as follows:</w:t>
            </w:r>
          </w:p>
        </w:tc>
        <w:tc>
          <w:tcPr>
            <w:tcW w:w="13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240" w:type="dxa"/>
            <w:vAlign w:val="bottom"/>
          </w:tcPr>
          <w:p>
            <w:pPr>
              <w:spacing w:after="0"/>
              <w:rPr>
                <w:sz w:val="24"/>
                <w:szCs w:val="24"/>
                <w:color w:val="auto"/>
              </w:rPr>
            </w:pPr>
          </w:p>
        </w:tc>
        <w:tc>
          <w:tcPr>
            <w:tcW w:w="7180" w:type="dxa"/>
            <w:vAlign w:val="bottom"/>
          </w:tcPr>
          <w:p>
            <w:pPr>
              <w:spacing w:after="0"/>
              <w:rPr>
                <w:sz w:val="24"/>
                <w:szCs w:val="24"/>
                <w:color w:val="auto"/>
              </w:rPr>
            </w:pPr>
          </w:p>
        </w:tc>
        <w:tc>
          <w:tcPr>
            <w:tcW w:w="15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9"/>
              </w:rPr>
              <w:t>December 31,</w:t>
            </w:r>
          </w:p>
        </w:tc>
        <w:tc>
          <w:tcPr>
            <w:tcW w:w="140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240" w:type="dxa"/>
            <w:vAlign w:val="bottom"/>
          </w:tcPr>
          <w:p>
            <w:pPr>
              <w:spacing w:after="0"/>
              <w:rPr>
                <w:sz w:val="20"/>
                <w:szCs w:val="20"/>
                <w:color w:val="auto"/>
              </w:rPr>
            </w:pPr>
          </w:p>
        </w:tc>
        <w:tc>
          <w:tcPr>
            <w:tcW w:w="71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240" w:type="dxa"/>
            <w:vAlign w:val="bottom"/>
          </w:tcPr>
          <w:p>
            <w:pPr>
              <w:spacing w:after="0"/>
              <w:rPr>
                <w:sz w:val="18"/>
                <w:szCs w:val="18"/>
                <w:color w:val="auto"/>
              </w:rPr>
            </w:pPr>
          </w:p>
        </w:tc>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8"/>
                <w:szCs w:val="18"/>
                <w:color w:val="auto"/>
              </w:rPr>
            </w:pPr>
          </w:p>
        </w:tc>
      </w:tr>
      <w:tr>
        <w:trPr>
          <w:trHeight w:val="230"/>
        </w:trPr>
        <w:tc>
          <w:tcPr>
            <w:tcW w:w="240" w:type="dxa"/>
            <w:vAlign w:val="bottom"/>
          </w:tcPr>
          <w:p>
            <w:pPr>
              <w:spacing w:after="0"/>
              <w:rPr>
                <w:sz w:val="19"/>
                <w:szCs w:val="19"/>
                <w:color w:val="auto"/>
              </w:rPr>
            </w:pPr>
          </w:p>
        </w:tc>
        <w:tc>
          <w:tcPr>
            <w:tcW w:w="718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240" w:type="dxa"/>
            <w:vAlign w:val="bottom"/>
          </w:tcPr>
          <w:p>
            <w:pPr>
              <w:spacing w:after="0"/>
              <w:rPr>
                <w:sz w:val="19"/>
                <w:szCs w:val="19"/>
                <w:color w:val="auto"/>
              </w:rPr>
            </w:pPr>
          </w:p>
        </w:tc>
        <w:tc>
          <w:tcPr>
            <w:tcW w:w="71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40" w:type="dxa"/>
            <w:vAlign w:val="bottom"/>
          </w:tcPr>
          <w:p>
            <w:pPr>
              <w:spacing w:after="0" w:line="20" w:lineRule="exact"/>
              <w:rPr>
                <w:sz w:val="1"/>
                <w:szCs w:val="1"/>
                <w:color w:val="auto"/>
              </w:rPr>
            </w:pPr>
          </w:p>
        </w:tc>
        <w:tc>
          <w:tcPr>
            <w:tcW w:w="7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$95.3 million, which was voluntarily established.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207" w:lineRule="exact"/>
        <w:rPr>
          <w:sz w:val="20"/>
          <w:szCs w:val="20"/>
          <w:color w:val="auto"/>
        </w:rPr>
      </w:pPr>
    </w:p>
    <w:p>
      <w:pPr>
        <w:ind w:left="340" w:hanging="332"/>
        <w:spacing w:after="0"/>
        <w:tabs>
          <w:tab w:leader="none" w:pos="340" w:val="left"/>
        </w:tabs>
        <w:numPr>
          <w:ilvl w:val="0"/>
          <w:numId w:val="296"/>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announced a quarterly cash dividend of $0.25 US dollar cents per share corresponding to the fourth quarter of 2020. The cash dividend was approved by the Board of Directors at its meeting held on February 12, 2021 and it was paid on March 10, 2021 to the Bank’s stockholders as of February 23, 2021 record date.</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F-127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688" w:right="339" w:bottom="1440" w:gutter="0" w:footer="0" w:header="0"/>
        </w:sectPr>
      </w:pPr>
    </w:p>
    <w:bookmarkStart w:id="263" w:name="page264"/>
    <w:bookmarkEnd w:id="263"/>
    <w:p>
      <w:pPr>
        <w:jc w:val="right"/>
        <w:spacing w:after="0"/>
        <w:rPr>
          <w:sz w:val="20"/>
          <w:szCs w:val="20"/>
          <w:color w:val="auto"/>
        </w:rPr>
      </w:pPr>
      <w:r>
        <w:rPr>
          <w:rFonts w:ascii="Arial" w:cs="Arial" w:eastAsia="Arial" w:hAnsi="Arial"/>
          <w:sz w:val="18"/>
          <w:szCs w:val="18"/>
          <w:b w:val="1"/>
          <w:bCs w:val="1"/>
          <w:color w:val="auto"/>
        </w:rPr>
        <w:t>Exhibit 1.1</w:t>
      </w:r>
    </w:p>
    <w:p>
      <w:pPr>
        <w:spacing w:after="0" w:line="252"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AMENDED ARTICLES OF INCORPORATION</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OF</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BANCO LATINOAMERICANO DE COMERCIO EXTERIOR, S.A.1</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 (Name)</w:t>
      </w:r>
    </w:p>
    <w:p>
      <w:pPr>
        <w:spacing w:after="0" w:line="225" w:lineRule="exact"/>
        <w:rPr>
          <w:sz w:val="20"/>
          <w:szCs w:val="20"/>
          <w:color w:val="auto"/>
        </w:rPr>
      </w:pPr>
    </w:p>
    <w:p>
      <w:pPr>
        <w:ind w:right="3620"/>
        <w:spacing w:after="0" w:line="266" w:lineRule="auto"/>
        <w:rPr>
          <w:sz w:val="20"/>
          <w:szCs w:val="20"/>
          <w:color w:val="auto"/>
        </w:rPr>
      </w:pPr>
      <w:r>
        <w:rPr>
          <w:rFonts w:ascii="Arial" w:cs="Arial" w:eastAsia="Arial" w:hAnsi="Arial"/>
          <w:sz w:val="18"/>
          <w:szCs w:val="18"/>
          <w:color w:val="auto"/>
        </w:rPr>
        <w:t>The name of the corporation is “</w:t>
      </w:r>
      <w:r>
        <w:rPr>
          <w:rFonts w:ascii="Arial" w:cs="Arial" w:eastAsia="Arial" w:hAnsi="Arial"/>
          <w:sz w:val="18"/>
          <w:szCs w:val="18"/>
          <w:b w:val="1"/>
          <w:bCs w:val="1"/>
          <w:color w:val="auto"/>
        </w:rPr>
        <w:t>Banco Latinoamericano de Comercio Exterior, S.A.</w:t>
      </w:r>
      <w:r>
        <w:rPr>
          <w:rFonts w:ascii="Arial" w:cs="Arial" w:eastAsia="Arial" w:hAnsi="Arial"/>
          <w:sz w:val="18"/>
          <w:szCs w:val="18"/>
          <w:color w:val="auto"/>
        </w:rPr>
        <w:t>” in Spanish and “</w:t>
      </w:r>
      <w:r>
        <w:rPr>
          <w:rFonts w:ascii="Arial" w:cs="Arial" w:eastAsia="Arial" w:hAnsi="Arial"/>
          <w:sz w:val="18"/>
          <w:szCs w:val="18"/>
          <w:b w:val="1"/>
          <w:bCs w:val="1"/>
          <w:color w:val="auto"/>
        </w:rPr>
        <w:t>Foreign Trade Bank of Latin America, Inc</w:t>
      </w:r>
      <w:r>
        <w:rPr>
          <w:rFonts w:ascii="Arial" w:cs="Arial" w:eastAsia="Arial" w:hAnsi="Arial"/>
          <w:sz w:val="18"/>
          <w:szCs w:val="18"/>
          <w:color w:val="auto"/>
        </w:rPr>
        <w:t>.” in English. The corporation may also use the commercial name “</w:t>
      </w:r>
      <w:r>
        <w:rPr>
          <w:rFonts w:ascii="Arial" w:cs="Arial" w:eastAsia="Arial" w:hAnsi="Arial"/>
          <w:sz w:val="18"/>
          <w:szCs w:val="18"/>
          <w:b w:val="1"/>
          <w:bCs w:val="1"/>
          <w:color w:val="auto"/>
        </w:rPr>
        <w:t>Bladex”.</w:t>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2: (Purpose)</w:t>
      </w:r>
    </w:p>
    <w:p>
      <w:pPr>
        <w:spacing w:after="0" w:line="229"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purpose of the corporation is to promote the economic development of Latin American countries, as well as their foreign trade. In order to fulfill said objective, the corporation may engage in all kinds of banking or financial business, investments and any other such business as may promote foreign trade as well as the development of Latin American countries. The corporation may also engage in different businesses than those described hereinabove, provided that it has obtained the approval of the shareholders thereto, by resolution adopted by the affirmative vote of one half (1/2) plus one of the common shares present or represented in a meeting of shareholders called to obtain such authorization, which affirmative vote shall necessarily include the vote of three-fourths (3/4) of class A common shares issued and outstanding.</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3: (Powers)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In pursuit of the above-mentioned purposes, the corporation shall have, among others, the power to:</w:t>
      </w:r>
    </w:p>
    <w:p>
      <w:pPr>
        <w:spacing w:after="0" w:line="225" w:lineRule="exact"/>
        <w:rPr>
          <w:sz w:val="20"/>
          <w:szCs w:val="20"/>
          <w:color w:val="auto"/>
        </w:rPr>
      </w:pPr>
    </w:p>
    <w:p>
      <w:pPr>
        <w:ind w:left="260" w:right="20" w:hanging="252"/>
        <w:spacing w:after="0" w:line="277" w:lineRule="auto"/>
        <w:tabs>
          <w:tab w:leader="none" w:pos="260" w:val="left"/>
        </w:tabs>
        <w:numPr>
          <w:ilvl w:val="0"/>
          <w:numId w:val="297"/>
        </w:numPr>
        <w:rPr>
          <w:rFonts w:ascii="Arial" w:cs="Arial" w:eastAsia="Arial" w:hAnsi="Arial"/>
          <w:sz w:val="18"/>
          <w:szCs w:val="18"/>
          <w:color w:val="auto"/>
        </w:rPr>
      </w:pPr>
      <w:r>
        <w:rPr>
          <w:rFonts w:ascii="Arial" w:cs="Arial" w:eastAsia="Arial" w:hAnsi="Arial"/>
          <w:sz w:val="18"/>
          <w:szCs w:val="18"/>
          <w:color w:val="auto"/>
        </w:rPr>
        <w:t>Grant loans and extend credit guaranteed by commercial documents, by credit instruments or by any other form of security, relating to the export of goods and services of any kind;</w:t>
      </w:r>
    </w:p>
    <w:p>
      <w:pPr>
        <w:spacing w:after="0" w:line="170" w:lineRule="exact"/>
        <w:rPr>
          <w:rFonts w:ascii="Arial" w:cs="Arial" w:eastAsia="Arial" w:hAnsi="Arial"/>
          <w:sz w:val="18"/>
          <w:szCs w:val="18"/>
          <w:color w:val="auto"/>
        </w:rPr>
      </w:pPr>
    </w:p>
    <w:p>
      <w:pPr>
        <w:jc w:val="both"/>
        <w:ind w:left="260" w:hanging="252"/>
        <w:spacing w:after="0" w:line="263" w:lineRule="auto"/>
        <w:tabs>
          <w:tab w:leader="none" w:pos="260" w:val="left"/>
        </w:tabs>
        <w:numPr>
          <w:ilvl w:val="0"/>
          <w:numId w:val="297"/>
        </w:numPr>
        <w:rPr>
          <w:rFonts w:ascii="Arial" w:cs="Arial" w:eastAsia="Arial" w:hAnsi="Arial"/>
          <w:sz w:val="18"/>
          <w:szCs w:val="18"/>
          <w:color w:val="auto"/>
        </w:rPr>
      </w:pPr>
      <w:r>
        <w:rPr>
          <w:rFonts w:ascii="Arial" w:cs="Arial" w:eastAsia="Arial" w:hAnsi="Arial"/>
          <w:sz w:val="18"/>
          <w:szCs w:val="18"/>
          <w:color w:val="auto"/>
        </w:rPr>
        <w:t>Own, hold, purchase, sell, withdraw, make, draw, accept, endorse, discount, guarantee and carry out any operation with promissory notes, bills of exchange, option certificates for the acquisition of shares and any other securities or credit instruments in any country, as well as to carry out foreign exchange operations;</w:t>
      </w:r>
    </w:p>
    <w:p>
      <w:pPr>
        <w:spacing w:after="0" w:line="183" w:lineRule="exact"/>
        <w:rPr>
          <w:rFonts w:ascii="Arial" w:cs="Arial" w:eastAsia="Arial" w:hAnsi="Arial"/>
          <w:sz w:val="18"/>
          <w:szCs w:val="18"/>
          <w:color w:val="auto"/>
        </w:rPr>
      </w:pPr>
    </w:p>
    <w:p>
      <w:pPr>
        <w:ind w:left="260" w:hanging="252"/>
        <w:spacing w:after="0" w:line="277" w:lineRule="auto"/>
        <w:tabs>
          <w:tab w:leader="none" w:pos="260" w:val="left"/>
        </w:tabs>
        <w:numPr>
          <w:ilvl w:val="0"/>
          <w:numId w:val="297"/>
        </w:numPr>
        <w:rPr>
          <w:rFonts w:ascii="Arial" w:cs="Arial" w:eastAsia="Arial" w:hAnsi="Arial"/>
          <w:sz w:val="18"/>
          <w:szCs w:val="18"/>
          <w:color w:val="auto"/>
        </w:rPr>
      </w:pPr>
      <w:r>
        <w:rPr>
          <w:rFonts w:ascii="Arial" w:cs="Arial" w:eastAsia="Arial" w:hAnsi="Arial"/>
          <w:sz w:val="18"/>
          <w:szCs w:val="18"/>
          <w:color w:val="auto"/>
        </w:rPr>
        <w:t>Borrow and accept credits from any companies or banking and credit institutions, and to issue bonds, debentures, promissory notes and any other kind of obligations or instruments;</w:t>
      </w:r>
    </w:p>
    <w:p>
      <w:pPr>
        <w:spacing w:after="0" w:line="170" w:lineRule="exact"/>
        <w:rPr>
          <w:rFonts w:ascii="Arial" w:cs="Arial" w:eastAsia="Arial" w:hAnsi="Arial"/>
          <w:sz w:val="18"/>
          <w:szCs w:val="18"/>
          <w:color w:val="auto"/>
        </w:rPr>
      </w:pPr>
    </w:p>
    <w:p>
      <w:pPr>
        <w:ind w:left="260" w:hanging="252"/>
        <w:spacing w:after="0"/>
        <w:tabs>
          <w:tab w:leader="none" w:pos="260" w:val="left"/>
        </w:tabs>
        <w:numPr>
          <w:ilvl w:val="0"/>
          <w:numId w:val="297"/>
        </w:numPr>
        <w:rPr>
          <w:rFonts w:ascii="Arial" w:cs="Arial" w:eastAsia="Arial" w:hAnsi="Arial"/>
          <w:sz w:val="18"/>
          <w:szCs w:val="18"/>
          <w:color w:val="auto"/>
        </w:rPr>
      </w:pPr>
      <w:r>
        <w:rPr>
          <w:rFonts w:ascii="Arial" w:cs="Arial" w:eastAsia="Arial" w:hAnsi="Arial"/>
          <w:sz w:val="18"/>
          <w:szCs w:val="18"/>
          <w:color w:val="auto"/>
        </w:rPr>
        <w:t>Act as an international financial agent;</w:t>
      </w:r>
    </w:p>
    <w:p>
      <w:pPr>
        <w:spacing w:after="0" w:line="225" w:lineRule="exact"/>
        <w:rPr>
          <w:rFonts w:ascii="Arial" w:cs="Arial" w:eastAsia="Arial" w:hAnsi="Arial"/>
          <w:sz w:val="18"/>
          <w:szCs w:val="18"/>
          <w:color w:val="auto"/>
        </w:rPr>
      </w:pPr>
    </w:p>
    <w:p>
      <w:pPr>
        <w:ind w:left="260" w:hanging="252"/>
        <w:spacing w:after="0"/>
        <w:tabs>
          <w:tab w:leader="none" w:pos="260" w:val="left"/>
        </w:tabs>
        <w:numPr>
          <w:ilvl w:val="0"/>
          <w:numId w:val="297"/>
        </w:numPr>
        <w:rPr>
          <w:rFonts w:ascii="Arial" w:cs="Arial" w:eastAsia="Arial" w:hAnsi="Arial"/>
          <w:sz w:val="18"/>
          <w:szCs w:val="18"/>
          <w:color w:val="auto"/>
        </w:rPr>
      </w:pPr>
      <w:r>
        <w:rPr>
          <w:rFonts w:ascii="Arial" w:cs="Arial" w:eastAsia="Arial" w:hAnsi="Arial"/>
          <w:sz w:val="18"/>
          <w:szCs w:val="18"/>
          <w:color w:val="auto"/>
        </w:rPr>
        <w:t>Generally, carry out any kind of banking, securities and financial operations.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list of powers mentioned above shall not be construed as a limitation or restriction of the powers of the corporation, but on the contrary, as additional and supplementary to the general powers and authorities granted to corporations by the laws of the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1783080" cy="889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44">
                      <a:extLst>
                        <a:ext uri="{28A0092B-C50C-407E-A947-70E740481C1C}"/>
                      </a:extLst>
                    </a:blip>
                    <a:srcRect/>
                    <a:stretch>
                      <a:fillRect/>
                    </a:stretch>
                  </pic:blipFill>
                  <pic:spPr bwMode="auto">
                    <a:xfrm>
                      <a:off x="0" y="0"/>
                      <a:ext cx="1783080" cy="8890"/>
                    </a:xfrm>
                    <a:prstGeom prst="rect">
                      <a:avLst/>
                    </a:prstGeom>
                    <a:noFill/>
                  </pic:spPr>
                </pic:pic>
              </a:graphicData>
            </a:graphic>
          </wp:anchor>
        </w:drawing>
      </w:r>
    </w:p>
    <w:p>
      <w:pPr>
        <w:spacing w:after="0" w:line="326" w:lineRule="exact"/>
        <w:rPr>
          <w:sz w:val="20"/>
          <w:szCs w:val="20"/>
          <w:color w:val="auto"/>
        </w:rPr>
      </w:pPr>
    </w:p>
    <w:p>
      <w:pPr>
        <w:jc w:val="both"/>
        <w:ind w:firstLine="8"/>
        <w:spacing w:after="0" w:line="218" w:lineRule="auto"/>
        <w:tabs>
          <w:tab w:leader="none" w:pos="131" w:val="left"/>
        </w:tabs>
        <w:numPr>
          <w:ilvl w:val="0"/>
          <w:numId w:val="298"/>
        </w:numPr>
        <w:rPr>
          <w:rFonts w:ascii="Arial" w:cs="Arial" w:eastAsia="Arial" w:hAnsi="Arial"/>
          <w:sz w:val="30"/>
          <w:szCs w:val="30"/>
          <w:color w:val="auto"/>
          <w:vertAlign w:val="superscript"/>
        </w:rPr>
      </w:pPr>
      <w:r>
        <w:rPr>
          <w:rFonts w:ascii="Arial" w:cs="Arial" w:eastAsia="Arial" w:hAnsi="Arial"/>
          <w:sz w:val="18"/>
          <w:szCs w:val="18"/>
          <w:color w:val="auto"/>
        </w:rPr>
        <w:t>The Amended and Restated Articles of Incorporation as filed with the Public Registry of Panama are originally written in Spanish language. This is an English translation of such Amended and Restated Articles of Incorporation. In the event of any discrepancies between the meaning of the terms of the Articles of Incorporation in English and the Articles of Incorporation in Spanish, the meaning of the terms of the Articles of Incorporation in Spanish will govern.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283210</wp:posOffset>
            </wp:positionV>
            <wp:extent cx="7132320" cy="8255"/>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64" w:name="page265"/>
    <w:bookmarkEnd w:id="264"/>
    <w:p>
      <w:pPr>
        <w:jc w:val="right"/>
        <w:spacing w:after="0"/>
        <w:rPr>
          <w:sz w:val="20"/>
          <w:szCs w:val="20"/>
          <w:color w:val="auto"/>
        </w:rPr>
      </w:pPr>
      <w:r>
        <w:rPr>
          <w:rFonts w:ascii="Arial" w:cs="Arial" w:eastAsia="Arial" w:hAnsi="Arial"/>
          <w:sz w:val="18"/>
          <w:szCs w:val="18"/>
          <w:color w:val="auto"/>
        </w:rPr>
        <w:t>2</w:t>
      </w: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4: (Authorized Capital)</w:t>
      </w:r>
    </w:p>
    <w:p>
      <w:pPr>
        <w:spacing w:after="0" w:line="229" w:lineRule="exact"/>
        <w:rPr>
          <w:sz w:val="20"/>
          <w:szCs w:val="20"/>
          <w:color w:val="auto"/>
        </w:rPr>
      </w:pPr>
    </w:p>
    <w:p>
      <w:pPr>
        <w:ind w:right="3660"/>
        <w:spacing w:after="0" w:line="277" w:lineRule="auto"/>
        <w:rPr>
          <w:sz w:val="20"/>
          <w:szCs w:val="20"/>
          <w:color w:val="auto"/>
        </w:rPr>
      </w:pPr>
      <w:r>
        <w:rPr>
          <w:rFonts w:ascii="Arial" w:cs="Arial" w:eastAsia="Arial" w:hAnsi="Arial"/>
          <w:sz w:val="18"/>
          <w:szCs w:val="18"/>
          <w:color w:val="auto"/>
        </w:rPr>
        <w:t>The corporation shall have an authorized capital of two hundred and ninety million (290,000,000) shares, divided as follows:</w:t>
      </w:r>
    </w:p>
    <w:p>
      <w:pPr>
        <w:spacing w:after="0" w:line="170" w:lineRule="exact"/>
        <w:rPr>
          <w:sz w:val="20"/>
          <w:szCs w:val="20"/>
          <w:color w:val="auto"/>
        </w:rPr>
      </w:pPr>
    </w:p>
    <w:p>
      <w:pPr>
        <w:ind w:left="260" w:hanging="252"/>
        <w:spacing w:after="0"/>
        <w:tabs>
          <w:tab w:leader="none" w:pos="260" w:val="left"/>
        </w:tabs>
        <w:numPr>
          <w:ilvl w:val="0"/>
          <w:numId w:val="299"/>
        </w:numPr>
        <w:rPr>
          <w:rFonts w:ascii="Arial" w:cs="Arial" w:eastAsia="Arial" w:hAnsi="Arial"/>
          <w:sz w:val="18"/>
          <w:szCs w:val="18"/>
          <w:color w:val="auto"/>
        </w:rPr>
      </w:pPr>
      <w:r>
        <w:rPr>
          <w:rFonts w:ascii="Arial" w:cs="Arial" w:eastAsia="Arial" w:hAnsi="Arial"/>
          <w:sz w:val="18"/>
          <w:szCs w:val="18"/>
          <w:color w:val="auto"/>
        </w:rPr>
        <w:t>Two hundred and eighty million (280,000,000) common shares without par value, comprised of:</w:t>
      </w:r>
    </w:p>
    <w:p>
      <w:pPr>
        <w:spacing w:after="0" w:line="225" w:lineRule="exact"/>
        <w:rPr>
          <w:rFonts w:ascii="Arial" w:cs="Arial" w:eastAsia="Arial" w:hAnsi="Arial"/>
          <w:sz w:val="18"/>
          <w:szCs w:val="18"/>
          <w:color w:val="auto"/>
        </w:rPr>
      </w:pPr>
    </w:p>
    <w:p>
      <w:pPr>
        <w:ind w:left="520" w:hanging="188"/>
        <w:spacing w:after="0"/>
        <w:tabs>
          <w:tab w:leader="none" w:pos="520" w:val="left"/>
        </w:tabs>
        <w:numPr>
          <w:ilvl w:val="1"/>
          <w:numId w:val="299"/>
        </w:numPr>
        <w:rPr>
          <w:rFonts w:ascii="Arial" w:cs="Arial" w:eastAsia="Arial" w:hAnsi="Arial"/>
          <w:sz w:val="18"/>
          <w:szCs w:val="18"/>
          <w:color w:val="auto"/>
        </w:rPr>
      </w:pPr>
      <w:r>
        <w:rPr>
          <w:rFonts w:ascii="Arial" w:cs="Arial" w:eastAsia="Arial" w:hAnsi="Arial"/>
          <w:sz w:val="18"/>
          <w:szCs w:val="18"/>
          <w:color w:val="auto"/>
        </w:rPr>
        <w:t>Forty million (40,000,000) class A common shares without par value;</w:t>
      </w:r>
    </w:p>
    <w:p>
      <w:pPr>
        <w:spacing w:after="0" w:line="225" w:lineRule="exact"/>
        <w:rPr>
          <w:rFonts w:ascii="Arial" w:cs="Arial" w:eastAsia="Arial" w:hAnsi="Arial"/>
          <w:sz w:val="18"/>
          <w:szCs w:val="18"/>
          <w:color w:val="auto"/>
        </w:rPr>
      </w:pPr>
    </w:p>
    <w:p>
      <w:pPr>
        <w:ind w:left="520" w:hanging="188"/>
        <w:spacing w:after="0"/>
        <w:tabs>
          <w:tab w:leader="none" w:pos="520" w:val="left"/>
        </w:tabs>
        <w:numPr>
          <w:ilvl w:val="1"/>
          <w:numId w:val="299"/>
        </w:numPr>
        <w:rPr>
          <w:rFonts w:ascii="Arial" w:cs="Arial" w:eastAsia="Arial" w:hAnsi="Arial"/>
          <w:sz w:val="18"/>
          <w:szCs w:val="18"/>
          <w:color w:val="auto"/>
        </w:rPr>
      </w:pPr>
      <w:r>
        <w:rPr>
          <w:rFonts w:ascii="Arial" w:cs="Arial" w:eastAsia="Arial" w:hAnsi="Arial"/>
          <w:sz w:val="18"/>
          <w:szCs w:val="18"/>
          <w:color w:val="auto"/>
        </w:rPr>
        <w:t>Forty million (40,000,000) class B common shares without par value;</w:t>
      </w:r>
    </w:p>
    <w:p>
      <w:pPr>
        <w:spacing w:after="0" w:line="225" w:lineRule="exact"/>
        <w:rPr>
          <w:rFonts w:ascii="Arial" w:cs="Arial" w:eastAsia="Arial" w:hAnsi="Arial"/>
          <w:sz w:val="18"/>
          <w:szCs w:val="18"/>
          <w:color w:val="auto"/>
        </w:rPr>
      </w:pPr>
    </w:p>
    <w:p>
      <w:pPr>
        <w:ind w:left="520" w:hanging="188"/>
        <w:spacing w:after="0"/>
        <w:tabs>
          <w:tab w:leader="none" w:pos="520" w:val="left"/>
        </w:tabs>
        <w:numPr>
          <w:ilvl w:val="1"/>
          <w:numId w:val="299"/>
        </w:numPr>
        <w:rPr>
          <w:rFonts w:ascii="Arial" w:cs="Arial" w:eastAsia="Arial" w:hAnsi="Arial"/>
          <w:sz w:val="18"/>
          <w:szCs w:val="18"/>
          <w:color w:val="auto"/>
        </w:rPr>
      </w:pPr>
      <w:r>
        <w:rPr>
          <w:rFonts w:ascii="Arial" w:cs="Arial" w:eastAsia="Arial" w:hAnsi="Arial"/>
          <w:sz w:val="18"/>
          <w:szCs w:val="18"/>
          <w:color w:val="auto"/>
        </w:rPr>
        <w:t>One hundred million (100,000,000) class E common shares without par value;</w:t>
      </w:r>
    </w:p>
    <w:p>
      <w:pPr>
        <w:spacing w:after="0" w:line="225" w:lineRule="exact"/>
        <w:rPr>
          <w:rFonts w:ascii="Arial" w:cs="Arial" w:eastAsia="Arial" w:hAnsi="Arial"/>
          <w:sz w:val="18"/>
          <w:szCs w:val="18"/>
          <w:color w:val="auto"/>
        </w:rPr>
      </w:pPr>
    </w:p>
    <w:p>
      <w:pPr>
        <w:ind w:left="520" w:hanging="188"/>
        <w:spacing w:after="0"/>
        <w:tabs>
          <w:tab w:leader="none" w:pos="520" w:val="left"/>
        </w:tabs>
        <w:numPr>
          <w:ilvl w:val="1"/>
          <w:numId w:val="299"/>
        </w:numPr>
        <w:rPr>
          <w:rFonts w:ascii="Arial" w:cs="Arial" w:eastAsia="Arial" w:hAnsi="Arial"/>
          <w:sz w:val="18"/>
          <w:szCs w:val="18"/>
          <w:color w:val="auto"/>
        </w:rPr>
      </w:pPr>
      <w:r>
        <w:rPr>
          <w:rFonts w:ascii="Arial" w:cs="Arial" w:eastAsia="Arial" w:hAnsi="Arial"/>
          <w:sz w:val="18"/>
          <w:szCs w:val="18"/>
          <w:color w:val="auto"/>
        </w:rPr>
        <w:t>One hundred million (100,000,000) class F common shares without par value; and</w:t>
      </w:r>
    </w:p>
    <w:p>
      <w:pPr>
        <w:spacing w:after="0" w:line="225" w:lineRule="exact"/>
        <w:rPr>
          <w:rFonts w:ascii="Arial" w:cs="Arial" w:eastAsia="Arial" w:hAnsi="Arial"/>
          <w:sz w:val="18"/>
          <w:szCs w:val="18"/>
          <w:color w:val="auto"/>
        </w:rPr>
      </w:pPr>
    </w:p>
    <w:p>
      <w:pPr>
        <w:ind w:left="260" w:hanging="252"/>
        <w:spacing w:after="0"/>
        <w:tabs>
          <w:tab w:leader="none" w:pos="260" w:val="left"/>
        </w:tabs>
        <w:numPr>
          <w:ilvl w:val="0"/>
          <w:numId w:val="299"/>
        </w:numPr>
        <w:rPr>
          <w:rFonts w:ascii="Arial" w:cs="Arial" w:eastAsia="Arial" w:hAnsi="Arial"/>
          <w:sz w:val="18"/>
          <w:szCs w:val="18"/>
          <w:color w:val="auto"/>
        </w:rPr>
      </w:pPr>
      <w:r>
        <w:rPr>
          <w:rFonts w:ascii="Arial" w:cs="Arial" w:eastAsia="Arial" w:hAnsi="Arial"/>
          <w:sz w:val="18"/>
          <w:szCs w:val="18"/>
          <w:color w:val="auto"/>
        </w:rPr>
        <w:t>Ten million (10,000,000) preferred shares, with a par value of ten U.S. Dollars (US$ 10.00) each.</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authorized capital shall be at least equal to the total amount represented by the preferred shares with par value, if any, plus an amount to be determined in respect of every common share without par value to be issued, and the amounts as may from time to time be added to the authorized capital by resolution of the board of directors.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All shares of the corporation, including common shares and preferred shares, shall be issued only in registered form.</w:t>
      </w:r>
    </w:p>
    <w:p>
      <w:pPr>
        <w:spacing w:after="0" w:line="225"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All common shares shall have the same rights and privileges, regardless of their class, except in such cases where these articles of incorporation expressly provide otherwise. Each class A, class B, class E and class F common share shall be entitled to one vote at meetings of the shareholders, except that, in respect of the election of directors, voting rights shall be exercised cumulatively by class as provided by article 12 of these articles of incorporation.</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color w:val="auto"/>
        </w:rPr>
        <w:t>Class A common shares may only be issued in the name of any of the following entities in Latin American countries:</w:t>
      </w:r>
    </w:p>
    <w:p>
      <w:pPr>
        <w:spacing w:after="0" w:line="225" w:lineRule="exact"/>
        <w:rPr>
          <w:sz w:val="20"/>
          <w:szCs w:val="20"/>
          <w:color w:val="auto"/>
        </w:rPr>
      </w:pPr>
    </w:p>
    <w:p>
      <w:pPr>
        <w:ind w:left="820" w:hanging="326"/>
        <w:spacing w:after="0"/>
        <w:tabs>
          <w:tab w:leader="none" w:pos="820" w:val="left"/>
        </w:tabs>
        <w:numPr>
          <w:ilvl w:val="0"/>
          <w:numId w:val="300"/>
        </w:numPr>
        <w:rPr>
          <w:rFonts w:ascii="Arial" w:cs="Arial" w:eastAsia="Arial" w:hAnsi="Arial"/>
          <w:sz w:val="18"/>
          <w:szCs w:val="18"/>
          <w:color w:val="auto"/>
        </w:rPr>
      </w:pPr>
      <w:r>
        <w:rPr>
          <w:rFonts w:ascii="Arial" w:cs="Arial" w:eastAsia="Arial" w:hAnsi="Arial"/>
          <w:sz w:val="18"/>
          <w:szCs w:val="18"/>
          <w:color w:val="auto"/>
        </w:rPr>
        <w:t>Central banks;</w:t>
      </w:r>
    </w:p>
    <w:p>
      <w:pPr>
        <w:spacing w:after="0" w:line="225" w:lineRule="exact"/>
        <w:rPr>
          <w:rFonts w:ascii="Arial" w:cs="Arial" w:eastAsia="Arial" w:hAnsi="Arial"/>
          <w:sz w:val="18"/>
          <w:szCs w:val="18"/>
          <w:color w:val="auto"/>
        </w:rPr>
      </w:pPr>
    </w:p>
    <w:p>
      <w:pPr>
        <w:ind w:left="820" w:hanging="326"/>
        <w:spacing w:after="0"/>
        <w:tabs>
          <w:tab w:leader="none" w:pos="820" w:val="left"/>
        </w:tabs>
        <w:numPr>
          <w:ilvl w:val="0"/>
          <w:numId w:val="300"/>
        </w:numPr>
        <w:rPr>
          <w:rFonts w:ascii="Arial" w:cs="Arial" w:eastAsia="Arial" w:hAnsi="Arial"/>
          <w:sz w:val="18"/>
          <w:szCs w:val="18"/>
          <w:color w:val="auto"/>
        </w:rPr>
      </w:pPr>
      <w:r>
        <w:rPr>
          <w:rFonts w:ascii="Arial" w:cs="Arial" w:eastAsia="Arial" w:hAnsi="Arial"/>
          <w:sz w:val="18"/>
          <w:szCs w:val="18"/>
          <w:color w:val="auto"/>
        </w:rPr>
        <w:t>Banks in which the State is the majority shareholder; or</w:t>
      </w:r>
    </w:p>
    <w:p>
      <w:pPr>
        <w:spacing w:after="0" w:line="225" w:lineRule="exact"/>
        <w:rPr>
          <w:rFonts w:ascii="Arial" w:cs="Arial" w:eastAsia="Arial" w:hAnsi="Arial"/>
          <w:sz w:val="18"/>
          <w:szCs w:val="18"/>
          <w:color w:val="auto"/>
        </w:rPr>
      </w:pPr>
    </w:p>
    <w:p>
      <w:pPr>
        <w:ind w:left="820" w:hanging="326"/>
        <w:spacing w:after="0"/>
        <w:tabs>
          <w:tab w:leader="none" w:pos="820" w:val="left"/>
        </w:tabs>
        <w:numPr>
          <w:ilvl w:val="0"/>
          <w:numId w:val="300"/>
        </w:numPr>
        <w:rPr>
          <w:rFonts w:ascii="Arial" w:cs="Arial" w:eastAsia="Arial" w:hAnsi="Arial"/>
          <w:sz w:val="18"/>
          <w:szCs w:val="18"/>
          <w:color w:val="auto"/>
        </w:rPr>
      </w:pPr>
      <w:r>
        <w:rPr>
          <w:rFonts w:ascii="Arial" w:cs="Arial" w:eastAsia="Arial" w:hAnsi="Arial"/>
          <w:sz w:val="18"/>
          <w:szCs w:val="18"/>
          <w:color w:val="auto"/>
        </w:rPr>
        <w:t>Other government agencies.</w:t>
      </w:r>
    </w:p>
    <w:p>
      <w:pPr>
        <w:spacing w:after="0" w:line="225"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For purposes of these articles of incorporation, the expression “Latin American countries” includes the countries, associated free states and island territories in the Caribbean.</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Class B common shares may only be issued in the name of banks or financial institutions.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Class E common shares may be issued in the name of any person, whether a natural person or a legal entity.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Class F common shares may only be issued in the name of:</w:t>
      </w:r>
    </w:p>
    <w:p>
      <w:pPr>
        <w:spacing w:after="0" w:line="225" w:lineRule="exact"/>
        <w:rPr>
          <w:sz w:val="20"/>
          <w:szCs w:val="20"/>
          <w:color w:val="auto"/>
        </w:rPr>
      </w:pPr>
    </w:p>
    <w:p>
      <w:pPr>
        <w:ind w:left="1140" w:hanging="646"/>
        <w:spacing w:after="0" w:line="277" w:lineRule="auto"/>
        <w:tabs>
          <w:tab w:leader="none" w:pos="1140" w:val="left"/>
        </w:tabs>
        <w:numPr>
          <w:ilvl w:val="0"/>
          <w:numId w:val="301"/>
        </w:numPr>
        <w:rPr>
          <w:rFonts w:ascii="Arial" w:cs="Arial" w:eastAsia="Arial" w:hAnsi="Arial"/>
          <w:sz w:val="18"/>
          <w:szCs w:val="18"/>
          <w:color w:val="auto"/>
        </w:rPr>
      </w:pPr>
      <w:r>
        <w:rPr>
          <w:rFonts w:ascii="Arial" w:cs="Arial" w:eastAsia="Arial" w:hAnsi="Arial"/>
          <w:sz w:val="18"/>
          <w:szCs w:val="18"/>
          <w:color w:val="auto"/>
        </w:rPr>
        <w:t>State entities and agencies of non-Latin American countries, including, among others, central banks and banks in which the State is the majority shareholder, of those countries; or</w:t>
      </w:r>
    </w:p>
    <w:p>
      <w:pPr>
        <w:spacing w:after="0" w:line="197" w:lineRule="exact"/>
        <w:rPr>
          <w:rFonts w:ascii="Arial" w:cs="Arial" w:eastAsia="Arial" w:hAnsi="Arial"/>
          <w:sz w:val="18"/>
          <w:szCs w:val="18"/>
          <w:color w:val="auto"/>
        </w:rPr>
      </w:pPr>
    </w:p>
    <w:p>
      <w:pPr>
        <w:ind w:left="1140" w:hanging="646"/>
        <w:spacing w:after="0"/>
        <w:tabs>
          <w:tab w:leader="none" w:pos="1140" w:val="left"/>
        </w:tabs>
        <w:numPr>
          <w:ilvl w:val="0"/>
          <w:numId w:val="301"/>
        </w:numPr>
        <w:rPr>
          <w:rFonts w:ascii="Arial" w:cs="Arial" w:eastAsia="Arial" w:hAnsi="Arial"/>
          <w:sz w:val="18"/>
          <w:szCs w:val="18"/>
          <w:color w:val="auto"/>
        </w:rPr>
      </w:pPr>
      <w:r>
        <w:rPr>
          <w:rFonts w:ascii="Arial" w:cs="Arial" w:eastAsia="Arial" w:hAnsi="Arial"/>
          <w:sz w:val="18"/>
          <w:szCs w:val="18"/>
          <w:color w:val="auto"/>
        </w:rPr>
        <w:t>Multilateral financial institutions, be it international or regional institutions.</w:t>
      </w:r>
    </w:p>
    <w:p>
      <w:pPr>
        <w:spacing w:after="0" w:line="225" w:lineRule="exact"/>
        <w:rPr>
          <w:sz w:val="20"/>
          <w:szCs w:val="20"/>
          <w:color w:val="auto"/>
        </w:rPr>
      </w:pPr>
    </w:p>
    <w:p>
      <w:pPr>
        <w:spacing w:after="0"/>
        <w:rPr>
          <w:sz w:val="20"/>
          <w:szCs w:val="20"/>
          <w:color w:val="auto"/>
        </w:rPr>
      </w:pPr>
      <w:r>
        <w:rPr>
          <w:rFonts w:ascii="Arial" w:cs="Arial" w:eastAsia="Arial" w:hAnsi="Arial"/>
          <w:sz w:val="17"/>
          <w:szCs w:val="17"/>
          <w:color w:val="auto"/>
        </w:rPr>
        <w:t>The board of directors shall determine whether a given person qualifies, or not, as a shareholder of the class A, B or F shares of the corporation.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296545</wp:posOffset>
            </wp:positionV>
            <wp:extent cx="7132320" cy="8890"/>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65" w:name="page266"/>
    <w:bookmarkEnd w:id="265"/>
    <w:p>
      <w:pPr>
        <w:jc w:val="right"/>
        <w:spacing w:after="0"/>
        <w:rPr>
          <w:sz w:val="20"/>
          <w:szCs w:val="20"/>
          <w:color w:val="auto"/>
        </w:rPr>
      </w:pPr>
      <w:r>
        <w:rPr>
          <w:rFonts w:ascii="Arial" w:cs="Arial" w:eastAsia="Arial" w:hAnsi="Arial"/>
          <w:sz w:val="18"/>
          <w:szCs w:val="18"/>
          <w:color w:val="auto"/>
        </w:rPr>
        <w:t>3</w:t>
      </w:r>
    </w:p>
    <w:p>
      <w:pPr>
        <w:spacing w:after="0" w:line="200" w:lineRule="exact"/>
        <w:rPr>
          <w:sz w:val="20"/>
          <w:szCs w:val="20"/>
          <w:color w:val="auto"/>
        </w:rPr>
      </w:pPr>
    </w:p>
    <w:p>
      <w:pPr>
        <w:spacing w:after="0" w:line="241"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preferred shares may be issued in one or more series, and each of those series shall have such rights, preferences, privileges and obligations as the board of directors establishes at the time of their original issuance, through a certificate of designation, which shall be filed with the Public Registry of the Republic of Panama. The issuance of preferred shares will require the affirmative vote of a majority of the directors present, which majority must include the votes of no less than two (2) directors which represent the class A shareholders. The preferred shares have no voting rights, except as otherwise contemplated in their certificate of designation and only in the case of breach of their terms.</w:t>
      </w:r>
    </w:p>
    <w:p>
      <w:pPr>
        <w:spacing w:after="0" w:line="176"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The preferred shareholders will only have the right to elect one (1) director (regardless of the existence of one or more series of preferred shares) in the event of a breach of the terms of the preferred shares, and only if so contemplated in the certificate of designation. The election of said director, if such be the case shall be made in accordance with the cumulative voting system set forth in Article 12 of these articles of incorporation. In the event the preferred shareholders have the right to elect one (1) director, the total number of directors of the corporation contemplated in Article 12 of these articles of incorporation shall be increased by one. The preferred shares that are redeemed and cancelled by the corporation may be reissued as part of the same or another series of preferred shares authorized by the board of directors of the corporation.</w:t>
      </w:r>
    </w:p>
    <w:p>
      <w:pPr>
        <w:spacing w:after="0" w:line="1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5: (Transfer and Exchange of Shares)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Class A common shares may only be transferred between the class A shareholders or persons that qualify to be class A shareholders.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Class B common shares may only be transferred between the class B shareholders or persons that qualify to be class B shareholders.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Class E common shares may be freely transferred without restriction to any person, whether a natural person or a legal entity.</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Class F common shares may only be transferred between class F shareholders or persons that qualify to be class F shareholders.</w:t>
      </w:r>
    </w:p>
    <w:p>
      <w:pPr>
        <w:spacing w:after="0" w:line="225"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 holders of class B common shares may at any time, and with no limitation, exchange class B common shares for class E common shares, at a rate of one (1) class B common share for one (1) class E common share. Whenever the right of conversion dealt with in this paragraph is exercised, the class B shares being exchanged shall be converted into class E shares, and consequently the certificates representing the shares that are transferred shall be cancelled, and in their stead new certificates representing class E shares shall be issued.</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Similarly, the holders of class F common shares may at any time, and with no limitation, exchange their class F common shares for class E common shares, at a rate of one (1) class F common share for one (1) class E common share.</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time the right of conversion dealt with in this paragraph is exercised, the class F shares being exchanged shall be converted into class E shares, and consequently the certificates representing the shares that are transferred shall be cancelled, and in their stead new certificates representing class E shares shall be issued.</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6: (Pre-emptive Rights)</w:t>
      </w:r>
    </w:p>
    <w:p>
      <w:pPr>
        <w:spacing w:after="0" w:line="229" w:lineRule="exact"/>
        <w:rPr>
          <w:sz w:val="20"/>
          <w:szCs w:val="20"/>
          <w:color w:val="auto"/>
        </w:rPr>
      </w:pPr>
    </w:p>
    <w:p>
      <w:pPr>
        <w:jc w:val="both"/>
        <w:spacing w:after="0" w:line="296" w:lineRule="auto"/>
        <w:rPr>
          <w:sz w:val="20"/>
          <w:szCs w:val="20"/>
          <w:color w:val="auto"/>
        </w:rPr>
      </w:pPr>
      <w:r>
        <w:rPr>
          <w:rFonts w:ascii="Arial" w:cs="Arial" w:eastAsia="Arial" w:hAnsi="Arial"/>
          <w:sz w:val="16"/>
          <w:szCs w:val="16"/>
          <w:color w:val="auto"/>
        </w:rPr>
        <w:t>Class A, class B and class F shareholders shall have pre-emptive rights in respect of shares of the same class of shares owned by them that may be issued by virtue of a capital increase, in proportion to the shares of the class owned by them. Notwithstanding the foregoing, in any given year, the corporation may issue and sell up to three percent (3%) of the issued and outstanding class A, class B and class F common shares of record as of January 1st of such year, without triggering pre-emptive rights with respect to those shares. The holders of class E shares shall have no pre-emptive rights in respect of any class of shares issued by virtue of a capital increase. The liability of shareholders is limited to the amounts unpaid for shares subscribed.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248920</wp:posOffset>
            </wp:positionV>
            <wp:extent cx="7132320" cy="8255"/>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66" w:name="page267"/>
    <w:bookmarkEnd w:id="266"/>
    <w:p>
      <w:pPr>
        <w:jc w:val="right"/>
        <w:spacing w:after="0"/>
        <w:rPr>
          <w:sz w:val="20"/>
          <w:szCs w:val="20"/>
          <w:color w:val="auto"/>
        </w:rPr>
      </w:pPr>
      <w:r>
        <w:rPr>
          <w:rFonts w:ascii="Arial" w:cs="Arial" w:eastAsia="Arial" w:hAnsi="Arial"/>
          <w:sz w:val="18"/>
          <w:szCs w:val="18"/>
          <w:color w:val="auto"/>
        </w:rPr>
        <w:t>4</w:t>
      </w: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7: (Share Register)</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share register required by law shall be kept at the main office of the corporation or at any other place determined by the board of directors. The corporation may appoint one or more transfer agents to register and transfer its shares. The share register may be kept by manual, electronic or any other means permitted by law. The shares in the corporation may be issued in the form of share certificates, global share certificates or in book entry form, as determined by the board of directors.</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8: (Domicile)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domicile of the corporation shall be in Panama City, Republic of Panama, but the corporation may, as</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approved by the board of directors, carry out operations and establish branches in any part of the world, as well as keep its records and hold assets in any part of the world. The corporation may also establish such subsidiaries, as it may deem convenient in order to conduct its business and its operations, either within or outside of the Republic of Panama.</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9: (Duration)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duration of the corporation shall be indefinite.</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10: (Meetings of Shareholders)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Meetings of shareholders may be held in the Republic of Panama or in any other country. There shall be a general meeting of holders of the common shares every year, on such date and in such place as may be determined by resolution of the board of directors, to elect directors and transact any other business duly submitted to the meeting by the board of directors.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Holders of the common shares shall hold extraordinary meetings, when called by the board of directors, as it may deem it necessary. In addition, the board of directors or the President of the corporation shall call an extraordinary meeting of holders of the common shares when requested in writing by one or more holders of common shares representing at least one-twentieth of the issued and outstanding capital.</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11: (Notice, Quorum and Voting in Meetings of Shareholders)</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In order to have a quorum at any meeting of shareholders, it is required that one-half plus one of the common shares issued and outstanding be represented at the meeting. Whenever a quorum is not obtained at a meeting of shareholders, the meeting shall be held in the second meeting date set forth in the notice of the meeting with the common shares represented in such second meeting date. All resolutions of shareholders shall be adopted by the affirmative vote of one-half plus one of the common shares represented at the meeting where the resolution was adopted. However, the adoption of resolutions regarding the following matters, shall require the affirmative vote of one-half plus one of the common shares represented at the meeting plus three-quarters (3/4) of all issued and outstanding class A shares:</w:t>
      </w:r>
    </w:p>
    <w:p>
      <w:pPr>
        <w:spacing w:after="0" w:line="192" w:lineRule="exact"/>
        <w:rPr>
          <w:sz w:val="20"/>
          <w:szCs w:val="20"/>
          <w:color w:val="auto"/>
        </w:rPr>
      </w:pPr>
    </w:p>
    <w:p>
      <w:pPr>
        <w:ind w:left="660" w:hanging="328"/>
        <w:spacing w:after="0"/>
        <w:tabs>
          <w:tab w:leader="none" w:pos="660" w:val="left"/>
        </w:tabs>
        <w:numPr>
          <w:ilvl w:val="0"/>
          <w:numId w:val="302"/>
        </w:numPr>
        <w:rPr>
          <w:rFonts w:ascii="Arial" w:cs="Arial" w:eastAsia="Arial" w:hAnsi="Arial"/>
          <w:sz w:val="18"/>
          <w:szCs w:val="18"/>
          <w:color w:val="auto"/>
        </w:rPr>
      </w:pPr>
      <w:r>
        <w:rPr>
          <w:rFonts w:ascii="Arial" w:cs="Arial" w:eastAsia="Arial" w:hAnsi="Arial"/>
          <w:sz w:val="18"/>
          <w:szCs w:val="18"/>
          <w:color w:val="auto"/>
        </w:rPr>
        <w:t>Dissolution of the corporation;</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02"/>
        </w:numPr>
        <w:rPr>
          <w:rFonts w:ascii="Arial" w:cs="Arial" w:eastAsia="Arial" w:hAnsi="Arial"/>
          <w:sz w:val="18"/>
          <w:szCs w:val="18"/>
          <w:color w:val="auto"/>
        </w:rPr>
      </w:pPr>
      <w:r>
        <w:rPr>
          <w:rFonts w:ascii="Arial" w:cs="Arial" w:eastAsia="Arial" w:hAnsi="Arial"/>
          <w:sz w:val="18"/>
          <w:szCs w:val="18"/>
          <w:color w:val="auto"/>
        </w:rPr>
        <w:t>Any amendment to articles 2, 3, 4, 11, 12, 16 and 21 of the articles of incorporation;</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02"/>
        </w:numPr>
        <w:rPr>
          <w:rFonts w:ascii="Arial" w:cs="Arial" w:eastAsia="Arial" w:hAnsi="Arial"/>
          <w:sz w:val="18"/>
          <w:szCs w:val="18"/>
          <w:color w:val="auto"/>
        </w:rPr>
      </w:pPr>
      <w:r>
        <w:rPr>
          <w:rFonts w:ascii="Arial" w:cs="Arial" w:eastAsia="Arial" w:hAnsi="Arial"/>
          <w:sz w:val="18"/>
          <w:szCs w:val="18"/>
          <w:color w:val="auto"/>
        </w:rPr>
        <w:t>A merger or consolidation of the corporation.</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Notice of meetings of shareholders, whether ordinary or extraordinary, shall be personally delivered to each registered shareholder with voting rights or sent by fax, telex, courier, air mail or any other means authorized by the board of the directors, at least thirty days before the date of the meeting, counted from the date that the notice was sent. The notice of the meeting shall include the agenda of the meeting. At any meeting of shareholders, shareholders may be represented by a proxy who need not be a shareholder, and who may be appointed by public or private document, with or without power of substitution.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245745</wp:posOffset>
            </wp:positionV>
            <wp:extent cx="7132320" cy="8890"/>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67" w:name="page268"/>
    <w:bookmarkEnd w:id="267"/>
    <w:p>
      <w:pPr>
        <w:jc w:val="right"/>
        <w:spacing w:after="0"/>
        <w:rPr>
          <w:sz w:val="20"/>
          <w:szCs w:val="20"/>
          <w:color w:val="auto"/>
        </w:rPr>
      </w:pPr>
      <w:r>
        <w:rPr>
          <w:rFonts w:ascii="Arial" w:cs="Arial" w:eastAsia="Arial" w:hAnsi="Arial"/>
          <w:sz w:val="18"/>
          <w:szCs w:val="18"/>
          <w:color w:val="auto"/>
        </w:rPr>
        <w:t>5</w:t>
      </w:r>
    </w:p>
    <w:p>
      <w:pPr>
        <w:spacing w:after="0" w:line="200" w:lineRule="exact"/>
        <w:rPr>
          <w:sz w:val="20"/>
          <w:szCs w:val="20"/>
          <w:color w:val="auto"/>
        </w:rPr>
      </w:pPr>
    </w:p>
    <w:p>
      <w:pPr>
        <w:spacing w:after="0" w:line="241"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Within a period of twenty (20) days prior to the date fixed for holding a meeting of shareholders, or during the meeting, any holder of common shares shall have the right to request, in the first case, the board of directors, and in the second case, the President of the meeting, to include any matter in the agenda. Such matter shall be considered by the meeting if the inclusion of the matter in the agenda is supported by the affirmative vote of two-thirds (2/3) of the common shares issued and outstanding.</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Whenever the holders of the preferred shares are entitled to vote pursuant to article 4(c) of these articles of incorporation, a meeting of the holders of the preferred shares shall be called by the President of the corporation as soon as possible.</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Upon request to the board of directors or the President of the corporation, shareholders representing at least one-twentieth of the issued and outstanding shares of any given class may hold a meeting separately as a class for the purpose of considering any matter which, in accordance with the provisions of these articles of incorporation and the by-laws, is within their competence.</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Quorum for a meeting of shareholders of any class of shares of common stock shall require that one-half plus one of the issued and outstanding shares of common stock of the said class be represented at the meeting.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Whenever a quorum is not obtained at a meeting of shareholders of any given class of shares of common</w:t>
      </w:r>
    </w:p>
    <w:p>
      <w:pPr>
        <w:spacing w:after="0" w:line="23" w:lineRule="exact"/>
        <w:rPr>
          <w:sz w:val="20"/>
          <w:szCs w:val="20"/>
          <w:color w:val="auto"/>
        </w:rPr>
      </w:pPr>
    </w:p>
    <w:p>
      <w:pPr>
        <w:jc w:val="both"/>
        <w:spacing w:after="0" w:line="260" w:lineRule="auto"/>
        <w:rPr>
          <w:sz w:val="20"/>
          <w:szCs w:val="20"/>
          <w:color w:val="auto"/>
        </w:rPr>
      </w:pPr>
      <w:r>
        <w:rPr>
          <w:rFonts w:ascii="Arial" w:cs="Arial" w:eastAsia="Arial" w:hAnsi="Arial"/>
          <w:sz w:val="18"/>
          <w:szCs w:val="18"/>
          <w:color w:val="auto"/>
        </w:rPr>
        <w:t>stock, the meeting shall be held in the second meeting date set forth in the notice of the meeting with the common shares of that particular class represented in such second meeting date.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12: (Board of Directors)</w:t>
      </w:r>
    </w:p>
    <w:p>
      <w:pPr>
        <w:spacing w:after="0" w:line="229"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Board of Directors shall direct and control the business and assets of the corporation, except for those matters specifically reserved to shareholders by law or these articles of incorporation. Without limiting the generality of the foregoing, the board of directors may dispose of the assets of the corporation or give them as security for obligations of the corporation or of its subsidiaries or affiliates or of persons in which the corporation has an interest.</w:t>
      </w:r>
    </w:p>
    <w:p>
      <w:pPr>
        <w:spacing w:after="0" w:line="149" w:lineRule="exact"/>
        <w:rPr>
          <w:sz w:val="20"/>
          <w:szCs w:val="20"/>
          <w:color w:val="auto"/>
        </w:rPr>
      </w:pPr>
    </w:p>
    <w:p>
      <w:pPr>
        <w:jc w:val="both"/>
        <w:ind w:right="20"/>
        <w:spacing w:after="0" w:line="263" w:lineRule="auto"/>
        <w:rPr>
          <w:sz w:val="20"/>
          <w:szCs w:val="20"/>
          <w:color w:val="auto"/>
        </w:rPr>
      </w:pPr>
      <w:r>
        <w:rPr>
          <w:rFonts w:ascii="Arial" w:cs="Arial" w:eastAsia="Arial" w:hAnsi="Arial"/>
          <w:sz w:val="18"/>
          <w:szCs w:val="18"/>
          <w:color w:val="auto"/>
        </w:rPr>
        <w:t>The Board of Directors may grant general and special powers of attorney, authorizing directors, officers and employees of the corporation or other persons to transact such business and affairs within the competence of the board of directors, as the board of directors may deem convenient to entrust to each of them.</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board of directors shall consist of ten (10) members, but may be increased to eleven (11) members, as follows:</w:t>
      </w:r>
    </w:p>
    <w:p>
      <w:pPr>
        <w:spacing w:after="0" w:line="225" w:lineRule="exact"/>
        <w:rPr>
          <w:sz w:val="20"/>
          <w:szCs w:val="20"/>
          <w:color w:val="auto"/>
        </w:rPr>
      </w:pPr>
    </w:p>
    <w:p>
      <w:pPr>
        <w:ind w:left="660" w:hanging="328"/>
        <w:spacing w:after="0"/>
        <w:tabs>
          <w:tab w:leader="none" w:pos="660" w:val="left"/>
        </w:tabs>
        <w:numPr>
          <w:ilvl w:val="0"/>
          <w:numId w:val="303"/>
        </w:numPr>
        <w:rPr>
          <w:rFonts w:ascii="Arial" w:cs="Arial" w:eastAsia="Arial" w:hAnsi="Arial"/>
          <w:sz w:val="18"/>
          <w:szCs w:val="18"/>
          <w:color w:val="auto"/>
        </w:rPr>
      </w:pPr>
      <w:r>
        <w:rPr>
          <w:rFonts w:ascii="Arial" w:cs="Arial" w:eastAsia="Arial" w:hAnsi="Arial"/>
          <w:sz w:val="18"/>
          <w:szCs w:val="18"/>
          <w:color w:val="auto"/>
        </w:rPr>
        <w:t>Three (3) directors shall be elected by the holders of the class A common shares;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03"/>
        </w:numPr>
        <w:rPr>
          <w:rFonts w:ascii="Arial" w:cs="Arial" w:eastAsia="Arial" w:hAnsi="Arial"/>
          <w:sz w:val="18"/>
          <w:szCs w:val="18"/>
          <w:color w:val="auto"/>
        </w:rPr>
      </w:pPr>
      <w:r>
        <w:rPr>
          <w:rFonts w:ascii="Arial" w:cs="Arial" w:eastAsia="Arial" w:hAnsi="Arial"/>
          <w:sz w:val="18"/>
          <w:szCs w:val="18"/>
          <w:color w:val="auto"/>
        </w:rPr>
        <w:t>Five (5) directors shall be elected by the holders of the class E common shares;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03"/>
        </w:numPr>
        <w:rPr>
          <w:rFonts w:ascii="Arial" w:cs="Arial" w:eastAsia="Arial" w:hAnsi="Arial"/>
          <w:sz w:val="18"/>
          <w:szCs w:val="18"/>
          <w:color w:val="auto"/>
        </w:rPr>
      </w:pPr>
      <w:r>
        <w:rPr>
          <w:rFonts w:ascii="Arial" w:cs="Arial" w:eastAsia="Arial" w:hAnsi="Arial"/>
          <w:sz w:val="18"/>
          <w:szCs w:val="18"/>
          <w:color w:val="auto"/>
        </w:rPr>
        <w:t>Two (2) directors shall be elected by the holders of all of the common shares; and</w:t>
      </w:r>
    </w:p>
    <w:p>
      <w:pPr>
        <w:spacing w:after="0" w:line="225" w:lineRule="exact"/>
        <w:rPr>
          <w:rFonts w:ascii="Arial" w:cs="Arial" w:eastAsia="Arial" w:hAnsi="Arial"/>
          <w:sz w:val="18"/>
          <w:szCs w:val="18"/>
          <w:color w:val="auto"/>
        </w:rPr>
      </w:pPr>
    </w:p>
    <w:p>
      <w:pPr>
        <w:jc w:val="both"/>
        <w:ind w:left="660" w:hanging="328"/>
        <w:spacing w:after="0" w:line="269" w:lineRule="auto"/>
        <w:tabs>
          <w:tab w:leader="none" w:pos="660" w:val="left"/>
        </w:tabs>
        <w:numPr>
          <w:ilvl w:val="0"/>
          <w:numId w:val="303"/>
        </w:numPr>
        <w:rPr>
          <w:rFonts w:ascii="Arial" w:cs="Arial" w:eastAsia="Arial" w:hAnsi="Arial"/>
          <w:sz w:val="17"/>
          <w:szCs w:val="17"/>
          <w:color w:val="auto"/>
        </w:rPr>
      </w:pPr>
      <w:r>
        <w:rPr>
          <w:rFonts w:ascii="Arial" w:cs="Arial" w:eastAsia="Arial" w:hAnsi="Arial"/>
          <w:sz w:val="17"/>
          <w:szCs w:val="17"/>
          <w:color w:val="auto"/>
        </w:rPr>
        <w:t>So long as the number of issued and outstanding class F common shares is equal to or greater than fifteen per cent (15%) of the total number of issued and outstanding common shares of the corporation, the class F shareholders shall have the right to elect one (1) director of the corporation. For purposes of this paragraph, on December 31st of each year, the Chairman and the Secretary of the corporation shall jointly determine, based upon the share register of the corporation, the percentage that the total number of issued and outstanding class F shares bear to the total number of issued and outstanding shares of common stock of the corporation on that date. Should the percentage so determined be such as to grant the class F shareholders the right to elect said director, the corporation shall take the necessary measures for the election of the same at the next ordinary annual meeting of shareholders. On the contrary, if the percentage so determined is such as to make the class F shareholders lose their right to representation on the board of directors, this shall be made known at the next ordinary annual meeting of shareholders and the class F director occupying the class F post will occupy so only until said ordinary annual meeting of shareholders, even if on that date the three-year term to which the class F director was elected had not yet expired. Despite the class F shareholders having lost the right to elect a director on a given year, this right shall be recovered if on any following December 31st the class F shareholders have a percentage of participation that allows them to elect one (1) director, as contemplated in this article.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259715</wp:posOffset>
            </wp:positionV>
            <wp:extent cx="7132320" cy="889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4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68" w:name="page269"/>
    <w:bookmarkEnd w:id="268"/>
    <w:p>
      <w:pPr>
        <w:jc w:val="right"/>
        <w:spacing w:after="0"/>
        <w:rPr>
          <w:sz w:val="20"/>
          <w:szCs w:val="20"/>
          <w:color w:val="auto"/>
        </w:rPr>
      </w:pPr>
      <w:r>
        <w:rPr>
          <w:rFonts w:ascii="Arial" w:cs="Arial" w:eastAsia="Arial" w:hAnsi="Arial"/>
          <w:sz w:val="18"/>
          <w:szCs w:val="18"/>
          <w:color w:val="auto"/>
        </w:rPr>
        <w:t>6</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6"/>
          <w:szCs w:val="16"/>
          <w:color w:val="auto"/>
        </w:rPr>
        <w:t>The board of directors may nominate candidates for the position of director for the E and F class of shares and for those elected by all the classes jointly.</w:t>
      </w:r>
    </w:p>
    <w:p>
      <w:pPr>
        <w:spacing w:after="0" w:line="248"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In the ordinary annual meeting of shareholders, the shareholders of each class shall elect the directors that they are entitled to appoint corresponding to each class of shares, in accordance with this article and the other provisions of these articles of incorporation. For all legal purposes, the composition of the board of directors shall remain the same until the new director or directors have been elected by the ordinary annual meeting of shareholders.</w:t>
      </w:r>
    </w:p>
    <w:p>
      <w:pPr>
        <w:spacing w:after="0" w:line="149" w:lineRule="exact"/>
        <w:rPr>
          <w:sz w:val="20"/>
          <w:szCs w:val="20"/>
          <w:color w:val="auto"/>
        </w:rPr>
      </w:pPr>
    </w:p>
    <w:p>
      <w:pPr>
        <w:spacing w:after="0"/>
        <w:rPr>
          <w:sz w:val="20"/>
          <w:szCs w:val="20"/>
          <w:color w:val="auto"/>
        </w:rPr>
      </w:pPr>
      <w:r>
        <w:rPr>
          <w:rFonts w:ascii="Arial" w:cs="Arial" w:eastAsia="Arial" w:hAnsi="Arial"/>
          <w:sz w:val="18"/>
          <w:szCs w:val="18"/>
          <w:color w:val="auto"/>
        </w:rPr>
        <w:t>Directors shall be elected for periods of three (3) years and may be re-elected.</w:t>
      </w:r>
    </w:p>
    <w:p>
      <w:pPr>
        <w:spacing w:after="0" w:line="225"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Whenever a person is elected as a class A or class F director, as the case may be, due to the position that such person occupies at an institution that is a class A or class F shareholder, respectively, and this is expressly stated at the time of such person’s nomination and election, then, after having been elected as such, said person shall submit his or her resignation as a director of the corporation if such person ceases to have the stated relation with said institution. Should such person fail to submit his or her resignation as a director of the corporation, the board of directors may declare the position vacant and proceed to fill the vacancy by electing a new director. The new director shall hold such office for the remainder of the period for which the director whose resignation or removal caused said vacancy had been elected.</w:t>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The holders of class A, class E and class F shares shall vote separately as a class for the election of directors of the corporation.</w:t>
      </w:r>
    </w:p>
    <w:p>
      <w:pPr>
        <w:spacing w:after="0" w:line="225" w:lineRule="exact"/>
        <w:rPr>
          <w:sz w:val="20"/>
          <w:szCs w:val="20"/>
          <w:color w:val="auto"/>
        </w:rPr>
      </w:pPr>
    </w:p>
    <w:p>
      <w:pPr>
        <w:jc w:val="both"/>
        <w:ind w:right="20"/>
        <w:spacing w:after="0" w:line="286" w:lineRule="auto"/>
        <w:rPr>
          <w:sz w:val="20"/>
          <w:szCs w:val="20"/>
          <w:color w:val="auto"/>
        </w:rPr>
      </w:pPr>
      <w:r>
        <w:rPr>
          <w:rFonts w:ascii="Arial" w:cs="Arial" w:eastAsia="Arial" w:hAnsi="Arial"/>
          <w:sz w:val="17"/>
          <w:szCs w:val="17"/>
          <w:color w:val="auto"/>
        </w:rPr>
        <w:t>The holders of class A, class E and class F shares may meet separately as a class, whenever deemed convenient, for the purpose of removing a director elected by such class. In addition, in the event of a vacancy among the directors elected by any such class, if the board of directors has not filled the corresponding vacancy, such class may meet separately to elect a new director for the remainder of the period of its predecessor.</w:t>
      </w:r>
    </w:p>
    <w:p>
      <w:pPr>
        <w:spacing w:after="0" w:line="165" w:lineRule="exact"/>
        <w:rPr>
          <w:sz w:val="20"/>
          <w:szCs w:val="20"/>
          <w:color w:val="auto"/>
        </w:rPr>
      </w:pPr>
    </w:p>
    <w:p>
      <w:pPr>
        <w:spacing w:after="0" w:line="261" w:lineRule="auto"/>
        <w:rPr>
          <w:sz w:val="20"/>
          <w:szCs w:val="20"/>
          <w:color w:val="auto"/>
        </w:rPr>
      </w:pPr>
      <w:r>
        <w:rPr>
          <w:rFonts w:ascii="Arial" w:cs="Arial" w:eastAsia="Arial" w:hAnsi="Arial"/>
          <w:sz w:val="18"/>
          <w:szCs w:val="18"/>
          <w:color w:val="auto"/>
        </w:rPr>
        <w:t>For the election of directors, the shareholders of each class shall have a number of votes equal to the number of shares for such class held by the shareholder, multiplied by the number of directors to be elected by such class, and the shareholder may cast all of the votes in favor of one candidate or distribute them among all the directors to be elected, or among two or more of them, as the shareholder may decide.</w:t>
      </w:r>
    </w:p>
    <w:p>
      <w:pPr>
        <w:spacing w:after="0" w:line="200" w:lineRule="exact"/>
        <w:rPr>
          <w:sz w:val="20"/>
          <w:szCs w:val="20"/>
          <w:color w:val="auto"/>
        </w:rPr>
      </w:pPr>
    </w:p>
    <w:p>
      <w:pPr>
        <w:spacing w:after="0" w:line="20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meetings of the board of directors shall be held as frequently as the by-laws stipulate, or as determined by the board of directors, in the Republic of Panama or in any other country. Directors will be deemed to be present at meetings of the board of directors if they are in direct communication by telephone, videoconference or any other means of communications authorized by the board of directors.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Notice of meetings of the board of directors shall be given to each director by an officer or director of the corporation, by personal delivery, fax, e-mail, telex, courier or air mail. The presence of a majority of the directors in office who are not employees of the corporation shall be required in order to hold a valid meeting of the board of directors.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The resolutions of the board of directors shall be adopted by the affirmative vote of the majority of the directors present at the meeting.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288925</wp:posOffset>
            </wp:positionV>
            <wp:extent cx="7132320" cy="8890"/>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69" w:name="page270"/>
    <w:bookmarkEnd w:id="269"/>
    <w:p>
      <w:pPr>
        <w:jc w:val="right"/>
        <w:spacing w:after="0"/>
        <w:rPr>
          <w:sz w:val="20"/>
          <w:szCs w:val="20"/>
          <w:color w:val="auto"/>
        </w:rPr>
      </w:pPr>
      <w:r>
        <w:rPr>
          <w:rFonts w:ascii="Arial" w:cs="Arial" w:eastAsia="Arial" w:hAnsi="Arial"/>
          <w:sz w:val="18"/>
          <w:szCs w:val="18"/>
          <w:color w:val="auto"/>
        </w:rPr>
        <w:t>7</w:t>
      </w:r>
    </w:p>
    <w:p>
      <w:pPr>
        <w:spacing w:after="0" w:line="200" w:lineRule="exact"/>
        <w:rPr>
          <w:sz w:val="20"/>
          <w:szCs w:val="20"/>
          <w:color w:val="auto"/>
        </w:rPr>
      </w:pPr>
    </w:p>
    <w:p>
      <w:pPr>
        <w:spacing w:after="0" w:line="24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Written resolutions of the board of directors that have been signed by a majority of the directors of the corporation shall be valid and binding resolutions of the board of directors, even if they have been signed on different dates and at different places, provided that the proposed resolution has been timely circulated</w:t>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among all directors.</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13: (Committees)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board of directors may create one or more committees that shall have the powers and the duties delegated to them by the board of directors, subject to the provisions of these articles of incorporation. Each committee shall have two or more members of the board of directors, appointed in the manner and for the term which the board of directors may determine.</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14: (Advisory Council)</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board of directors may appoint an advisory council that may be comprised of up to ten (10) persons. The advisory council shall meet twice a year or whenever the board of directors of the corporation may convene it, and its duties shall only consist of providing advice to the board of directors.</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15: (Officers)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corporation shall have a President, a Chief Executive Officer, a Treasurer and a Secretary who shall be elected by the board of directors; and it shall also have such other officers as the board of directors may determine from time to time.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16: (Chief Executive Officer)</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Chief Executive Officer shall be the legal representative of the corporation, and shall have the following powers subject to the directives established by the board of directors:</w:t>
      </w:r>
    </w:p>
    <w:p>
      <w:pPr>
        <w:spacing w:after="0" w:line="170" w:lineRule="exact"/>
        <w:rPr>
          <w:sz w:val="20"/>
          <w:szCs w:val="20"/>
          <w:color w:val="auto"/>
        </w:rPr>
      </w:pPr>
    </w:p>
    <w:p>
      <w:pPr>
        <w:ind w:left="660" w:hanging="328"/>
        <w:spacing w:after="0" w:line="277" w:lineRule="auto"/>
        <w:tabs>
          <w:tab w:leader="none" w:pos="660" w:val="left"/>
        </w:tabs>
        <w:numPr>
          <w:ilvl w:val="0"/>
          <w:numId w:val="304"/>
        </w:numPr>
        <w:rPr>
          <w:rFonts w:ascii="Arial" w:cs="Arial" w:eastAsia="Arial" w:hAnsi="Arial"/>
          <w:sz w:val="18"/>
          <w:szCs w:val="18"/>
          <w:color w:val="auto"/>
        </w:rPr>
      </w:pPr>
      <w:r>
        <w:rPr>
          <w:rFonts w:ascii="Arial" w:cs="Arial" w:eastAsia="Arial" w:hAnsi="Arial"/>
          <w:sz w:val="18"/>
          <w:szCs w:val="18"/>
          <w:color w:val="auto"/>
        </w:rPr>
        <w:t>To manage the affairs of the corporation on a daily basis, especially the execution of its programs, the conduct of its operations, the custody of its patrimony and the fulfillment of all of the resolutions of the board of directors;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304"/>
        </w:numPr>
        <w:rPr>
          <w:rFonts w:ascii="Arial" w:cs="Arial" w:eastAsia="Arial" w:hAnsi="Arial"/>
          <w:sz w:val="17"/>
          <w:szCs w:val="17"/>
          <w:color w:val="auto"/>
        </w:rPr>
      </w:pPr>
      <w:r>
        <w:rPr>
          <w:rFonts w:ascii="Arial" w:cs="Arial" w:eastAsia="Arial" w:hAnsi="Arial"/>
          <w:sz w:val="17"/>
          <w:szCs w:val="17"/>
          <w:color w:val="auto"/>
        </w:rPr>
        <w:t>To appoint, promote, transfer and remove the corporation’s employees, as well as to fix their remuneration and other working conditions;</w:t>
      </w:r>
    </w:p>
    <w:p>
      <w:pPr>
        <w:spacing w:after="0" w:line="236" w:lineRule="exact"/>
        <w:rPr>
          <w:rFonts w:ascii="Arial" w:cs="Arial" w:eastAsia="Arial" w:hAnsi="Arial"/>
          <w:sz w:val="17"/>
          <w:szCs w:val="17"/>
          <w:color w:val="auto"/>
        </w:rPr>
      </w:pPr>
    </w:p>
    <w:p>
      <w:pPr>
        <w:ind w:left="660" w:hanging="328"/>
        <w:spacing w:after="0"/>
        <w:tabs>
          <w:tab w:leader="none" w:pos="660" w:val="left"/>
        </w:tabs>
        <w:numPr>
          <w:ilvl w:val="0"/>
          <w:numId w:val="304"/>
        </w:numPr>
        <w:rPr>
          <w:rFonts w:ascii="Arial" w:cs="Arial" w:eastAsia="Arial" w:hAnsi="Arial"/>
          <w:sz w:val="18"/>
          <w:szCs w:val="18"/>
          <w:color w:val="auto"/>
        </w:rPr>
      </w:pPr>
      <w:r>
        <w:rPr>
          <w:rFonts w:ascii="Arial" w:cs="Arial" w:eastAsia="Arial" w:hAnsi="Arial"/>
          <w:sz w:val="18"/>
          <w:szCs w:val="18"/>
          <w:color w:val="auto"/>
        </w:rPr>
        <w:t>To grant powers of attorney to be granted for the purposes of judicial or out-of-court representation of the corporation;</w:t>
      </w:r>
    </w:p>
    <w:p>
      <w:pPr>
        <w:spacing w:after="0" w:line="225" w:lineRule="exact"/>
        <w:rPr>
          <w:rFonts w:ascii="Arial" w:cs="Arial" w:eastAsia="Arial" w:hAnsi="Arial"/>
          <w:sz w:val="18"/>
          <w:szCs w:val="18"/>
          <w:color w:val="auto"/>
        </w:rPr>
      </w:pPr>
    </w:p>
    <w:p>
      <w:pPr>
        <w:ind w:left="660" w:right="20" w:hanging="328"/>
        <w:spacing w:after="0" w:line="277" w:lineRule="auto"/>
        <w:tabs>
          <w:tab w:leader="none" w:pos="660" w:val="left"/>
        </w:tabs>
        <w:numPr>
          <w:ilvl w:val="0"/>
          <w:numId w:val="304"/>
        </w:numPr>
        <w:rPr>
          <w:rFonts w:ascii="Arial" w:cs="Arial" w:eastAsia="Arial" w:hAnsi="Arial"/>
          <w:sz w:val="18"/>
          <w:szCs w:val="18"/>
          <w:color w:val="auto"/>
        </w:rPr>
      </w:pPr>
      <w:r>
        <w:rPr>
          <w:rFonts w:ascii="Arial" w:cs="Arial" w:eastAsia="Arial" w:hAnsi="Arial"/>
          <w:sz w:val="18"/>
          <w:szCs w:val="18"/>
          <w:color w:val="auto"/>
        </w:rPr>
        <w:t>To participate in the meetings of the board of directors, and to authorize by his signature the corporation’s acts, contracts and documents, within the parameters established by the board of directors; and</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304"/>
        </w:numPr>
        <w:rPr>
          <w:rFonts w:ascii="Arial" w:cs="Arial" w:eastAsia="Arial" w:hAnsi="Arial"/>
          <w:sz w:val="18"/>
          <w:szCs w:val="18"/>
          <w:color w:val="auto"/>
        </w:rPr>
      </w:pPr>
      <w:r>
        <w:rPr>
          <w:rFonts w:ascii="Arial" w:cs="Arial" w:eastAsia="Arial" w:hAnsi="Arial"/>
          <w:sz w:val="18"/>
          <w:szCs w:val="18"/>
          <w:color w:val="auto"/>
        </w:rPr>
        <w:t>Any other powers which the board of directors may delegate to him.</w:t>
      </w:r>
    </w:p>
    <w:p>
      <w:pPr>
        <w:spacing w:after="0" w:line="225"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In the permanent absence of the Chief Executive Officer, the representation of the corporation shall rest on the person or persons whom the board of directors may determine from time to time.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17: (By-laws)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board of directors may adopt and amend the by-laws of the corporation.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288925</wp:posOffset>
            </wp:positionV>
            <wp:extent cx="7132320" cy="8255"/>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70" w:name="page271"/>
    <w:bookmarkEnd w:id="270"/>
    <w:p>
      <w:pPr>
        <w:jc w:val="right"/>
        <w:spacing w:after="0"/>
        <w:rPr>
          <w:sz w:val="20"/>
          <w:szCs w:val="20"/>
          <w:color w:val="auto"/>
        </w:rPr>
      </w:pPr>
      <w:r>
        <w:rPr>
          <w:rFonts w:ascii="Arial" w:cs="Arial" w:eastAsia="Arial" w:hAnsi="Arial"/>
          <w:sz w:val="18"/>
          <w:szCs w:val="18"/>
          <w:color w:val="auto"/>
        </w:rPr>
        <w:t>8</w:t>
      </w: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18: (Amendments)</w:t>
      </w:r>
    </w:p>
    <w:p>
      <w:pPr>
        <w:spacing w:after="0" w:line="229" w:lineRule="exact"/>
        <w:rPr>
          <w:sz w:val="20"/>
          <w:szCs w:val="20"/>
          <w:color w:val="auto"/>
        </w:rPr>
      </w:pPr>
    </w:p>
    <w:p>
      <w:pPr>
        <w:ind w:right="20"/>
        <w:spacing w:after="0" w:line="308" w:lineRule="auto"/>
        <w:rPr>
          <w:sz w:val="20"/>
          <w:szCs w:val="20"/>
          <w:color w:val="auto"/>
        </w:rPr>
      </w:pPr>
      <w:r>
        <w:rPr>
          <w:rFonts w:ascii="Arial" w:cs="Arial" w:eastAsia="Arial" w:hAnsi="Arial"/>
          <w:sz w:val="17"/>
          <w:szCs w:val="17"/>
          <w:color w:val="auto"/>
        </w:rPr>
        <w:t>The corporation reserves the right to amend these articles of incorporation, from time to time, as the shareholders may approve, in accordance with article 11 of these articles of incorporation, and all of the rights conferred to shareholders, directors and officers shall be subject to this reservation.</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19: (Resident Agent)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As long as the board of directors does not otherwise decide, the resident agent of the corporation shall be</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law firm of Arias, Fábrega &amp; Fábrega, with a domicile in Plaza Bancomer Building, Fiftieth street, Panama City, Republic of Panama.</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20: (Subscribers)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names, addresses and the number of shares subscribed by the original subscribers of shares in the corporation appear set down in the original Articles of Incorporation of the corporation, which has been duly registered in the Public Registry of the Republic of Panama.</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21: (Fundamental Financial Policies)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fundamental financial policies of the corporation are the following:</w:t>
      </w:r>
    </w:p>
    <w:p>
      <w:pPr>
        <w:spacing w:after="0" w:line="225" w:lineRule="exact"/>
        <w:rPr>
          <w:sz w:val="20"/>
          <w:szCs w:val="20"/>
          <w:color w:val="auto"/>
        </w:rPr>
      </w:pPr>
    </w:p>
    <w:p>
      <w:pPr>
        <w:ind w:left="660" w:hanging="328"/>
        <w:spacing w:after="0" w:line="342" w:lineRule="auto"/>
        <w:tabs>
          <w:tab w:leader="none" w:pos="660" w:val="left"/>
        </w:tabs>
        <w:numPr>
          <w:ilvl w:val="0"/>
          <w:numId w:val="305"/>
        </w:numPr>
        <w:rPr>
          <w:rFonts w:ascii="Arial" w:cs="Arial" w:eastAsia="Arial" w:hAnsi="Arial"/>
          <w:sz w:val="16"/>
          <w:szCs w:val="16"/>
          <w:color w:val="auto"/>
        </w:rPr>
      </w:pPr>
      <w:r>
        <w:rPr>
          <w:rFonts w:ascii="Arial" w:cs="Arial" w:eastAsia="Arial" w:hAnsi="Arial"/>
          <w:sz w:val="16"/>
          <w:szCs w:val="16"/>
          <w:color w:val="auto"/>
        </w:rPr>
        <w:t>In all its credit operations, the corporation shall be guided by business criteria framed within the conditions of competition in the financial markets wherein it may operate. Specifically, the corporation shall not grant subsidies of interest rates nor banking commissions under any circumstances.</w:t>
      </w:r>
    </w:p>
    <w:p>
      <w:pPr>
        <w:spacing w:after="0" w:line="123" w:lineRule="exact"/>
        <w:rPr>
          <w:rFonts w:ascii="Arial" w:cs="Arial" w:eastAsia="Arial" w:hAnsi="Arial"/>
          <w:sz w:val="16"/>
          <w:szCs w:val="16"/>
          <w:color w:val="auto"/>
        </w:rPr>
      </w:pPr>
    </w:p>
    <w:p>
      <w:pPr>
        <w:jc w:val="both"/>
        <w:ind w:left="660" w:hanging="328"/>
        <w:spacing w:after="0" w:line="263" w:lineRule="auto"/>
        <w:tabs>
          <w:tab w:leader="none" w:pos="660" w:val="left"/>
        </w:tabs>
        <w:numPr>
          <w:ilvl w:val="0"/>
          <w:numId w:val="305"/>
        </w:numPr>
        <w:rPr>
          <w:rFonts w:ascii="Arial" w:cs="Arial" w:eastAsia="Arial" w:hAnsi="Arial"/>
          <w:sz w:val="18"/>
          <w:szCs w:val="18"/>
          <w:color w:val="auto"/>
        </w:rPr>
      </w:pPr>
      <w:r>
        <w:rPr>
          <w:rFonts w:ascii="Arial" w:cs="Arial" w:eastAsia="Arial" w:hAnsi="Arial"/>
          <w:sz w:val="18"/>
          <w:szCs w:val="18"/>
          <w:color w:val="auto"/>
        </w:rPr>
        <w:t>For the rediscount of documents and the granting of loans, the corporation shall ascertain the existence of adequate conditions for the convertibility and transferability of the currencies required to liquidate the corresponding obligations at their maturity and, when proper, shall adopt the necessary measures to comply with such conditions.</w:t>
      </w:r>
    </w:p>
    <w:p>
      <w:pPr>
        <w:spacing w:after="0" w:line="183" w:lineRule="exact"/>
        <w:rPr>
          <w:rFonts w:ascii="Arial" w:cs="Arial" w:eastAsia="Arial" w:hAnsi="Arial"/>
          <w:sz w:val="18"/>
          <w:szCs w:val="18"/>
          <w:color w:val="auto"/>
        </w:rPr>
      </w:pPr>
    </w:p>
    <w:p>
      <w:pPr>
        <w:jc w:val="both"/>
        <w:ind w:left="660" w:hanging="328"/>
        <w:spacing w:after="0" w:line="275" w:lineRule="auto"/>
        <w:tabs>
          <w:tab w:leader="none" w:pos="660" w:val="left"/>
        </w:tabs>
        <w:numPr>
          <w:ilvl w:val="0"/>
          <w:numId w:val="305"/>
        </w:numPr>
        <w:rPr>
          <w:rFonts w:ascii="Arial" w:cs="Arial" w:eastAsia="Arial" w:hAnsi="Arial"/>
          <w:sz w:val="17"/>
          <w:szCs w:val="17"/>
          <w:color w:val="auto"/>
        </w:rPr>
      </w:pPr>
      <w:r>
        <w:rPr>
          <w:rFonts w:ascii="Arial" w:cs="Arial" w:eastAsia="Arial" w:hAnsi="Arial"/>
          <w:sz w:val="17"/>
          <w:szCs w:val="17"/>
          <w:color w:val="auto"/>
        </w:rPr>
        <w:t>The corporation may only grant credit to borrowers organized, domiciled or operating in a country whose corresponding state agency is a holder of class A shares. Notwithstanding the foregoing, the corporation may grant credit to borrowers who do not meet the previously stated qualification, as long as the object of such loans is, directly or indirectly, related to the foreign trade of countries whose corresponding trade agency is a holder of class A shares. In order to facilitate the diversification and management of liquidity, credit and market risks, the restrictions described above shall not extend to the investment portfolio administered by the corporation’s Treasury.</w:t>
      </w:r>
    </w:p>
    <w:p>
      <w:pPr>
        <w:spacing w:after="0" w:line="176" w:lineRule="exact"/>
        <w:rPr>
          <w:rFonts w:ascii="Arial" w:cs="Arial" w:eastAsia="Arial" w:hAnsi="Arial"/>
          <w:sz w:val="17"/>
          <w:szCs w:val="17"/>
          <w:color w:val="auto"/>
        </w:rPr>
      </w:pPr>
    </w:p>
    <w:p>
      <w:pPr>
        <w:jc w:val="both"/>
        <w:ind w:left="660" w:hanging="328"/>
        <w:spacing w:after="0" w:line="263" w:lineRule="auto"/>
        <w:tabs>
          <w:tab w:leader="none" w:pos="660" w:val="left"/>
        </w:tabs>
        <w:numPr>
          <w:ilvl w:val="0"/>
          <w:numId w:val="305"/>
        </w:numPr>
        <w:rPr>
          <w:rFonts w:ascii="Arial" w:cs="Arial" w:eastAsia="Arial" w:hAnsi="Arial"/>
          <w:sz w:val="18"/>
          <w:szCs w:val="18"/>
          <w:color w:val="auto"/>
        </w:rPr>
      </w:pPr>
      <w:r>
        <w:rPr>
          <w:rFonts w:ascii="Arial" w:cs="Arial" w:eastAsia="Arial" w:hAnsi="Arial"/>
          <w:sz w:val="18"/>
          <w:szCs w:val="18"/>
          <w:color w:val="auto"/>
        </w:rPr>
        <w:t>The corporation may accept sight and time deposits, negotiate loans and lines of credit in its favor and, in general, issue all type of securities to obtain financial resources. The conditions of these operations by the corporation shall be framed within the policies determined to such effect by the board of directors.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corporation may carry out studies and take any steps that it may deem to be relevant to establish export credit insurance systems of a multinational nature and collaborate with Latin American countries in carrying out market research for the promotion of exports of goods and services, in accordance with programs approved by the board of directors for such purpose.</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22: (First Transitory Article)</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Without prejudice to the provisions of article 12 of these articles of incorporation, and in order to maintain a staggered board, the directors of the corporation shall be the following persons as from the moment of approval of these amendments to the articles of incorporation.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254635</wp:posOffset>
            </wp:positionV>
            <wp:extent cx="7132320" cy="8255"/>
            <wp:wrapNone/>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71" w:name="page272"/>
    <w:bookmarkEnd w:id="271"/>
    <w:p>
      <w:pPr>
        <w:jc w:val="right"/>
        <w:spacing w:after="0"/>
        <w:rPr>
          <w:sz w:val="20"/>
          <w:szCs w:val="20"/>
          <w:color w:val="auto"/>
        </w:rPr>
      </w:pPr>
      <w:r>
        <w:rPr>
          <w:rFonts w:ascii="Arial" w:cs="Arial" w:eastAsia="Arial" w:hAnsi="Arial"/>
          <w:sz w:val="18"/>
          <w:szCs w:val="18"/>
          <w:color w:val="auto"/>
        </w:rPr>
        <w:t>9</w:t>
      </w:r>
    </w:p>
    <w:p>
      <w:pPr>
        <w:spacing w:after="0" w:line="200" w:lineRule="exact"/>
        <w:rPr>
          <w:sz w:val="20"/>
          <w:szCs w:val="20"/>
          <w:color w:val="auto"/>
        </w:rPr>
      </w:pP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60" w:type="dxa"/>
            <w:vAlign w:val="bottom"/>
          </w:tcPr>
          <w:p>
            <w:pPr>
              <w:spacing w:after="0"/>
              <w:rPr>
                <w:sz w:val="20"/>
                <w:szCs w:val="20"/>
                <w:color w:val="auto"/>
              </w:rPr>
            </w:pPr>
            <w:r>
              <w:rPr>
                <w:rFonts w:ascii="Arial" w:cs="Arial" w:eastAsia="Arial" w:hAnsi="Arial"/>
                <w:sz w:val="18"/>
                <w:szCs w:val="18"/>
                <w:b w:val="1"/>
                <w:bCs w:val="1"/>
                <w:color w:val="auto"/>
                <w:w w:val="89"/>
              </w:rPr>
              <w:t>Name</w:t>
            </w:r>
          </w:p>
        </w:tc>
        <w:tc>
          <w:tcPr>
            <w:tcW w:w="2620" w:type="dxa"/>
            <w:vAlign w:val="bottom"/>
          </w:tcPr>
          <w:p>
            <w:pPr>
              <w:spacing w:after="0"/>
              <w:rPr>
                <w:sz w:val="17"/>
                <w:szCs w:val="17"/>
                <w:color w:val="auto"/>
              </w:rPr>
            </w:pPr>
          </w:p>
        </w:tc>
        <w:tc>
          <w:tcPr>
            <w:tcW w:w="2880" w:type="dxa"/>
            <w:vAlign w:val="bottom"/>
            <w:gridSpan w:val="3"/>
          </w:tcPr>
          <w:p>
            <w:pPr>
              <w:jc w:val="center"/>
              <w:ind w:left="570"/>
              <w:spacing w:after="0"/>
              <w:rPr>
                <w:sz w:val="20"/>
                <w:szCs w:val="20"/>
                <w:color w:val="auto"/>
              </w:rPr>
            </w:pPr>
            <w:r>
              <w:rPr>
                <w:rFonts w:ascii="Arial" w:cs="Arial" w:eastAsia="Arial" w:hAnsi="Arial"/>
                <w:sz w:val="18"/>
                <w:szCs w:val="18"/>
                <w:b w:val="1"/>
                <w:bCs w:val="1"/>
                <w:color w:val="auto"/>
                <w:w w:val="86"/>
              </w:rPr>
              <w:t>Represents Class</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b w:val="1"/>
                <w:bCs w:val="1"/>
                <w:color w:val="auto"/>
                <w:w w:val="91"/>
              </w:rPr>
              <w:t>Term Expires</w:t>
            </w:r>
          </w:p>
        </w:tc>
        <w:tc>
          <w:tcPr>
            <w:tcW w:w="2440" w:type="dxa"/>
            <w:vAlign w:val="bottom"/>
            <w:gridSpan w:val="2"/>
          </w:tcPr>
          <w:p>
            <w:pPr>
              <w:ind w:left="1800"/>
              <w:spacing w:after="0"/>
              <w:rPr>
                <w:sz w:val="20"/>
                <w:szCs w:val="20"/>
                <w:color w:val="auto"/>
              </w:rPr>
            </w:pPr>
            <w:r>
              <w:rPr>
                <w:rFonts w:ascii="Arial" w:cs="Arial" w:eastAsia="Arial" w:hAnsi="Arial"/>
                <w:sz w:val="18"/>
                <w:szCs w:val="18"/>
                <w:b w:val="1"/>
                <w:bCs w:val="1"/>
                <w:color w:val="auto"/>
                <w:w w:val="86"/>
              </w:rPr>
              <w:t>Address</w:t>
            </w:r>
          </w:p>
        </w:tc>
      </w:tr>
      <w:tr>
        <w:trPr>
          <w:trHeight w:val="20"/>
        </w:trPr>
        <w:tc>
          <w:tcPr>
            <w:tcW w:w="460" w:type="dxa"/>
            <w:vAlign w:val="bottom"/>
            <w:shd w:val="clear" w:color="auto" w:fill="000000"/>
          </w:tcPr>
          <w:p>
            <w:pPr>
              <w:spacing w:after="0" w:line="20" w:lineRule="exact"/>
              <w:rPr>
                <w:sz w:val="1"/>
                <w:szCs w:val="1"/>
                <w:color w:val="auto"/>
              </w:rPr>
            </w:pPr>
          </w:p>
        </w:tc>
        <w:tc>
          <w:tcPr>
            <w:tcW w:w="26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300" w:type="dxa"/>
            <w:vAlign w:val="bottom"/>
            <w:shd w:val="clear" w:color="auto" w:fill="000000"/>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r>
      <w:tr>
        <w:trPr>
          <w:trHeight w:val="438"/>
        </w:trPr>
        <w:tc>
          <w:tcPr>
            <w:tcW w:w="3080" w:type="dxa"/>
            <w:vAlign w:val="bottom"/>
            <w:gridSpan w:val="2"/>
          </w:tcPr>
          <w:p>
            <w:pPr>
              <w:spacing w:after="0"/>
              <w:rPr>
                <w:sz w:val="20"/>
                <w:szCs w:val="20"/>
                <w:color w:val="auto"/>
              </w:rPr>
            </w:pPr>
            <w:r>
              <w:rPr>
                <w:rFonts w:ascii="Arial" w:cs="Arial" w:eastAsia="Arial" w:hAnsi="Arial"/>
                <w:sz w:val="18"/>
                <w:szCs w:val="18"/>
                <w:color w:val="auto"/>
              </w:rPr>
              <w:t>Guillermo Güemez García</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rPr>
              <w:t>A</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2002</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w w:val="93"/>
              </w:rPr>
              <w:t>5 de Mayo No. 2, 4to. Piso</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Colonia Centro,</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Código Postal 06059</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México D.F</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Rossano Maranhao Pinto</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rPr>
              <w:t>A</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2001</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Edif. Sede III- 24 Andar</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CEP.70089-900</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Brasilia- DH- Brasil</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Sebastiao G. Toledo Cunha</w:t>
            </w:r>
          </w:p>
        </w:tc>
        <w:tc>
          <w:tcPr>
            <w:tcW w:w="1120" w:type="dxa"/>
            <w:vAlign w:val="bottom"/>
          </w:tcPr>
          <w:p>
            <w:pPr>
              <w:spacing w:after="0"/>
              <w:rPr>
                <w:sz w:val="24"/>
                <w:szCs w:val="24"/>
                <w:color w:val="auto"/>
              </w:rPr>
            </w:pPr>
          </w:p>
        </w:tc>
        <w:tc>
          <w:tcPr>
            <w:tcW w:w="1760" w:type="dxa"/>
            <w:vAlign w:val="bottom"/>
            <w:gridSpan w:val="2"/>
          </w:tcPr>
          <w:p>
            <w:pPr>
              <w:jc w:val="center"/>
              <w:ind w:right="480"/>
              <w:spacing w:after="0"/>
              <w:rPr>
                <w:sz w:val="20"/>
                <w:szCs w:val="20"/>
                <w:color w:val="auto"/>
              </w:rPr>
            </w:pPr>
            <w:r>
              <w:rPr>
                <w:rFonts w:ascii="Arial" w:cs="Arial" w:eastAsia="Arial" w:hAnsi="Arial"/>
                <w:sz w:val="18"/>
                <w:szCs w:val="18"/>
                <w:color w:val="auto"/>
                <w:w w:val="99"/>
              </w:rPr>
              <w:t>B</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2001</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w w:val="98"/>
              </w:rPr>
              <w:t>A. Paulista 1000–16 Piso</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CEP.01310-912</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Sao Paulo, SP, Brasil</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Ernesto A. Bruggia</w:t>
            </w:r>
          </w:p>
        </w:tc>
        <w:tc>
          <w:tcPr>
            <w:tcW w:w="1120" w:type="dxa"/>
            <w:vAlign w:val="bottom"/>
          </w:tcPr>
          <w:p>
            <w:pPr>
              <w:spacing w:after="0"/>
              <w:rPr>
                <w:sz w:val="24"/>
                <w:szCs w:val="24"/>
                <w:color w:val="auto"/>
              </w:rPr>
            </w:pPr>
          </w:p>
        </w:tc>
        <w:tc>
          <w:tcPr>
            <w:tcW w:w="1760" w:type="dxa"/>
            <w:vAlign w:val="bottom"/>
            <w:gridSpan w:val="2"/>
          </w:tcPr>
          <w:p>
            <w:pPr>
              <w:jc w:val="center"/>
              <w:ind w:right="480"/>
              <w:spacing w:after="0"/>
              <w:rPr>
                <w:sz w:val="20"/>
                <w:szCs w:val="20"/>
                <w:color w:val="auto"/>
              </w:rPr>
            </w:pPr>
            <w:r>
              <w:rPr>
                <w:rFonts w:ascii="Arial" w:cs="Arial" w:eastAsia="Arial" w:hAnsi="Arial"/>
                <w:sz w:val="18"/>
                <w:szCs w:val="18"/>
                <w:color w:val="auto"/>
                <w:w w:val="99"/>
              </w:rPr>
              <w:t>B</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2002</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San Martín 137, Piso 1</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1004 Buenos Aires,</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Argentina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Roland B. Bandelier</w:t>
            </w:r>
          </w:p>
        </w:tc>
        <w:tc>
          <w:tcPr>
            <w:tcW w:w="1120" w:type="dxa"/>
            <w:vAlign w:val="bottom"/>
          </w:tcPr>
          <w:p>
            <w:pPr>
              <w:spacing w:after="0"/>
              <w:rPr>
                <w:sz w:val="24"/>
                <w:szCs w:val="24"/>
                <w:color w:val="auto"/>
              </w:rPr>
            </w:pPr>
          </w:p>
        </w:tc>
        <w:tc>
          <w:tcPr>
            <w:tcW w:w="1760" w:type="dxa"/>
            <w:vAlign w:val="bottom"/>
            <w:gridSpan w:val="2"/>
          </w:tcPr>
          <w:p>
            <w:pPr>
              <w:jc w:val="center"/>
              <w:ind w:right="480"/>
              <w:spacing w:after="0"/>
              <w:rPr>
                <w:sz w:val="20"/>
                <w:szCs w:val="20"/>
                <w:color w:val="auto"/>
              </w:rPr>
            </w:pPr>
            <w:r>
              <w:rPr>
                <w:rFonts w:ascii="Arial" w:cs="Arial" w:eastAsia="Arial" w:hAnsi="Arial"/>
                <w:sz w:val="18"/>
                <w:szCs w:val="18"/>
                <w:color w:val="auto"/>
                <w:w w:val="99"/>
              </w:rPr>
              <w:t>B</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2001</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7 World Trade Center,</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26th Floor, New York</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New York 10048, U.S.A.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Valentín E. Hernández</w:t>
            </w:r>
          </w:p>
        </w:tc>
        <w:tc>
          <w:tcPr>
            <w:tcW w:w="1120" w:type="dxa"/>
            <w:vAlign w:val="bottom"/>
          </w:tcPr>
          <w:p>
            <w:pPr>
              <w:spacing w:after="0"/>
              <w:rPr>
                <w:sz w:val="24"/>
                <w:szCs w:val="24"/>
                <w:color w:val="auto"/>
              </w:rPr>
            </w:pPr>
          </w:p>
        </w:tc>
        <w:tc>
          <w:tcPr>
            <w:tcW w:w="1760" w:type="dxa"/>
            <w:vAlign w:val="bottom"/>
            <w:gridSpan w:val="2"/>
          </w:tcPr>
          <w:p>
            <w:pPr>
              <w:jc w:val="center"/>
              <w:ind w:right="480"/>
              <w:spacing w:after="0"/>
              <w:rPr>
                <w:sz w:val="20"/>
                <w:szCs w:val="20"/>
                <w:color w:val="auto"/>
              </w:rPr>
            </w:pPr>
            <w:r>
              <w:rPr>
                <w:rFonts w:ascii="Arial" w:cs="Arial" w:eastAsia="Arial" w:hAnsi="Arial"/>
                <w:sz w:val="18"/>
                <w:szCs w:val="18"/>
                <w:color w:val="auto"/>
                <w:w w:val="99"/>
              </w:rPr>
              <w:t>B</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2002</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111 Wall St., 19th Floor,</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Zone 1, New York</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New York 10043, U.S.A.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Mario Covo</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w w:val="82"/>
              </w:rPr>
              <w:t>E</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2002</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17 Park Drive South</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Rye, New York, 10580</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U.S.A.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Will C. Wood</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w w:val="82"/>
              </w:rPr>
              <w:t>E</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2003</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1550 El Camino Real,</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Suite 275, Menlo Park</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CA. 94025, U.S.A.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José Castañeda Vélez</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rPr>
              <w:t>All</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2003</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Calle 50 &amp; Aquilino de la</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Guardia, Apdo. 6-1497</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El Dorado, Panama</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Republic of Panama</w:t>
            </w:r>
          </w:p>
        </w:tc>
      </w:tr>
      <w:tr>
        <w:trPr>
          <w:trHeight w:val="418"/>
        </w:trPr>
        <w:tc>
          <w:tcPr>
            <w:tcW w:w="3080" w:type="dxa"/>
            <w:vAlign w:val="bottom"/>
            <w:gridSpan w:val="2"/>
          </w:tcPr>
          <w:p>
            <w:pPr>
              <w:spacing w:after="0"/>
              <w:rPr>
                <w:sz w:val="20"/>
                <w:szCs w:val="20"/>
                <w:color w:val="auto"/>
              </w:rPr>
            </w:pPr>
            <w:r>
              <w:rPr>
                <w:rFonts w:ascii="Arial" w:cs="Arial" w:eastAsia="Arial" w:hAnsi="Arial"/>
                <w:sz w:val="18"/>
                <w:szCs w:val="18"/>
                <w:color w:val="auto"/>
              </w:rPr>
              <w:t>Gonzalo Menéndez Duque</w:t>
            </w:r>
          </w:p>
        </w:tc>
        <w:tc>
          <w:tcPr>
            <w:tcW w:w="1120" w:type="dxa"/>
            <w:vAlign w:val="bottom"/>
          </w:tcPr>
          <w:p>
            <w:pPr>
              <w:spacing w:after="0"/>
              <w:rPr>
                <w:sz w:val="24"/>
                <w:szCs w:val="24"/>
                <w:color w:val="auto"/>
              </w:rPr>
            </w:pPr>
          </w:p>
        </w:tc>
        <w:tc>
          <w:tcPr>
            <w:tcW w:w="1760" w:type="dxa"/>
            <w:vAlign w:val="bottom"/>
            <w:gridSpan w:val="2"/>
          </w:tcPr>
          <w:p>
            <w:pPr>
              <w:jc w:val="center"/>
              <w:ind w:right="460"/>
              <w:spacing w:after="0"/>
              <w:rPr>
                <w:sz w:val="20"/>
                <w:szCs w:val="20"/>
                <w:color w:val="auto"/>
              </w:rPr>
            </w:pPr>
            <w:r>
              <w:rPr>
                <w:rFonts w:ascii="Arial" w:cs="Arial" w:eastAsia="Arial" w:hAnsi="Arial"/>
                <w:sz w:val="18"/>
                <w:szCs w:val="18"/>
                <w:color w:val="auto"/>
              </w:rPr>
              <w:t>All</w:t>
            </w:r>
          </w:p>
        </w:tc>
        <w:tc>
          <w:tcPr>
            <w:tcW w:w="1480" w:type="dxa"/>
            <w:vAlign w:val="bottom"/>
            <w:gridSpan w:val="2"/>
          </w:tcPr>
          <w:p>
            <w:pPr>
              <w:jc w:val="center"/>
              <w:ind w:left="350"/>
              <w:spacing w:after="0"/>
              <w:rPr>
                <w:sz w:val="20"/>
                <w:szCs w:val="20"/>
                <w:color w:val="auto"/>
              </w:rPr>
            </w:pPr>
            <w:r>
              <w:rPr>
                <w:rFonts w:ascii="Arial" w:cs="Arial" w:eastAsia="Arial" w:hAnsi="Arial"/>
                <w:sz w:val="18"/>
                <w:szCs w:val="18"/>
                <w:color w:val="auto"/>
                <w:w w:val="89"/>
              </w:rPr>
              <w:t>2003</w:t>
            </w: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w w:val="95"/>
              </w:rPr>
              <w:t>Teatinos No. 180, Piso 13</w:t>
            </w:r>
          </w:p>
        </w:tc>
      </w:tr>
      <w:tr>
        <w:trPr>
          <w:trHeight w:val="216"/>
        </w:trPr>
        <w:tc>
          <w:tcPr>
            <w:tcW w:w="460" w:type="dxa"/>
            <w:vAlign w:val="bottom"/>
          </w:tcPr>
          <w:p>
            <w:pPr>
              <w:spacing w:after="0"/>
              <w:rPr>
                <w:sz w:val="18"/>
                <w:szCs w:val="18"/>
                <w:color w:val="auto"/>
              </w:rPr>
            </w:pPr>
          </w:p>
        </w:tc>
        <w:tc>
          <w:tcPr>
            <w:tcW w:w="26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Habitación No. 1322</w:t>
            </w:r>
          </w:p>
        </w:tc>
      </w:tr>
      <w:tr>
        <w:trPr>
          <w:trHeight w:val="230"/>
        </w:trPr>
        <w:tc>
          <w:tcPr>
            <w:tcW w:w="460" w:type="dxa"/>
            <w:vAlign w:val="bottom"/>
          </w:tcPr>
          <w:p>
            <w:pPr>
              <w:spacing w:after="0"/>
              <w:rPr>
                <w:sz w:val="20"/>
                <w:szCs w:val="20"/>
                <w:color w:val="auto"/>
              </w:rPr>
            </w:pPr>
          </w:p>
        </w:tc>
        <w:tc>
          <w:tcPr>
            <w:tcW w:w="262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440" w:type="dxa"/>
            <w:vAlign w:val="bottom"/>
            <w:gridSpan w:val="2"/>
          </w:tcPr>
          <w:p>
            <w:pPr>
              <w:ind w:left="440"/>
              <w:spacing w:after="0"/>
              <w:rPr>
                <w:sz w:val="20"/>
                <w:szCs w:val="20"/>
                <w:color w:val="auto"/>
              </w:rPr>
            </w:pPr>
            <w:r>
              <w:rPr>
                <w:rFonts w:ascii="Arial" w:cs="Arial" w:eastAsia="Arial" w:hAnsi="Arial"/>
                <w:sz w:val="18"/>
                <w:szCs w:val="18"/>
                <w:color w:val="auto"/>
              </w:rPr>
              <w:t>Santiago, Chile</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ARTICLE 23: (Second Transitory Article)</w:t>
      </w:r>
    </w:p>
    <w:p>
      <w:pPr>
        <w:spacing w:after="0" w:line="229" w:lineRule="exact"/>
        <w:rPr>
          <w:sz w:val="20"/>
          <w:szCs w:val="20"/>
          <w:color w:val="auto"/>
        </w:rPr>
      </w:pPr>
    </w:p>
    <w:p>
      <w:pPr>
        <w:ind w:right="100"/>
        <w:spacing w:after="0" w:line="263" w:lineRule="auto"/>
        <w:rPr>
          <w:sz w:val="20"/>
          <w:szCs w:val="20"/>
          <w:color w:val="auto"/>
        </w:rPr>
      </w:pPr>
      <w:r>
        <w:rPr>
          <w:rFonts w:ascii="Arial" w:cs="Arial" w:eastAsia="Arial" w:hAnsi="Arial"/>
          <w:sz w:val="18"/>
          <w:szCs w:val="18"/>
          <w:color w:val="auto"/>
        </w:rPr>
        <w:t>Upon the approval of these amendments to these articles of incorporation, all class B and class C shares of common stock shall be automatically converted into the new class B shares of common stock, without requiring any further act or authorization, at the rate of one class B or class C share of common stock, as the case may be, for one new class B share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280035</wp:posOffset>
            </wp:positionV>
            <wp:extent cx="7132320" cy="8890"/>
            <wp:wrapNone/>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5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16" w:right="339" w:bottom="1440" w:gutter="0" w:footer="0" w:header="0"/>
        </w:sectPr>
      </w:pPr>
    </w:p>
    <w:bookmarkStart w:id="272" w:name="page273"/>
    <w:bookmarkEnd w:id="272"/>
    <w:tbl>
      <w:tblPr>
        <w:tblLayout w:type="fixed"/>
        <w:tblInd w:w="0" w:type="dxa"/>
        <w:tblCellMar>
          <w:top w:w="0" w:type="dxa"/>
          <w:left w:w="0" w:type="dxa"/>
          <w:bottom w:w="0" w:type="dxa"/>
          <w:right w:w="0" w:type="dxa"/>
        </w:tblCellMar>
      </w:tblPr>
      <w:tr>
        <w:trPr>
          <w:trHeight w:val="234"/>
        </w:trPr>
        <w:tc>
          <w:tcPr>
            <w:tcW w:w="8760" w:type="dxa"/>
            <w:vAlign w:val="bottom"/>
          </w:tcPr>
          <w:p>
            <w:pPr>
              <w:spacing w:after="0"/>
              <w:rPr>
                <w:sz w:val="20"/>
                <w:szCs w:val="20"/>
                <w:color w:val="auto"/>
              </w:rPr>
            </w:pPr>
          </w:p>
        </w:tc>
        <w:tc>
          <w:tcPr>
            <w:tcW w:w="2480" w:type="dxa"/>
            <w:vAlign w:val="bottom"/>
          </w:tcPr>
          <w:p>
            <w:pPr>
              <w:ind w:left="1640"/>
              <w:spacing w:after="0"/>
              <w:rPr>
                <w:sz w:val="20"/>
                <w:szCs w:val="20"/>
                <w:color w:val="auto"/>
              </w:rPr>
            </w:pPr>
            <w:r>
              <w:rPr>
                <w:rFonts w:ascii="Arial" w:cs="Arial" w:eastAsia="Arial" w:hAnsi="Arial"/>
                <w:sz w:val="18"/>
                <w:szCs w:val="18"/>
                <w:b w:val="1"/>
                <w:bCs w:val="1"/>
                <w:color w:val="auto"/>
                <w:w w:val="91"/>
              </w:rPr>
              <w:t>Exhibit 8.1</w:t>
            </w:r>
          </w:p>
        </w:tc>
      </w:tr>
      <w:tr>
        <w:trPr>
          <w:trHeight w:val="432"/>
        </w:trPr>
        <w:tc>
          <w:tcPr>
            <w:tcW w:w="8760" w:type="dxa"/>
            <w:vAlign w:val="bottom"/>
          </w:tcPr>
          <w:p>
            <w:pPr>
              <w:ind w:left="3060"/>
              <w:spacing w:after="0"/>
              <w:rPr>
                <w:sz w:val="20"/>
                <w:szCs w:val="20"/>
                <w:color w:val="auto"/>
              </w:rPr>
            </w:pPr>
            <w:r>
              <w:rPr>
                <w:rFonts w:ascii="Arial" w:cs="Arial" w:eastAsia="Arial" w:hAnsi="Arial"/>
                <w:sz w:val="18"/>
                <w:szCs w:val="18"/>
                <w:b w:val="1"/>
                <w:bCs w:val="1"/>
                <w:color w:val="auto"/>
                <w:w w:val="99"/>
              </w:rPr>
              <w:t>Subsidiaries of Banco Latinoamericano de Comercio Exterior, S.A.</w:t>
            </w:r>
          </w:p>
        </w:tc>
        <w:tc>
          <w:tcPr>
            <w:tcW w:w="2480" w:type="dxa"/>
            <w:vAlign w:val="bottom"/>
          </w:tcPr>
          <w:p>
            <w:pPr>
              <w:spacing w:after="0"/>
              <w:rPr>
                <w:sz w:val="24"/>
                <w:szCs w:val="24"/>
                <w:color w:val="auto"/>
              </w:rPr>
            </w:pPr>
          </w:p>
        </w:tc>
      </w:tr>
      <w:tr>
        <w:trPr>
          <w:trHeight w:val="495"/>
        </w:trPr>
        <w:tc>
          <w:tcPr>
            <w:tcW w:w="8760" w:type="dxa"/>
            <w:vAlign w:val="bottom"/>
          </w:tcPr>
          <w:p>
            <w:pPr>
              <w:spacing w:after="0"/>
              <w:rPr>
                <w:sz w:val="24"/>
                <w:szCs w:val="24"/>
                <w:color w:val="auto"/>
              </w:rPr>
            </w:pPr>
          </w:p>
        </w:tc>
        <w:tc>
          <w:tcPr>
            <w:tcW w:w="2480" w:type="dxa"/>
            <w:vAlign w:val="bottom"/>
          </w:tcPr>
          <w:p>
            <w:pPr>
              <w:ind w:left="580"/>
              <w:spacing w:after="0"/>
              <w:rPr>
                <w:sz w:val="20"/>
                <w:szCs w:val="20"/>
                <w:color w:val="auto"/>
              </w:rPr>
            </w:pPr>
            <w:r>
              <w:rPr>
                <w:rFonts w:ascii="Arial" w:cs="Arial" w:eastAsia="Arial" w:hAnsi="Arial"/>
                <w:sz w:val="18"/>
                <w:szCs w:val="18"/>
                <w:b w:val="1"/>
                <w:bCs w:val="1"/>
                <w:color w:val="auto"/>
              </w:rPr>
              <w:t>Jurisdiction of</w:t>
            </w:r>
          </w:p>
        </w:tc>
      </w:tr>
      <w:tr>
        <w:trPr>
          <w:trHeight w:val="234"/>
        </w:trPr>
        <w:tc>
          <w:tcPr>
            <w:tcW w:w="8760" w:type="dxa"/>
            <w:vAlign w:val="bottom"/>
          </w:tcPr>
          <w:p>
            <w:pPr>
              <w:spacing w:after="0"/>
              <w:rPr>
                <w:sz w:val="20"/>
                <w:szCs w:val="20"/>
                <w:color w:val="auto"/>
              </w:rPr>
            </w:pPr>
            <w:r>
              <w:rPr>
                <w:rFonts w:ascii="Arial" w:cs="Arial" w:eastAsia="Arial" w:hAnsi="Arial"/>
                <w:sz w:val="18"/>
                <w:szCs w:val="18"/>
                <w:b w:val="1"/>
                <w:bCs w:val="1"/>
                <w:color w:val="auto"/>
              </w:rPr>
              <w:t>Name of Subsidiary</w:t>
            </w:r>
          </w:p>
        </w:tc>
        <w:tc>
          <w:tcPr>
            <w:tcW w:w="2480" w:type="dxa"/>
            <w:vAlign w:val="bottom"/>
          </w:tcPr>
          <w:p>
            <w:pPr>
              <w:ind w:left="580"/>
              <w:spacing w:after="0"/>
              <w:rPr>
                <w:sz w:val="20"/>
                <w:szCs w:val="20"/>
                <w:color w:val="auto"/>
              </w:rPr>
            </w:pPr>
            <w:r>
              <w:rPr>
                <w:rFonts w:ascii="Arial" w:cs="Arial" w:eastAsia="Arial" w:hAnsi="Arial"/>
                <w:sz w:val="18"/>
                <w:szCs w:val="18"/>
                <w:b w:val="1"/>
                <w:bCs w:val="1"/>
                <w:color w:val="auto"/>
              </w:rPr>
              <w:t>Incorporation</w:t>
            </w:r>
          </w:p>
        </w:tc>
      </w:tr>
      <w:tr>
        <w:trPr>
          <w:trHeight w:val="378"/>
        </w:trPr>
        <w:tc>
          <w:tcPr>
            <w:tcW w:w="8760" w:type="dxa"/>
            <w:vAlign w:val="bottom"/>
          </w:tcPr>
          <w:p>
            <w:pPr>
              <w:spacing w:after="0"/>
              <w:rPr>
                <w:sz w:val="20"/>
                <w:szCs w:val="20"/>
                <w:color w:val="auto"/>
              </w:rPr>
            </w:pPr>
            <w:r>
              <w:rPr>
                <w:rFonts w:ascii="Arial" w:cs="Arial" w:eastAsia="Arial" w:hAnsi="Arial"/>
                <w:sz w:val="18"/>
                <w:szCs w:val="18"/>
                <w:color w:val="auto"/>
              </w:rPr>
              <w:t>Bladex Holdings Inc.</w:t>
            </w:r>
          </w:p>
        </w:tc>
        <w:tc>
          <w:tcPr>
            <w:tcW w:w="2480" w:type="dxa"/>
            <w:vAlign w:val="bottom"/>
          </w:tcPr>
          <w:p>
            <w:pPr>
              <w:ind w:left="580"/>
              <w:spacing w:after="0"/>
              <w:rPr>
                <w:sz w:val="20"/>
                <w:szCs w:val="20"/>
                <w:color w:val="auto"/>
              </w:rPr>
            </w:pPr>
            <w:r>
              <w:rPr>
                <w:rFonts w:ascii="Arial" w:cs="Arial" w:eastAsia="Arial" w:hAnsi="Arial"/>
                <w:sz w:val="18"/>
                <w:szCs w:val="18"/>
                <w:color w:val="auto"/>
              </w:rPr>
              <w:t>United States</w:t>
            </w:r>
          </w:p>
        </w:tc>
      </w:tr>
      <w:tr>
        <w:trPr>
          <w:trHeight w:val="378"/>
        </w:trPr>
        <w:tc>
          <w:tcPr>
            <w:tcW w:w="8760" w:type="dxa"/>
            <w:vAlign w:val="bottom"/>
          </w:tcPr>
          <w:p>
            <w:pPr>
              <w:spacing w:after="0"/>
              <w:rPr>
                <w:sz w:val="20"/>
                <w:szCs w:val="20"/>
                <w:color w:val="auto"/>
              </w:rPr>
            </w:pPr>
            <w:r>
              <w:rPr>
                <w:rFonts w:ascii="Arial" w:cs="Arial" w:eastAsia="Arial" w:hAnsi="Arial"/>
                <w:sz w:val="18"/>
                <w:szCs w:val="18"/>
                <w:color w:val="auto"/>
              </w:rPr>
              <w:t>Bladex Representação Ltda.</w:t>
            </w:r>
          </w:p>
        </w:tc>
        <w:tc>
          <w:tcPr>
            <w:tcW w:w="2480" w:type="dxa"/>
            <w:vAlign w:val="bottom"/>
          </w:tcPr>
          <w:p>
            <w:pPr>
              <w:ind w:left="580"/>
              <w:spacing w:after="0"/>
              <w:rPr>
                <w:sz w:val="20"/>
                <w:szCs w:val="20"/>
                <w:color w:val="auto"/>
              </w:rPr>
            </w:pPr>
            <w:r>
              <w:rPr>
                <w:rFonts w:ascii="Arial" w:cs="Arial" w:eastAsia="Arial" w:hAnsi="Arial"/>
                <w:sz w:val="18"/>
                <w:szCs w:val="18"/>
                <w:color w:val="auto"/>
              </w:rPr>
              <w:t>Brazil</w:t>
            </w:r>
          </w:p>
        </w:tc>
      </w:tr>
      <w:tr>
        <w:trPr>
          <w:trHeight w:val="378"/>
        </w:trPr>
        <w:tc>
          <w:tcPr>
            <w:tcW w:w="8760" w:type="dxa"/>
            <w:vAlign w:val="bottom"/>
          </w:tcPr>
          <w:p>
            <w:pPr>
              <w:spacing w:after="0"/>
              <w:rPr>
                <w:sz w:val="20"/>
                <w:szCs w:val="20"/>
                <w:color w:val="auto"/>
              </w:rPr>
            </w:pPr>
            <w:r>
              <w:rPr>
                <w:rFonts w:ascii="Arial" w:cs="Arial" w:eastAsia="Arial" w:hAnsi="Arial"/>
                <w:sz w:val="18"/>
                <w:szCs w:val="18"/>
                <w:color w:val="auto"/>
              </w:rPr>
              <w:t>Bladex Development Corp.</w:t>
            </w:r>
          </w:p>
        </w:tc>
        <w:tc>
          <w:tcPr>
            <w:tcW w:w="2480" w:type="dxa"/>
            <w:vAlign w:val="bottom"/>
          </w:tcPr>
          <w:p>
            <w:pPr>
              <w:ind w:left="580"/>
              <w:spacing w:after="0"/>
              <w:rPr>
                <w:sz w:val="20"/>
                <w:szCs w:val="20"/>
                <w:color w:val="auto"/>
              </w:rPr>
            </w:pPr>
            <w:r>
              <w:rPr>
                <w:rFonts w:ascii="Arial" w:cs="Arial" w:eastAsia="Arial" w:hAnsi="Arial"/>
                <w:sz w:val="18"/>
                <w:szCs w:val="18"/>
                <w:color w:val="auto"/>
              </w:rPr>
              <w:t>Panama</w:t>
            </w:r>
          </w:p>
        </w:tc>
      </w:tr>
      <w:tr>
        <w:trPr>
          <w:trHeight w:val="378"/>
        </w:trPr>
        <w:tc>
          <w:tcPr>
            <w:tcW w:w="8760" w:type="dxa"/>
            <w:vAlign w:val="bottom"/>
          </w:tcPr>
          <w:p>
            <w:pPr>
              <w:spacing w:after="0"/>
              <w:rPr>
                <w:sz w:val="20"/>
                <w:szCs w:val="20"/>
                <w:color w:val="auto"/>
              </w:rPr>
            </w:pPr>
            <w:r>
              <w:rPr>
                <w:rFonts w:ascii="Arial" w:cs="Arial" w:eastAsia="Arial" w:hAnsi="Arial"/>
                <w:sz w:val="18"/>
                <w:szCs w:val="18"/>
                <w:color w:val="auto"/>
              </w:rPr>
              <w:t>BLX Soluciones, S.A. de C.V., SOFOM, E.N.R.</w:t>
            </w:r>
          </w:p>
        </w:tc>
        <w:tc>
          <w:tcPr>
            <w:tcW w:w="2480" w:type="dxa"/>
            <w:vAlign w:val="bottom"/>
          </w:tcPr>
          <w:p>
            <w:pPr>
              <w:ind w:left="580"/>
              <w:spacing w:after="0"/>
              <w:rPr>
                <w:sz w:val="20"/>
                <w:szCs w:val="20"/>
                <w:color w:val="auto"/>
              </w:rPr>
            </w:pPr>
            <w:r>
              <w:rPr>
                <w:rFonts w:ascii="Arial" w:cs="Arial" w:eastAsia="Arial" w:hAnsi="Arial"/>
                <w:sz w:val="18"/>
                <w:szCs w:val="18"/>
                <w:color w:val="auto"/>
              </w:rPr>
              <w:t>Mexico</w:t>
            </w:r>
          </w:p>
        </w:tc>
      </w:tr>
      <w:tr>
        <w:trPr>
          <w:trHeight w:val="513"/>
        </w:trPr>
        <w:tc>
          <w:tcPr>
            <w:tcW w:w="876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364" w:right="339" w:bottom="1440" w:gutter="0" w:footer="0" w:header="0"/>
        </w:sectPr>
      </w:pPr>
    </w:p>
    <w:bookmarkStart w:id="273" w:name="page274"/>
    <w:bookmarkEnd w:id="273"/>
    <w:p>
      <w:pPr>
        <w:jc w:val="right"/>
        <w:spacing w:after="0"/>
        <w:rPr>
          <w:sz w:val="20"/>
          <w:szCs w:val="20"/>
          <w:color w:val="auto"/>
        </w:rPr>
      </w:pPr>
      <w:r>
        <w:rPr>
          <w:rFonts w:ascii="Arial" w:cs="Arial" w:eastAsia="Arial" w:hAnsi="Arial"/>
          <w:sz w:val="22"/>
          <w:szCs w:val="22"/>
          <w:b w:val="1"/>
          <w:bCs w:val="1"/>
          <w:color w:val="auto"/>
        </w:rPr>
        <w:t>Exhibit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2430780</wp:posOffset>
            </wp:positionH>
            <wp:positionV relativeFrom="paragraph">
              <wp:posOffset>165735</wp:posOffset>
            </wp:positionV>
            <wp:extent cx="2314575" cy="1234440"/>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54">
                      <a:extLst>
                        <a:ext uri="{28A0092B-C50C-407E-A947-70E740481C1C}"/>
                      </a:extLst>
                    </a:blip>
                    <a:srcRect/>
                    <a:stretch>
                      <a:fillRect/>
                    </a:stretch>
                  </pic:blipFill>
                  <pic:spPr bwMode="auto">
                    <a:xfrm>
                      <a:off x="0" y="0"/>
                      <a:ext cx="2314575" cy="12344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Arial" w:cs="Arial" w:eastAsia="Arial" w:hAnsi="Arial"/>
          <w:sz w:val="32"/>
          <w:szCs w:val="32"/>
          <w:b w:val="1"/>
          <w:bCs w:val="1"/>
          <w:color w:val="auto"/>
        </w:rPr>
        <w:t>CODE OF ETHICS</w:t>
      </w: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UPDATED: April 2020</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Approved by the Board of Directors at their meeting held on April 28th, 2020, as stated in the respective minutes.</w:t>
      </w:r>
    </w:p>
    <w:p>
      <w:pPr>
        <w:spacing w:after="0" w:line="200" w:lineRule="exact"/>
        <w:rPr>
          <w:sz w:val="20"/>
          <w:szCs w:val="20"/>
          <w:color w:val="auto"/>
        </w:rPr>
      </w:pPr>
    </w:p>
    <w:p>
      <w:pPr>
        <w:spacing w:after="0" w:line="241"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55" w:right="339" w:bottom="1440" w:gutter="0" w:footer="0" w:header="0"/>
        </w:sectPr>
      </w:pPr>
    </w:p>
    <w:bookmarkStart w:id="274" w:name="page275"/>
    <w:bookmarkEnd w:id="274"/>
    <w:p>
      <w:pPr>
        <w:jc w:val="center"/>
        <w:ind w:right="-19"/>
        <w:spacing w:after="0"/>
        <w:rPr>
          <w:sz w:val="20"/>
          <w:szCs w:val="20"/>
          <w:color w:val="auto"/>
        </w:rPr>
      </w:pPr>
      <w:r>
        <w:rPr>
          <w:rFonts w:ascii="Arial" w:cs="Arial" w:eastAsia="Arial" w:hAnsi="Arial"/>
          <w:sz w:val="18"/>
          <w:szCs w:val="18"/>
          <w:b w:val="1"/>
          <w:bCs w:val="1"/>
          <w:color w:val="auto"/>
        </w:rPr>
        <w:t>PROLOGUE</w:t>
      </w:r>
    </w:p>
    <w:p>
      <w:pPr>
        <w:spacing w:after="0" w:line="229"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This Code of Ethics (hereinafter referred to as the “Code” of Banco Latinoamericano de Comercio Exterior, S.A. (Foreign Trade Bank of Latin America, Inc., hereinafter also called “Bladex” the “Bank”, the “Institution”, the “Organization” or “us”) contains the general principles and policies that should guide the ethical-professional conduct of the Organization’s Employees and Directors. Its objective is to uphold the values that are fundamental for a proper conduct of the Institution’s business and management, in line with the principles and values of the Bank that, as a regional Bank, with a shareholding structure representing both the public and the private sectors, conjugates a series of interests that require clear guidelines for undertaking its business and activities.</w:t>
      </w:r>
    </w:p>
    <w:p>
      <w:pPr>
        <w:spacing w:after="0" w:line="192"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It is essential for the Institution to have a clear direction of the Organization in line with the core principles and values of human beings and the environment in which it operates; hence this Code aims to define the action framework that would enable us to attain such commitment. People and work become one, discarding any duality or incoherence between the work and individual behavior in the concrete undertaking of business and vis-à-vis the shareholders.</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Customers should not only receive products of an adequate quality according to their price, but also an honest, transparent and trustworthy treatment. Each shareholder, in turn, deserves to receive, from Bladex, a precise, timely and transparent accounting. The Institution has a moral responsibility to look after the interests of all those involved in its activities, even more so when considering that we are a financial entity that depends on the trust people have placed in us.</w:t>
      </w:r>
    </w:p>
    <w:p>
      <w:pPr>
        <w:spacing w:after="0" w:line="187"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Bank is a company that works with the money and securities of third parties, a particularity that requires trust and honesty in each of its functions, both toward the inside as well as to the outside of the Organization. The relationship between the Bank and its Shareholders, Employees, Customers, Suppliers and its social environment is based on trust, correctness and honesty, which will make it possible for all participants in the system to trust each other.</w:t>
      </w:r>
    </w:p>
    <w:p>
      <w:pPr>
        <w:spacing w:after="0" w:line="14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This trust depends on the way that Bladex members put the Organization’s values in practice when they go about their jobs, thus extolling the high ethical standards being promoted by Bladex, the preservation of the confidentiality of its Customers’ information, the avoidance of conflicts of interest and the compliance with the laws and regulations governing the Bank’s activities.</w:t>
      </w:r>
    </w:p>
    <w:p>
      <w:pPr>
        <w:spacing w:after="0" w:line="184"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Bladex does not finance any business of, nor intends to enter into any business relationship with, financial institutions or companies that do not follow ethical standards or those of which are known to participate in unlawful or degrading businesses or such business contravening public safety, that are harmful to the environment, or may not fully comply with applicable law. We uphold a policy of complete rejection of and self-protection against, any activities that may be linked to money laundering, the financing of terrorism, the financing of the proliferation of weapons of mass destruction, fraud, graft, corruption or similar practices, whatever their origin may be and it is the obligation of each member of this Organization to collaborate in the different actions put in place for monitoring, detecting or helping to identify and reject any activity that might violate such policy.</w:t>
      </w:r>
    </w:p>
    <w:p>
      <w:pPr>
        <w:spacing w:after="0" w:line="17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For certain specific matters that require more detailed regulations, the norms of this Code shall be developed or complemented by those set forth in the relevant manuals, policies and guidelines that are currently in force, as such may be revised from time to time, or as may be issued in future.</w:t>
      </w:r>
    </w:p>
    <w:p>
      <w:pPr>
        <w:spacing w:after="0" w:line="362"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5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75" w:name="page276"/>
    <w:bookmarkEnd w:id="275"/>
    <w:tbl>
      <w:tblPr>
        <w:tblLayout w:type="fixed"/>
        <w:tblInd w:w="0" w:type="dxa"/>
        <w:tblCellMar>
          <w:top w:w="0" w:type="dxa"/>
          <w:left w:w="0" w:type="dxa"/>
          <w:bottom w:w="0" w:type="dxa"/>
          <w:right w:w="0" w:type="dxa"/>
        </w:tblCellMar>
      </w:tblPr>
      <w:tr>
        <w:trPr>
          <w:trHeight w:val="234"/>
        </w:trPr>
        <w:tc>
          <w:tcPr>
            <w:tcW w:w="9900" w:type="dxa"/>
            <w:vAlign w:val="bottom"/>
          </w:tcPr>
          <w:p>
            <w:pPr>
              <w:ind w:left="5280"/>
              <w:spacing w:after="0"/>
              <w:rPr>
                <w:sz w:val="20"/>
                <w:szCs w:val="20"/>
                <w:color w:val="auto"/>
              </w:rPr>
            </w:pPr>
            <w:r>
              <w:rPr>
                <w:rFonts w:ascii="Arial" w:cs="Arial" w:eastAsia="Arial" w:hAnsi="Arial"/>
                <w:sz w:val="18"/>
                <w:szCs w:val="18"/>
                <w:b w:val="1"/>
                <w:bCs w:val="1"/>
                <w:color w:val="auto"/>
              </w:rPr>
              <w:t>Contents</w:t>
            </w:r>
          </w:p>
        </w:tc>
        <w:tc>
          <w:tcPr>
            <w:tcW w:w="1340" w:type="dxa"/>
            <w:vAlign w:val="bottom"/>
          </w:tcPr>
          <w:p>
            <w:pPr>
              <w:spacing w:after="0"/>
              <w:rPr>
                <w:sz w:val="20"/>
                <w:szCs w:val="20"/>
                <w:color w:val="auto"/>
              </w:rPr>
            </w:pPr>
          </w:p>
        </w:tc>
      </w:tr>
      <w:tr>
        <w:trPr>
          <w:trHeight w:val="364"/>
        </w:trPr>
        <w:tc>
          <w:tcPr>
            <w:tcW w:w="9900" w:type="dxa"/>
            <w:vAlign w:val="bottom"/>
          </w:tcPr>
          <w:p>
            <w:pPr>
              <w:spacing w:after="0"/>
              <w:rPr>
                <w:sz w:val="24"/>
                <w:szCs w:val="24"/>
                <w:color w:val="auto"/>
              </w:rPr>
            </w:pPr>
          </w:p>
        </w:tc>
        <w:tc>
          <w:tcPr>
            <w:tcW w:w="1340" w:type="dxa"/>
            <w:vAlign w:val="bottom"/>
          </w:tcPr>
          <w:p>
            <w:pPr>
              <w:spacing w:after="0"/>
              <w:rPr>
                <w:sz w:val="24"/>
                <w:szCs w:val="24"/>
                <w:color w:val="auto"/>
              </w:rPr>
            </w:pPr>
          </w:p>
        </w:tc>
      </w:tr>
      <w:tr>
        <w:trPr>
          <w:trHeight w:val="234"/>
        </w:trPr>
        <w:tc>
          <w:tcPr>
            <w:tcW w:w="9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 INTRODUCTION</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5</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General Principles and Objectives</w:t>
            </w:r>
          </w:p>
        </w:tc>
        <w:tc>
          <w:tcPr>
            <w:tcW w:w="1340" w:type="dxa"/>
            <w:vAlign w:val="bottom"/>
          </w:tcPr>
          <w:p>
            <w:pPr>
              <w:ind w:left="220"/>
              <w:spacing w:after="0"/>
              <w:rPr>
                <w:sz w:val="20"/>
                <w:szCs w:val="20"/>
                <w:color w:val="auto"/>
              </w:rPr>
            </w:pPr>
            <w:r>
              <w:rPr>
                <w:rFonts w:ascii="Arial" w:cs="Arial" w:eastAsia="Arial" w:hAnsi="Arial"/>
                <w:sz w:val="18"/>
                <w:szCs w:val="18"/>
                <w:color w:val="auto"/>
              </w:rPr>
              <w:t>5</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II. PERSONS COVERED BY THIS CODE</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6</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spacing w:after="0"/>
              <w:rPr>
                <w:sz w:val="20"/>
                <w:szCs w:val="20"/>
                <w:color w:val="auto"/>
              </w:rPr>
            </w:pPr>
            <w:r>
              <w:rPr>
                <w:rFonts w:ascii="Arial" w:cs="Arial" w:eastAsia="Arial" w:hAnsi="Arial"/>
                <w:sz w:val="18"/>
                <w:szCs w:val="18"/>
                <w:b w:val="1"/>
                <w:bCs w:val="1"/>
                <w:color w:val="auto"/>
              </w:rPr>
              <w:t>III. FUNDAMENTAL PRINCIPLES</w:t>
            </w:r>
          </w:p>
        </w:tc>
        <w:tc>
          <w:tcPr>
            <w:tcW w:w="1340" w:type="dxa"/>
            <w:vAlign w:val="bottom"/>
          </w:tcPr>
          <w:p>
            <w:pPr>
              <w:ind w:left="220"/>
              <w:spacing w:after="0"/>
              <w:rPr>
                <w:sz w:val="20"/>
                <w:szCs w:val="20"/>
                <w:color w:val="auto"/>
              </w:rPr>
            </w:pPr>
            <w:r>
              <w:rPr>
                <w:rFonts w:ascii="Arial" w:cs="Arial" w:eastAsia="Arial" w:hAnsi="Arial"/>
                <w:sz w:val="18"/>
                <w:szCs w:val="18"/>
                <w:color w:val="auto"/>
              </w:rPr>
              <w:t>6</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III.1. Personal Finances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6</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III.2. Conflicts of Interest</w:t>
            </w:r>
          </w:p>
        </w:tc>
        <w:tc>
          <w:tcPr>
            <w:tcW w:w="1340" w:type="dxa"/>
            <w:vAlign w:val="bottom"/>
          </w:tcPr>
          <w:p>
            <w:pPr>
              <w:ind w:left="220"/>
              <w:spacing w:after="0"/>
              <w:rPr>
                <w:sz w:val="20"/>
                <w:szCs w:val="20"/>
                <w:color w:val="auto"/>
              </w:rPr>
            </w:pPr>
            <w:r>
              <w:rPr>
                <w:rFonts w:ascii="Arial" w:cs="Arial" w:eastAsia="Arial" w:hAnsi="Arial"/>
                <w:sz w:val="18"/>
                <w:szCs w:val="18"/>
                <w:color w:val="auto"/>
              </w:rPr>
              <w:t>6</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III.2.a. Transactions with Related Parties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7</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III.2.b. Receiving Invitations and Gifts</w:t>
            </w:r>
          </w:p>
        </w:tc>
        <w:tc>
          <w:tcPr>
            <w:tcW w:w="1340" w:type="dxa"/>
            <w:vAlign w:val="bottom"/>
          </w:tcPr>
          <w:p>
            <w:pPr>
              <w:ind w:left="220"/>
              <w:spacing w:after="0"/>
              <w:rPr>
                <w:sz w:val="20"/>
                <w:szCs w:val="20"/>
                <w:color w:val="auto"/>
              </w:rPr>
            </w:pPr>
            <w:r>
              <w:rPr>
                <w:rFonts w:ascii="Arial" w:cs="Arial" w:eastAsia="Arial" w:hAnsi="Arial"/>
                <w:sz w:val="18"/>
                <w:szCs w:val="18"/>
                <w:color w:val="auto"/>
              </w:rPr>
              <w:t>7</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III.2.c. Granting Invitations and Gifts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8</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III.2.d. Relationship with Suppliers</w:t>
            </w:r>
          </w:p>
        </w:tc>
        <w:tc>
          <w:tcPr>
            <w:tcW w:w="1340" w:type="dxa"/>
            <w:vAlign w:val="bottom"/>
          </w:tcPr>
          <w:p>
            <w:pPr>
              <w:ind w:left="220"/>
              <w:spacing w:after="0"/>
              <w:rPr>
                <w:sz w:val="20"/>
                <w:szCs w:val="20"/>
                <w:color w:val="auto"/>
              </w:rPr>
            </w:pPr>
            <w:r>
              <w:rPr>
                <w:rFonts w:ascii="Arial" w:cs="Arial" w:eastAsia="Arial" w:hAnsi="Arial"/>
                <w:sz w:val="18"/>
                <w:szCs w:val="18"/>
                <w:color w:val="auto"/>
              </w:rPr>
              <w:t>8</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III.2.e. Travel Per-Diem and Expenses to be Reported</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8</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III.2.f. Use of insider information and other related aspects</w:t>
            </w:r>
          </w:p>
        </w:tc>
        <w:tc>
          <w:tcPr>
            <w:tcW w:w="1340" w:type="dxa"/>
            <w:vAlign w:val="bottom"/>
          </w:tcPr>
          <w:p>
            <w:pPr>
              <w:ind w:left="220"/>
              <w:spacing w:after="0"/>
              <w:rPr>
                <w:sz w:val="20"/>
                <w:szCs w:val="20"/>
                <w:color w:val="auto"/>
              </w:rPr>
            </w:pPr>
            <w:r>
              <w:rPr>
                <w:rFonts w:ascii="Arial" w:cs="Arial" w:eastAsia="Arial" w:hAnsi="Arial"/>
                <w:sz w:val="18"/>
                <w:szCs w:val="18"/>
                <w:color w:val="auto"/>
              </w:rPr>
              <w:t>9</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400"/>
              <w:spacing w:after="0"/>
              <w:rPr>
                <w:sz w:val="20"/>
                <w:szCs w:val="20"/>
                <w:color w:val="auto"/>
              </w:rPr>
            </w:pPr>
            <w:r>
              <w:rPr>
                <w:rFonts w:ascii="Arial" w:cs="Arial" w:eastAsia="Arial" w:hAnsi="Arial"/>
                <w:sz w:val="18"/>
                <w:szCs w:val="18"/>
                <w:b w:val="1"/>
                <w:bCs w:val="1"/>
                <w:color w:val="auto"/>
              </w:rPr>
              <w:t>III.2. f.1. “Window period” and “Black-out Period”</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9</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400"/>
              <w:spacing w:after="0"/>
              <w:rPr>
                <w:sz w:val="20"/>
                <w:szCs w:val="20"/>
                <w:color w:val="auto"/>
              </w:rPr>
            </w:pPr>
            <w:r>
              <w:rPr>
                <w:rFonts w:ascii="Arial" w:cs="Arial" w:eastAsia="Arial" w:hAnsi="Arial"/>
                <w:sz w:val="18"/>
                <w:szCs w:val="18"/>
                <w:b w:val="1"/>
                <w:bCs w:val="1"/>
                <w:color w:val="auto"/>
              </w:rPr>
              <w:t>III.2. f.2. “Rule” 10b5-1 of the “Securities and Exchange Commission” (SEC)</w:t>
            </w:r>
          </w:p>
        </w:tc>
        <w:tc>
          <w:tcPr>
            <w:tcW w:w="1340" w:type="dxa"/>
            <w:vAlign w:val="bottom"/>
          </w:tcPr>
          <w:p>
            <w:pPr>
              <w:ind w:left="220"/>
              <w:spacing w:after="0"/>
              <w:rPr>
                <w:sz w:val="20"/>
                <w:szCs w:val="20"/>
                <w:color w:val="auto"/>
              </w:rPr>
            </w:pPr>
            <w:r>
              <w:rPr>
                <w:rFonts w:ascii="Arial" w:cs="Arial" w:eastAsia="Arial" w:hAnsi="Arial"/>
                <w:sz w:val="18"/>
                <w:szCs w:val="18"/>
                <w:color w:val="auto"/>
              </w:rPr>
              <w:t>10</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400"/>
              <w:spacing w:after="0"/>
              <w:rPr>
                <w:sz w:val="20"/>
                <w:szCs w:val="20"/>
                <w:color w:val="auto"/>
              </w:rPr>
            </w:pPr>
            <w:r>
              <w:rPr>
                <w:rFonts w:ascii="Arial" w:cs="Arial" w:eastAsia="Arial" w:hAnsi="Arial"/>
                <w:sz w:val="18"/>
                <w:szCs w:val="18"/>
                <w:b w:val="1"/>
                <w:bCs w:val="1"/>
                <w:color w:val="auto"/>
                <w:w w:val="91"/>
              </w:rPr>
              <w:t>III.2. f.3. Revocation and modifications of contracts, instructions or anticipated plans for the purchase and sale of shares: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11</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III.2.g. Personal relationships with job applicants.</w:t>
            </w:r>
          </w:p>
        </w:tc>
        <w:tc>
          <w:tcPr>
            <w:tcW w:w="1340" w:type="dxa"/>
            <w:vAlign w:val="bottom"/>
          </w:tcPr>
          <w:p>
            <w:pPr>
              <w:ind w:left="220"/>
              <w:spacing w:after="0"/>
              <w:rPr>
                <w:sz w:val="20"/>
                <w:szCs w:val="20"/>
                <w:color w:val="auto"/>
              </w:rPr>
            </w:pPr>
            <w:r>
              <w:rPr>
                <w:rFonts w:ascii="Arial" w:cs="Arial" w:eastAsia="Arial" w:hAnsi="Arial"/>
                <w:sz w:val="18"/>
                <w:szCs w:val="18"/>
                <w:color w:val="auto"/>
              </w:rPr>
              <w:t>11</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III.3. Handling Confidential Information</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11</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III.3.a. Information safekeeping</w:t>
            </w:r>
          </w:p>
        </w:tc>
        <w:tc>
          <w:tcPr>
            <w:tcW w:w="1340" w:type="dxa"/>
            <w:vAlign w:val="bottom"/>
          </w:tcPr>
          <w:p>
            <w:pPr>
              <w:ind w:left="220"/>
              <w:spacing w:after="0"/>
              <w:rPr>
                <w:sz w:val="20"/>
                <w:szCs w:val="20"/>
                <w:color w:val="auto"/>
              </w:rPr>
            </w:pPr>
            <w:r>
              <w:rPr>
                <w:rFonts w:ascii="Arial" w:cs="Arial" w:eastAsia="Arial" w:hAnsi="Arial"/>
                <w:sz w:val="18"/>
                <w:szCs w:val="18"/>
                <w:color w:val="auto"/>
              </w:rPr>
              <w:t>11</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III.3.b. Restrictions on the flow of information</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11</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III.4. Acting on behalf of Bladex</w:t>
            </w:r>
          </w:p>
        </w:tc>
        <w:tc>
          <w:tcPr>
            <w:tcW w:w="1340" w:type="dxa"/>
            <w:vAlign w:val="bottom"/>
          </w:tcPr>
          <w:p>
            <w:pPr>
              <w:ind w:left="220"/>
              <w:spacing w:after="0"/>
              <w:rPr>
                <w:sz w:val="20"/>
                <w:szCs w:val="20"/>
                <w:color w:val="auto"/>
              </w:rPr>
            </w:pPr>
            <w:r>
              <w:rPr>
                <w:rFonts w:ascii="Arial" w:cs="Arial" w:eastAsia="Arial" w:hAnsi="Arial"/>
                <w:sz w:val="18"/>
                <w:szCs w:val="18"/>
                <w:color w:val="auto"/>
              </w:rPr>
              <w:t>12</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III.4.a. Individual liability</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12</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III.4.b. Labor Responsibility</w:t>
            </w:r>
          </w:p>
        </w:tc>
        <w:tc>
          <w:tcPr>
            <w:tcW w:w="1340" w:type="dxa"/>
            <w:vAlign w:val="bottom"/>
          </w:tcPr>
          <w:p>
            <w:pPr>
              <w:ind w:left="220"/>
              <w:spacing w:after="0"/>
              <w:rPr>
                <w:sz w:val="20"/>
                <w:szCs w:val="20"/>
                <w:color w:val="auto"/>
              </w:rPr>
            </w:pPr>
            <w:r>
              <w:rPr>
                <w:rFonts w:ascii="Arial" w:cs="Arial" w:eastAsia="Arial" w:hAnsi="Arial"/>
                <w:sz w:val="18"/>
                <w:szCs w:val="18"/>
                <w:color w:val="auto"/>
              </w:rPr>
              <w:t>13</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III.4.c. Publications and Public Presentations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13</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III.4.d. Appointment to Public Office and other designations</w:t>
            </w:r>
          </w:p>
        </w:tc>
        <w:tc>
          <w:tcPr>
            <w:tcW w:w="1340" w:type="dxa"/>
            <w:vAlign w:val="bottom"/>
          </w:tcPr>
          <w:p>
            <w:pPr>
              <w:ind w:left="220"/>
              <w:spacing w:after="0"/>
              <w:rPr>
                <w:sz w:val="20"/>
                <w:szCs w:val="20"/>
                <w:color w:val="auto"/>
              </w:rPr>
            </w:pPr>
            <w:r>
              <w:rPr>
                <w:rFonts w:ascii="Arial" w:cs="Arial" w:eastAsia="Arial" w:hAnsi="Arial"/>
                <w:sz w:val="18"/>
                <w:szCs w:val="18"/>
                <w:color w:val="auto"/>
              </w:rPr>
              <w:t>13</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III.4.e. Exercising Delegation of Powers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14</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III.5 Illegitimate business and Anti-Money Laundering</w:t>
            </w:r>
          </w:p>
        </w:tc>
        <w:tc>
          <w:tcPr>
            <w:tcW w:w="1340" w:type="dxa"/>
            <w:vAlign w:val="bottom"/>
          </w:tcPr>
          <w:p>
            <w:pPr>
              <w:ind w:left="220"/>
              <w:spacing w:after="0"/>
              <w:rPr>
                <w:sz w:val="20"/>
                <w:szCs w:val="20"/>
                <w:color w:val="auto"/>
              </w:rPr>
            </w:pPr>
            <w:r>
              <w:rPr>
                <w:rFonts w:ascii="Arial" w:cs="Arial" w:eastAsia="Arial" w:hAnsi="Arial"/>
                <w:sz w:val="18"/>
                <w:szCs w:val="18"/>
                <w:color w:val="auto"/>
              </w:rPr>
              <w:t>14</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III.6. Personal Integrity</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14</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234"/>
        </w:trPr>
        <w:tc>
          <w:tcPr>
            <w:tcW w:w="9900" w:type="dxa"/>
            <w:vAlign w:val="bottom"/>
          </w:tcPr>
          <w:p>
            <w:pPr>
              <w:ind w:left="200"/>
              <w:spacing w:after="0"/>
              <w:rPr>
                <w:sz w:val="20"/>
                <w:szCs w:val="20"/>
                <w:color w:val="auto"/>
              </w:rPr>
            </w:pPr>
            <w:r>
              <w:rPr>
                <w:rFonts w:ascii="Arial" w:cs="Arial" w:eastAsia="Arial" w:hAnsi="Arial"/>
                <w:sz w:val="18"/>
                <w:szCs w:val="18"/>
                <w:b w:val="1"/>
                <w:bCs w:val="1"/>
                <w:color w:val="auto"/>
              </w:rPr>
              <w:t>III.7. Investigations</w:t>
            </w:r>
          </w:p>
        </w:tc>
        <w:tc>
          <w:tcPr>
            <w:tcW w:w="1340" w:type="dxa"/>
            <w:vAlign w:val="bottom"/>
          </w:tcPr>
          <w:p>
            <w:pPr>
              <w:ind w:left="220"/>
              <w:spacing w:after="0"/>
              <w:rPr>
                <w:sz w:val="20"/>
                <w:szCs w:val="20"/>
                <w:color w:val="auto"/>
              </w:rPr>
            </w:pPr>
            <w:r>
              <w:rPr>
                <w:rFonts w:ascii="Arial" w:cs="Arial" w:eastAsia="Arial" w:hAnsi="Arial"/>
                <w:sz w:val="18"/>
                <w:szCs w:val="18"/>
                <w:color w:val="auto"/>
              </w:rPr>
              <w:t>15</w:t>
            </w:r>
          </w:p>
        </w:tc>
      </w:tr>
      <w:tr>
        <w:trPr>
          <w:trHeight w:val="63"/>
        </w:trPr>
        <w:tc>
          <w:tcPr>
            <w:tcW w:w="9900" w:type="dxa"/>
            <w:vAlign w:val="bottom"/>
          </w:tcPr>
          <w:p>
            <w:pPr>
              <w:spacing w:after="0"/>
              <w:rPr>
                <w:sz w:val="5"/>
                <w:szCs w:val="5"/>
                <w:color w:val="auto"/>
              </w:rPr>
            </w:pPr>
          </w:p>
        </w:tc>
        <w:tc>
          <w:tcPr>
            <w:tcW w:w="1340" w:type="dxa"/>
            <w:vAlign w:val="bottom"/>
          </w:tcPr>
          <w:p>
            <w:pPr>
              <w:spacing w:after="0"/>
              <w:rPr>
                <w:sz w:val="5"/>
                <w:szCs w:val="5"/>
                <w:color w:val="auto"/>
              </w:rPr>
            </w:pPr>
          </w:p>
        </w:tc>
      </w:tr>
      <w:tr>
        <w:trPr>
          <w:trHeight w:val="234"/>
        </w:trPr>
        <w:tc>
          <w:tcPr>
            <w:tcW w:w="990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III.8. A culture of high honesty and ethics</w:t>
            </w:r>
          </w:p>
        </w:tc>
        <w:tc>
          <w:tcPr>
            <w:tcW w:w="1340" w:type="dxa"/>
            <w:vAlign w:val="bottom"/>
            <w:shd w:val="clear" w:color="auto" w:fill="CCEEFF"/>
          </w:tcPr>
          <w:p>
            <w:pPr>
              <w:ind w:left="220"/>
              <w:spacing w:after="0"/>
              <w:rPr>
                <w:sz w:val="20"/>
                <w:szCs w:val="20"/>
                <w:color w:val="auto"/>
              </w:rPr>
            </w:pPr>
            <w:r>
              <w:rPr>
                <w:rFonts w:ascii="Arial" w:cs="Arial" w:eastAsia="Arial" w:hAnsi="Arial"/>
                <w:sz w:val="18"/>
                <w:szCs w:val="18"/>
                <w:color w:val="auto"/>
              </w:rPr>
              <w:t>15</w:t>
            </w:r>
          </w:p>
        </w:tc>
      </w:tr>
      <w:tr>
        <w:trPr>
          <w:trHeight w:val="63"/>
        </w:trPr>
        <w:tc>
          <w:tcPr>
            <w:tcW w:w="9900" w:type="dxa"/>
            <w:vAlign w:val="bottom"/>
            <w:shd w:val="clear" w:color="auto" w:fill="CCEEFF"/>
          </w:tcPr>
          <w:p>
            <w:pPr>
              <w:spacing w:after="0"/>
              <w:rPr>
                <w:sz w:val="5"/>
                <w:szCs w:val="5"/>
                <w:color w:val="auto"/>
              </w:rPr>
            </w:pPr>
          </w:p>
        </w:tc>
        <w:tc>
          <w:tcPr>
            <w:tcW w:w="1340" w:type="dxa"/>
            <w:vAlign w:val="bottom"/>
            <w:shd w:val="clear" w:color="auto" w:fill="CCEEFF"/>
          </w:tcPr>
          <w:p>
            <w:pPr>
              <w:spacing w:after="0"/>
              <w:rPr>
                <w:sz w:val="5"/>
                <w:szCs w:val="5"/>
                <w:color w:val="auto"/>
              </w:rPr>
            </w:pPr>
          </w:p>
        </w:tc>
      </w:tr>
      <w:tr>
        <w:trPr>
          <w:trHeight w:val="675"/>
        </w:trPr>
        <w:tc>
          <w:tcPr>
            <w:tcW w:w="9900" w:type="dxa"/>
            <w:vAlign w:val="bottom"/>
            <w:tcBorders>
              <w:bottom w:val="single" w:sz="8" w:color="auto"/>
            </w:tcBorders>
          </w:tcPr>
          <w:p>
            <w:pPr>
              <w:ind w:left="5560"/>
              <w:spacing w:after="0"/>
              <w:rPr>
                <w:sz w:val="20"/>
                <w:szCs w:val="20"/>
                <w:color w:val="auto"/>
              </w:rPr>
            </w:pPr>
            <w:r>
              <w:rPr>
                <w:rFonts w:ascii="Arial" w:cs="Arial" w:eastAsia="Arial" w:hAnsi="Arial"/>
                <w:sz w:val="18"/>
                <w:szCs w:val="18"/>
                <w:color w:val="auto"/>
              </w:rPr>
              <w:t>3</w:t>
            </w:r>
          </w:p>
        </w:tc>
        <w:tc>
          <w:tcPr>
            <w:tcW w:w="13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76" w:name="page277"/>
    <w:bookmarkEnd w:id="27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77"/>
        </w:trPr>
        <w:tc>
          <w:tcPr>
            <w:tcW w:w="9920" w:type="dxa"/>
            <w:vAlign w:val="bottom"/>
            <w:tcBorders>
              <w:bottom w:val="single" w:sz="8" w:color="CCEEFF"/>
            </w:tcBorders>
            <w:shd w:val="clear" w:color="auto" w:fill="CCEEFF"/>
          </w:tcPr>
          <w:p>
            <w:pPr>
              <w:ind w:left="200"/>
              <w:spacing w:after="0"/>
              <w:rPr>
                <w:sz w:val="20"/>
                <w:szCs w:val="20"/>
                <w:color w:val="auto"/>
              </w:rPr>
            </w:pPr>
            <w:r>
              <w:rPr>
                <w:rFonts w:ascii="Arial" w:cs="Arial" w:eastAsia="Arial" w:hAnsi="Arial"/>
                <w:sz w:val="18"/>
                <w:szCs w:val="18"/>
                <w:b w:val="1"/>
                <w:bCs w:val="1"/>
                <w:color w:val="auto"/>
              </w:rPr>
              <w:t>III.9. Relations with the public Sector and regulatory entities</w:t>
            </w:r>
          </w:p>
        </w:tc>
        <w:tc>
          <w:tcPr>
            <w:tcW w:w="1320" w:type="dxa"/>
            <w:vAlign w:val="bottom"/>
            <w:tcBorders>
              <w:bottom w:val="single" w:sz="8" w:color="CCEEFF"/>
            </w:tcBorders>
            <w:shd w:val="clear" w:color="auto" w:fill="CCEEFF"/>
          </w:tcPr>
          <w:p>
            <w:pPr>
              <w:jc w:val="right"/>
              <w:ind w:right="850"/>
              <w:spacing w:after="0"/>
              <w:rPr>
                <w:sz w:val="20"/>
                <w:szCs w:val="20"/>
                <w:color w:val="auto"/>
              </w:rPr>
            </w:pPr>
            <w:r>
              <w:rPr>
                <w:rFonts w:ascii="Arial" w:cs="Arial" w:eastAsia="Arial" w:hAnsi="Arial"/>
                <w:sz w:val="18"/>
                <w:szCs w:val="18"/>
                <w:color w:val="auto"/>
              </w:rPr>
              <w:t>15</w:t>
            </w:r>
          </w:p>
        </w:tc>
      </w:tr>
      <w:tr>
        <w:trPr>
          <w:trHeight w:val="234"/>
        </w:trPr>
        <w:tc>
          <w:tcPr>
            <w:tcW w:w="9920" w:type="dxa"/>
            <w:vAlign w:val="bottom"/>
          </w:tcPr>
          <w:p>
            <w:pPr>
              <w:ind w:left="200"/>
              <w:spacing w:after="0"/>
              <w:rPr>
                <w:sz w:val="20"/>
                <w:szCs w:val="20"/>
                <w:color w:val="auto"/>
              </w:rPr>
            </w:pPr>
            <w:r>
              <w:rPr>
                <w:rFonts w:ascii="Arial" w:cs="Arial" w:eastAsia="Arial" w:hAnsi="Arial"/>
                <w:sz w:val="18"/>
                <w:szCs w:val="18"/>
                <w:b w:val="1"/>
                <w:bCs w:val="1"/>
                <w:color w:val="auto"/>
              </w:rPr>
              <w:t>III.10. Social network presence</w:t>
            </w:r>
          </w:p>
        </w:tc>
        <w:tc>
          <w:tcPr>
            <w:tcW w:w="1320" w:type="dxa"/>
            <w:vAlign w:val="bottom"/>
          </w:tcPr>
          <w:p>
            <w:pPr>
              <w:jc w:val="right"/>
              <w:ind w:right="850"/>
              <w:spacing w:after="0"/>
              <w:rPr>
                <w:sz w:val="20"/>
                <w:szCs w:val="20"/>
                <w:color w:val="auto"/>
              </w:rPr>
            </w:pPr>
            <w:r>
              <w:rPr>
                <w:rFonts w:ascii="Arial" w:cs="Arial" w:eastAsia="Arial" w:hAnsi="Arial"/>
                <w:sz w:val="18"/>
                <w:szCs w:val="18"/>
                <w:color w:val="auto"/>
              </w:rPr>
              <w:t>16</w:t>
            </w:r>
          </w:p>
        </w:tc>
      </w:tr>
      <w:tr>
        <w:trPr>
          <w:trHeight w:val="63"/>
        </w:trPr>
        <w:tc>
          <w:tcPr>
            <w:tcW w:w="9920" w:type="dxa"/>
            <w:vAlign w:val="bottom"/>
          </w:tcPr>
          <w:p>
            <w:pPr>
              <w:spacing w:after="0"/>
              <w:rPr>
                <w:sz w:val="5"/>
                <w:szCs w:val="5"/>
                <w:color w:val="auto"/>
              </w:rPr>
            </w:pPr>
          </w:p>
        </w:tc>
        <w:tc>
          <w:tcPr>
            <w:tcW w:w="1320" w:type="dxa"/>
            <w:vAlign w:val="bottom"/>
          </w:tcPr>
          <w:p>
            <w:pPr>
              <w:spacing w:after="0"/>
              <w:rPr>
                <w:sz w:val="5"/>
                <w:szCs w:val="5"/>
                <w:color w:val="auto"/>
              </w:rPr>
            </w:pPr>
          </w:p>
        </w:tc>
      </w:tr>
      <w:tr>
        <w:trPr>
          <w:trHeight w:val="234"/>
        </w:trPr>
        <w:tc>
          <w:tcPr>
            <w:tcW w:w="9920" w:type="dxa"/>
            <w:vAlign w:val="bottom"/>
            <w:shd w:val="clear" w:color="auto" w:fill="CCEEFF"/>
          </w:tcPr>
          <w:p>
            <w:pPr>
              <w:ind w:left="200"/>
              <w:spacing w:after="0"/>
              <w:rPr>
                <w:sz w:val="20"/>
                <w:szCs w:val="20"/>
                <w:color w:val="auto"/>
              </w:rPr>
            </w:pPr>
            <w:r>
              <w:rPr>
                <w:rFonts w:ascii="Arial" w:cs="Arial" w:eastAsia="Arial" w:hAnsi="Arial"/>
                <w:sz w:val="18"/>
                <w:szCs w:val="18"/>
                <w:b w:val="1"/>
                <w:bCs w:val="1"/>
                <w:color w:val="auto"/>
              </w:rPr>
              <w:t>III.11. Environmental protection</w:t>
            </w:r>
          </w:p>
        </w:tc>
        <w:tc>
          <w:tcPr>
            <w:tcW w:w="1320" w:type="dxa"/>
            <w:vAlign w:val="bottom"/>
            <w:shd w:val="clear" w:color="auto" w:fill="CCEEFF"/>
          </w:tcPr>
          <w:p>
            <w:pPr>
              <w:jc w:val="right"/>
              <w:ind w:right="850"/>
              <w:spacing w:after="0"/>
              <w:rPr>
                <w:sz w:val="20"/>
                <w:szCs w:val="20"/>
                <w:color w:val="auto"/>
              </w:rPr>
            </w:pPr>
            <w:r>
              <w:rPr>
                <w:rFonts w:ascii="Arial" w:cs="Arial" w:eastAsia="Arial" w:hAnsi="Arial"/>
                <w:sz w:val="18"/>
                <w:szCs w:val="18"/>
                <w:color w:val="auto"/>
              </w:rPr>
              <w:t>16</w:t>
            </w:r>
          </w:p>
        </w:tc>
      </w:tr>
      <w:tr>
        <w:trPr>
          <w:trHeight w:val="63"/>
        </w:trPr>
        <w:tc>
          <w:tcPr>
            <w:tcW w:w="9920" w:type="dxa"/>
            <w:vAlign w:val="bottom"/>
            <w:shd w:val="clear" w:color="auto" w:fill="CCEEFF"/>
          </w:tcPr>
          <w:p>
            <w:pPr>
              <w:spacing w:after="0"/>
              <w:rPr>
                <w:sz w:val="5"/>
                <w:szCs w:val="5"/>
                <w:color w:val="auto"/>
              </w:rPr>
            </w:pPr>
          </w:p>
        </w:tc>
        <w:tc>
          <w:tcPr>
            <w:tcW w:w="1320" w:type="dxa"/>
            <w:vAlign w:val="bottom"/>
            <w:shd w:val="clear" w:color="auto" w:fill="CCEEFF"/>
          </w:tcPr>
          <w:p>
            <w:pPr>
              <w:spacing w:after="0"/>
              <w:rPr>
                <w:sz w:val="5"/>
                <w:szCs w:val="5"/>
                <w:color w:val="auto"/>
              </w:rPr>
            </w:pPr>
          </w:p>
        </w:tc>
      </w:tr>
      <w:tr>
        <w:trPr>
          <w:trHeight w:val="234"/>
        </w:trPr>
        <w:tc>
          <w:tcPr>
            <w:tcW w:w="9920" w:type="dxa"/>
            <w:vAlign w:val="bottom"/>
          </w:tcPr>
          <w:p>
            <w:pPr>
              <w:ind w:left="200"/>
              <w:spacing w:after="0"/>
              <w:rPr>
                <w:sz w:val="20"/>
                <w:szCs w:val="20"/>
                <w:color w:val="auto"/>
              </w:rPr>
            </w:pPr>
            <w:r>
              <w:rPr>
                <w:rFonts w:ascii="Arial" w:cs="Arial" w:eastAsia="Arial" w:hAnsi="Arial"/>
                <w:sz w:val="18"/>
                <w:szCs w:val="18"/>
                <w:b w:val="1"/>
                <w:bCs w:val="1"/>
                <w:color w:val="auto"/>
              </w:rPr>
              <w:t>III.12. Prevention of Corrupt Practices</w:t>
            </w:r>
          </w:p>
        </w:tc>
        <w:tc>
          <w:tcPr>
            <w:tcW w:w="1320" w:type="dxa"/>
            <w:vAlign w:val="bottom"/>
          </w:tcPr>
          <w:p>
            <w:pPr>
              <w:jc w:val="right"/>
              <w:ind w:right="850"/>
              <w:spacing w:after="0"/>
              <w:rPr>
                <w:sz w:val="20"/>
                <w:szCs w:val="20"/>
                <w:color w:val="auto"/>
              </w:rPr>
            </w:pPr>
            <w:r>
              <w:rPr>
                <w:rFonts w:ascii="Arial" w:cs="Arial" w:eastAsia="Arial" w:hAnsi="Arial"/>
                <w:sz w:val="18"/>
                <w:szCs w:val="18"/>
                <w:color w:val="auto"/>
              </w:rPr>
              <w:t>16</w:t>
            </w:r>
          </w:p>
        </w:tc>
      </w:tr>
      <w:tr>
        <w:trPr>
          <w:trHeight w:val="63"/>
        </w:trPr>
        <w:tc>
          <w:tcPr>
            <w:tcW w:w="9920" w:type="dxa"/>
            <w:vAlign w:val="bottom"/>
          </w:tcPr>
          <w:p>
            <w:pPr>
              <w:spacing w:after="0"/>
              <w:rPr>
                <w:sz w:val="5"/>
                <w:szCs w:val="5"/>
                <w:color w:val="auto"/>
              </w:rPr>
            </w:pPr>
          </w:p>
        </w:tc>
        <w:tc>
          <w:tcPr>
            <w:tcW w:w="1320" w:type="dxa"/>
            <w:vAlign w:val="bottom"/>
          </w:tcPr>
          <w:p>
            <w:pPr>
              <w:spacing w:after="0"/>
              <w:rPr>
                <w:sz w:val="5"/>
                <w:szCs w:val="5"/>
                <w:color w:val="auto"/>
              </w:rPr>
            </w:pPr>
          </w:p>
        </w:tc>
      </w:tr>
      <w:tr>
        <w:trPr>
          <w:trHeight w:val="234"/>
        </w:trPr>
        <w:tc>
          <w:tcPr>
            <w:tcW w:w="9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IV. ETHICS COMMITTEE</w:t>
            </w:r>
          </w:p>
        </w:tc>
        <w:tc>
          <w:tcPr>
            <w:tcW w:w="1320" w:type="dxa"/>
            <w:vAlign w:val="bottom"/>
            <w:shd w:val="clear" w:color="auto" w:fill="CCEEFF"/>
          </w:tcPr>
          <w:p>
            <w:pPr>
              <w:jc w:val="right"/>
              <w:ind w:right="850"/>
              <w:spacing w:after="0"/>
              <w:rPr>
                <w:sz w:val="20"/>
                <w:szCs w:val="20"/>
                <w:color w:val="auto"/>
              </w:rPr>
            </w:pPr>
            <w:r>
              <w:rPr>
                <w:rFonts w:ascii="Arial" w:cs="Arial" w:eastAsia="Arial" w:hAnsi="Arial"/>
                <w:sz w:val="18"/>
                <w:szCs w:val="18"/>
                <w:color w:val="auto"/>
              </w:rPr>
              <w:t>16</w:t>
            </w:r>
          </w:p>
        </w:tc>
      </w:tr>
      <w:tr>
        <w:trPr>
          <w:trHeight w:val="63"/>
        </w:trPr>
        <w:tc>
          <w:tcPr>
            <w:tcW w:w="9920" w:type="dxa"/>
            <w:vAlign w:val="bottom"/>
            <w:shd w:val="clear" w:color="auto" w:fill="CCEEFF"/>
          </w:tcPr>
          <w:p>
            <w:pPr>
              <w:spacing w:after="0"/>
              <w:rPr>
                <w:sz w:val="5"/>
                <w:szCs w:val="5"/>
                <w:color w:val="auto"/>
              </w:rPr>
            </w:pPr>
          </w:p>
        </w:tc>
        <w:tc>
          <w:tcPr>
            <w:tcW w:w="1320" w:type="dxa"/>
            <w:vAlign w:val="bottom"/>
            <w:shd w:val="clear" w:color="auto" w:fill="CCEEFF"/>
          </w:tcPr>
          <w:p>
            <w:pPr>
              <w:spacing w:after="0"/>
              <w:rPr>
                <w:sz w:val="5"/>
                <w:szCs w:val="5"/>
                <w:color w:val="auto"/>
              </w:rPr>
            </w:pPr>
          </w:p>
        </w:tc>
      </w:tr>
      <w:tr>
        <w:trPr>
          <w:trHeight w:val="234"/>
        </w:trPr>
        <w:tc>
          <w:tcPr>
            <w:tcW w:w="9920" w:type="dxa"/>
            <w:vAlign w:val="bottom"/>
          </w:tcPr>
          <w:p>
            <w:pPr>
              <w:spacing w:after="0"/>
              <w:rPr>
                <w:sz w:val="20"/>
                <w:szCs w:val="20"/>
                <w:color w:val="auto"/>
              </w:rPr>
            </w:pPr>
            <w:r>
              <w:rPr>
                <w:rFonts w:ascii="Arial" w:cs="Arial" w:eastAsia="Arial" w:hAnsi="Arial"/>
                <w:sz w:val="18"/>
                <w:szCs w:val="18"/>
                <w:b w:val="1"/>
                <w:bCs w:val="1"/>
                <w:color w:val="auto"/>
              </w:rPr>
              <w:t>V. COMPLIANCE REGULATIONS</w:t>
            </w:r>
          </w:p>
        </w:tc>
        <w:tc>
          <w:tcPr>
            <w:tcW w:w="1320" w:type="dxa"/>
            <w:vAlign w:val="bottom"/>
          </w:tcPr>
          <w:p>
            <w:pPr>
              <w:jc w:val="right"/>
              <w:ind w:right="850"/>
              <w:spacing w:after="0"/>
              <w:rPr>
                <w:sz w:val="20"/>
                <w:szCs w:val="20"/>
                <w:color w:val="auto"/>
              </w:rPr>
            </w:pPr>
            <w:r>
              <w:rPr>
                <w:rFonts w:ascii="Arial" w:cs="Arial" w:eastAsia="Arial" w:hAnsi="Arial"/>
                <w:sz w:val="18"/>
                <w:szCs w:val="18"/>
                <w:color w:val="auto"/>
              </w:rPr>
              <w:t>17</w:t>
            </w:r>
          </w:p>
        </w:tc>
      </w:tr>
      <w:tr>
        <w:trPr>
          <w:trHeight w:val="63"/>
        </w:trPr>
        <w:tc>
          <w:tcPr>
            <w:tcW w:w="9920" w:type="dxa"/>
            <w:vAlign w:val="bottom"/>
          </w:tcPr>
          <w:p>
            <w:pPr>
              <w:spacing w:after="0"/>
              <w:rPr>
                <w:sz w:val="5"/>
                <w:szCs w:val="5"/>
                <w:color w:val="auto"/>
              </w:rPr>
            </w:pPr>
          </w:p>
        </w:tc>
        <w:tc>
          <w:tcPr>
            <w:tcW w:w="1320" w:type="dxa"/>
            <w:vAlign w:val="bottom"/>
          </w:tcPr>
          <w:p>
            <w:pPr>
              <w:spacing w:after="0"/>
              <w:rPr>
                <w:sz w:val="5"/>
                <w:szCs w:val="5"/>
                <w:color w:val="auto"/>
              </w:rPr>
            </w:pPr>
          </w:p>
        </w:tc>
      </w:tr>
      <w:tr>
        <w:trPr>
          <w:trHeight w:val="198"/>
        </w:trPr>
        <w:tc>
          <w:tcPr>
            <w:tcW w:w="992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SPECIAL STATEMENT BY SENIOR FINANCIAL EXECUTIVES RELATED TO THE BLADEX CODE OF ETHICS (THE</w:t>
            </w:r>
          </w:p>
        </w:tc>
        <w:tc>
          <w:tcPr>
            <w:tcW w:w="1320" w:type="dxa"/>
            <w:vAlign w:val="bottom"/>
            <w:shd w:val="clear" w:color="auto" w:fill="CCEEFF"/>
          </w:tcPr>
          <w:p>
            <w:pPr>
              <w:spacing w:after="0"/>
              <w:rPr>
                <w:sz w:val="17"/>
                <w:szCs w:val="17"/>
                <w:color w:val="auto"/>
              </w:rPr>
            </w:pPr>
          </w:p>
        </w:tc>
      </w:tr>
      <w:tr>
        <w:trPr>
          <w:trHeight w:val="234"/>
        </w:trPr>
        <w:tc>
          <w:tcPr>
            <w:tcW w:w="9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"CODE")</w:t>
            </w:r>
          </w:p>
        </w:tc>
        <w:tc>
          <w:tcPr>
            <w:tcW w:w="1320" w:type="dxa"/>
            <w:vAlign w:val="bottom"/>
            <w:shd w:val="clear" w:color="auto" w:fill="CCEEFF"/>
          </w:tcPr>
          <w:p>
            <w:pPr>
              <w:jc w:val="right"/>
              <w:ind w:right="850"/>
              <w:spacing w:after="0"/>
              <w:rPr>
                <w:sz w:val="20"/>
                <w:szCs w:val="20"/>
                <w:color w:val="auto"/>
              </w:rPr>
            </w:pPr>
            <w:r>
              <w:rPr>
                <w:rFonts w:ascii="Arial" w:cs="Arial" w:eastAsia="Arial" w:hAnsi="Arial"/>
                <w:sz w:val="18"/>
                <w:szCs w:val="18"/>
                <w:color w:val="auto"/>
              </w:rPr>
              <w:t>18</w:t>
            </w:r>
          </w:p>
        </w:tc>
      </w:tr>
      <w:tr>
        <w:trPr>
          <w:trHeight w:val="81"/>
        </w:trPr>
        <w:tc>
          <w:tcPr>
            <w:tcW w:w="9920" w:type="dxa"/>
            <w:vAlign w:val="bottom"/>
            <w:shd w:val="clear" w:color="auto" w:fill="CCEEFF"/>
          </w:tcPr>
          <w:p>
            <w:pPr>
              <w:spacing w:after="0"/>
              <w:rPr>
                <w:sz w:val="7"/>
                <w:szCs w:val="7"/>
                <w:color w:val="auto"/>
              </w:rPr>
            </w:pPr>
          </w:p>
        </w:tc>
        <w:tc>
          <w:tcPr>
            <w:tcW w:w="1320" w:type="dxa"/>
            <w:vAlign w:val="bottom"/>
            <w:shd w:val="clear" w:color="auto" w:fill="CCEEFF"/>
          </w:tcPr>
          <w:p>
            <w:pPr>
              <w:spacing w:after="0"/>
              <w:rPr>
                <w:sz w:val="7"/>
                <w:szCs w:val="7"/>
                <w:color w:val="auto"/>
              </w:rPr>
            </w:pPr>
          </w:p>
        </w:tc>
      </w:tr>
      <w:tr>
        <w:trPr>
          <w:trHeight w:val="648"/>
        </w:trPr>
        <w:tc>
          <w:tcPr>
            <w:tcW w:w="9920" w:type="dxa"/>
            <w:vAlign w:val="bottom"/>
            <w:tcBorders>
              <w:bottom w:val="single" w:sz="8" w:color="auto"/>
            </w:tcBorders>
          </w:tcPr>
          <w:p>
            <w:pPr>
              <w:ind w:left="5560"/>
              <w:spacing w:after="0"/>
              <w:rPr>
                <w:sz w:val="20"/>
                <w:szCs w:val="20"/>
                <w:color w:val="auto"/>
              </w:rPr>
            </w:pPr>
            <w:r>
              <w:rPr>
                <w:rFonts w:ascii="Arial" w:cs="Arial" w:eastAsia="Arial" w:hAnsi="Arial"/>
                <w:sz w:val="18"/>
                <w:szCs w:val="18"/>
                <w:color w:val="auto"/>
              </w:rPr>
              <w:t>4</w:t>
            </w:r>
          </w:p>
        </w:tc>
        <w:tc>
          <w:tcPr>
            <w:tcW w:w="13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50" w:right="339" w:bottom="1440" w:gutter="0" w:footer="0" w:header="0"/>
        </w:sectPr>
      </w:pPr>
    </w:p>
    <w:bookmarkStart w:id="277" w:name="page278"/>
    <w:bookmarkEnd w:id="277"/>
    <w:p>
      <w:pPr>
        <w:spacing w:after="0"/>
        <w:rPr>
          <w:sz w:val="20"/>
          <w:szCs w:val="20"/>
          <w:color w:val="auto"/>
        </w:rPr>
      </w:pPr>
      <w:r>
        <w:rPr>
          <w:rFonts w:ascii="Arial" w:cs="Arial" w:eastAsia="Arial" w:hAnsi="Arial"/>
          <w:sz w:val="18"/>
          <w:szCs w:val="18"/>
          <w:b w:val="1"/>
          <w:bCs w:val="1"/>
          <w:color w:val="auto"/>
        </w:rPr>
        <w:t>I. INTRODUCTION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General Principles and Objectives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This Code sets forth the norms binding those who are subject hereto (Persons Covered by this Code, as such term is defined hereunder), to respect it and denounce any attempt to disregard it.</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Aware of the social and individual responsibilities of the different activities and functions involved in managing the Institution, the general principles and action policies are defined herein for guiding the decisions and actions of each person that is part thereof.</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Our mission, as members of this Institution, whether individually or collectively, is to act in line with the ethical values and principles of human beings, the Bank and Society.</w:t>
      </w:r>
    </w:p>
    <w:p>
      <w:pPr>
        <w:spacing w:after="0" w:line="166" w:lineRule="exact"/>
        <w:rPr>
          <w:sz w:val="20"/>
          <w:szCs w:val="20"/>
          <w:color w:val="auto"/>
        </w:rPr>
      </w:pPr>
    </w:p>
    <w:p>
      <w:pPr>
        <w:spacing w:after="0" w:line="282" w:lineRule="auto"/>
        <w:rPr>
          <w:sz w:val="20"/>
          <w:szCs w:val="20"/>
          <w:color w:val="auto"/>
        </w:rPr>
      </w:pPr>
      <w:r>
        <w:rPr>
          <w:rFonts w:ascii="Arial" w:cs="Arial" w:eastAsia="Arial" w:hAnsi="Arial"/>
          <w:sz w:val="18"/>
          <w:szCs w:val="18"/>
          <w:color w:val="auto"/>
        </w:rPr>
        <w:t xml:space="preserve">The Institution promotes and upholds the ethical values it considers essential in its operations: </w:t>
      </w:r>
      <w:r>
        <w:rPr>
          <w:rFonts w:ascii="Arial" w:cs="Arial" w:eastAsia="Arial" w:hAnsi="Arial"/>
          <w:sz w:val="18"/>
          <w:szCs w:val="18"/>
          <w:b w:val="1"/>
          <w:bCs w:val="1"/>
          <w:color w:val="auto"/>
        </w:rPr>
        <w:t>Commitment, Humility, Excellence, Respect and</w:t>
      </w:r>
      <w:r>
        <w:rPr>
          <w:rFonts w:ascii="Arial" w:cs="Arial" w:eastAsia="Arial" w:hAnsi="Arial"/>
          <w:sz w:val="18"/>
          <w:szCs w:val="18"/>
          <w:color w:val="auto"/>
        </w:rPr>
        <w:t xml:space="preserve"> </w:t>
      </w:r>
      <w:r>
        <w:rPr>
          <w:rFonts w:ascii="Arial" w:cs="Arial" w:eastAsia="Arial" w:hAnsi="Arial"/>
          <w:sz w:val="18"/>
          <w:szCs w:val="18"/>
          <w:b w:val="1"/>
          <w:bCs w:val="1"/>
          <w:color w:val="auto"/>
        </w:rPr>
        <w:t>Integrity (hereinafter altogether referred to as the “Values”).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This Code aims to establish the general ethical framework for work performance within each of the Institution’s activities.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content hereof covers the general situations and issues that may arise in the scope of the Institution’s activities, as well as such cases that may relate more specifically to the management and performance of the Institution itself.</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norms compiled in this Code constitute a tool for constant consultation and knowledge; they form a guideline for the decisions to be made by each of the Bank’s members, according to their position and function.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Each of the Institution’s members should act in line with these Values in a uniform, coherent and constant manner. A responsible exercise of authority and acting correctly is always expected of all Persons Covered by this Code.</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This Code describes general conducts from an ethical point of view; however, it is everyone’s duty to assume an individual responsibility in making the Board of Directors, the Compensation Committee, the Audit Committee, Senior Management, Compliance department or Human Development department, as the case may be, aware of any facts that might generate some degree of ethical difficulty in the decision-making process, through the tools and mechanisms set forth by the Bank this purpose.</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Although the Code intends to address a wide range of practices and procedures, Bladex cannot foresee all the problems and situations that may arise.</w:t>
      </w:r>
    </w:p>
    <w:p>
      <w:pPr>
        <w:spacing w:after="0" w:line="248" w:lineRule="exact"/>
        <w:rPr>
          <w:sz w:val="20"/>
          <w:szCs w:val="20"/>
          <w:color w:val="auto"/>
        </w:rPr>
      </w:pPr>
    </w:p>
    <w:p>
      <w:pPr>
        <w:jc w:val="both"/>
        <w:spacing w:after="0" w:line="293" w:lineRule="auto"/>
        <w:rPr>
          <w:sz w:val="20"/>
          <w:szCs w:val="20"/>
          <w:color w:val="auto"/>
        </w:rPr>
      </w:pPr>
      <w:r>
        <w:rPr>
          <w:rFonts w:ascii="Arial" w:cs="Arial" w:eastAsia="Arial" w:hAnsi="Arial"/>
          <w:sz w:val="16"/>
          <w:szCs w:val="16"/>
          <w:color w:val="auto"/>
        </w:rPr>
        <w:t>If any of the Persons Covered by this Code are not sure of what to do in a given situation, then additional information and guidance should be sought before taking any action. The Persons Covered by this Code should exercise good judgment and common sense; if something appears incorrect or unethical, it is likely to be so. If any questions regarding the best course of action to be taken in a specific situation arise, or, if a possible violation of any law, rule or ethical norm is suspected or known to have happened, , then Human Development Department should be contacted immediately in order for it to provide guidance with respect to the handling of the relevant situation. Any report of possible infringements of this Code, or any other norm that further develops or complements it, should be made through the tool that the Bank has made available for such purpose, available on the Bank's intranet and on its website.</w:t>
      </w:r>
    </w:p>
    <w:p>
      <w:pPr>
        <w:spacing w:after="0" w:line="380"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5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78" w:name="page279"/>
    <w:bookmarkEnd w:id="278"/>
    <w:p>
      <w:pPr>
        <w:spacing w:after="0"/>
        <w:rPr>
          <w:sz w:val="20"/>
          <w:szCs w:val="20"/>
          <w:color w:val="auto"/>
        </w:rPr>
      </w:pPr>
      <w:r>
        <w:rPr>
          <w:rFonts w:ascii="Arial" w:cs="Arial" w:eastAsia="Arial" w:hAnsi="Arial"/>
          <w:sz w:val="18"/>
          <w:szCs w:val="18"/>
          <w:b w:val="1"/>
          <w:bCs w:val="1"/>
          <w:color w:val="auto"/>
        </w:rPr>
        <w:t>II. PERSONS COVERED BY THIS CODE</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Persons Covered by this Code are, except for legal or other reasons justified by the Audit Committee, the following (hereinafter "Persons Covered by to the</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Code"):</w:t>
      </w:r>
    </w:p>
    <w:p>
      <w:pPr>
        <w:spacing w:after="0" w:line="211" w:lineRule="exact"/>
        <w:rPr>
          <w:sz w:val="20"/>
          <w:szCs w:val="20"/>
          <w:color w:val="auto"/>
        </w:rPr>
      </w:pPr>
    </w:p>
    <w:p>
      <w:pPr>
        <w:ind w:left="660" w:hanging="328"/>
        <w:spacing w:after="0"/>
        <w:tabs>
          <w:tab w:leader="none" w:pos="660" w:val="left"/>
        </w:tabs>
        <w:numPr>
          <w:ilvl w:val="1"/>
          <w:numId w:val="306"/>
        </w:numPr>
        <w:rPr>
          <w:rFonts w:ascii="Arial" w:cs="Arial" w:eastAsia="Arial" w:hAnsi="Arial"/>
          <w:sz w:val="18"/>
          <w:szCs w:val="18"/>
          <w:color w:val="auto"/>
        </w:rPr>
      </w:pPr>
      <w:r>
        <w:rPr>
          <w:rFonts w:ascii="Arial" w:cs="Arial" w:eastAsia="Arial" w:hAnsi="Arial"/>
          <w:sz w:val="18"/>
          <w:szCs w:val="18"/>
          <w:color w:val="auto"/>
        </w:rPr>
        <w:t>The Directors and Officers of the Bank and those of its subsidiary companies.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1"/>
          <w:numId w:val="306"/>
        </w:numPr>
        <w:rPr>
          <w:rFonts w:ascii="Arial" w:cs="Arial" w:eastAsia="Arial" w:hAnsi="Arial"/>
          <w:sz w:val="18"/>
          <w:szCs w:val="18"/>
          <w:color w:val="auto"/>
        </w:rPr>
      </w:pPr>
      <w:r>
        <w:rPr>
          <w:rFonts w:ascii="Arial" w:cs="Arial" w:eastAsia="Arial" w:hAnsi="Arial"/>
          <w:sz w:val="18"/>
          <w:szCs w:val="18"/>
          <w:color w:val="auto"/>
        </w:rPr>
        <w:t>The members of the Senior Management of the Bank and its subsidiary companies.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1"/>
          <w:numId w:val="306"/>
        </w:numPr>
        <w:rPr>
          <w:rFonts w:ascii="Arial" w:cs="Arial" w:eastAsia="Arial" w:hAnsi="Arial"/>
          <w:sz w:val="18"/>
          <w:szCs w:val="18"/>
          <w:color w:val="auto"/>
        </w:rPr>
      </w:pPr>
      <w:r>
        <w:rPr>
          <w:rFonts w:ascii="Arial" w:cs="Arial" w:eastAsia="Arial" w:hAnsi="Arial"/>
          <w:sz w:val="18"/>
          <w:szCs w:val="18"/>
          <w:color w:val="auto"/>
        </w:rPr>
        <w:t>All persons (employees) who provide their services in the areas of the Bank or its subsidiaries.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1"/>
          <w:numId w:val="306"/>
        </w:numPr>
        <w:rPr>
          <w:rFonts w:ascii="Arial" w:cs="Arial" w:eastAsia="Arial" w:hAnsi="Arial"/>
          <w:sz w:val="18"/>
          <w:szCs w:val="18"/>
          <w:color w:val="auto"/>
        </w:rPr>
      </w:pPr>
      <w:r>
        <w:rPr>
          <w:rFonts w:ascii="Arial" w:cs="Arial" w:eastAsia="Arial" w:hAnsi="Arial"/>
          <w:sz w:val="18"/>
          <w:szCs w:val="18"/>
          <w:color w:val="auto"/>
        </w:rPr>
        <w:t>The representatives or agents of the Bank or its subsidiary companies directly related to its activity.</w:t>
      </w:r>
    </w:p>
    <w:p>
      <w:pPr>
        <w:spacing w:after="0" w:line="225"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306"/>
        </w:numPr>
        <w:rPr>
          <w:rFonts w:ascii="Arial" w:cs="Arial" w:eastAsia="Arial" w:hAnsi="Arial"/>
          <w:sz w:val="18"/>
          <w:szCs w:val="18"/>
          <w:color w:val="auto"/>
        </w:rPr>
      </w:pPr>
      <w:r>
        <w:rPr>
          <w:rFonts w:ascii="Arial" w:cs="Arial" w:eastAsia="Arial" w:hAnsi="Arial"/>
          <w:sz w:val="18"/>
          <w:szCs w:val="18"/>
          <w:color w:val="auto"/>
        </w:rPr>
        <w:t>Such other persons who, by the nature of their activity, must be subject, in the opinion of the Ethics Committee, temporarily or permanently to the provisions of this Code.</w:t>
      </w:r>
    </w:p>
    <w:p>
      <w:pPr>
        <w:spacing w:after="0" w:line="166" w:lineRule="exact"/>
        <w:rPr>
          <w:rFonts w:ascii="Arial" w:cs="Arial" w:eastAsia="Arial" w:hAnsi="Arial"/>
          <w:sz w:val="18"/>
          <w:szCs w:val="18"/>
          <w:color w:val="auto"/>
        </w:rPr>
      </w:pPr>
    </w:p>
    <w:p>
      <w:pPr>
        <w:ind w:left="300" w:hanging="292"/>
        <w:spacing w:after="0"/>
        <w:tabs>
          <w:tab w:leader="none" w:pos="300" w:val="left"/>
        </w:tabs>
        <w:numPr>
          <w:ilvl w:val="0"/>
          <w:numId w:val="306"/>
        </w:numPr>
        <w:rPr>
          <w:rFonts w:ascii="Arial" w:cs="Arial" w:eastAsia="Arial" w:hAnsi="Arial"/>
          <w:sz w:val="18"/>
          <w:szCs w:val="18"/>
          <w:b w:val="1"/>
          <w:bCs w:val="1"/>
          <w:color w:val="auto"/>
        </w:rPr>
      </w:pPr>
      <w:r>
        <w:rPr>
          <w:rFonts w:ascii="Arial" w:cs="Arial" w:eastAsia="Arial" w:hAnsi="Arial"/>
          <w:sz w:val="18"/>
          <w:szCs w:val="18"/>
          <w:b w:val="1"/>
          <w:bCs w:val="1"/>
          <w:color w:val="auto"/>
        </w:rPr>
        <w:t>FUNDAMENTAL PRINCIPLES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 Personal Finances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Persons Covered by the Code must maintain exemplary financial conduct, fulfilling their financial obligations and commitments on a timely manner at all times. It is Imperative that those who demand this behavior of their clients also act accordingly.</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above means that Persons Covered by the Code must handle their banking, financial and commercial matters in general responsibly and in accordance with their effective capacity to incur debt. A criterion of utmost prudence must prevail in this area, which is not compatible with the existence of unpaid or overdue obligations.</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Persons Covered by the Code that require it must request loans or financing exclusively to formal and recognized financial institutions that are habitually dedicated to such activities and that are acting within the current legal framework. Informal entities whose financings imply a high financial cost, or the creation of disproportionate guarantees are prohibited.</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Private investments or businesses carried out by Persons Covered by the Code must not be contrary to the interests of the Institution, ethics or good social behavior.</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issuance of personal loans to third parties as a habitual business practice and/or getting involved in unlawful business shall be considered as inappropriate behavior for all Persons Covered by this Code.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Conflicts of Interest</w:t>
      </w:r>
    </w:p>
    <w:p>
      <w:pPr>
        <w:spacing w:after="0" w:line="229" w:lineRule="exact"/>
        <w:rPr>
          <w:sz w:val="20"/>
          <w:szCs w:val="20"/>
          <w:color w:val="auto"/>
        </w:rPr>
      </w:pPr>
    </w:p>
    <w:p>
      <w:pPr>
        <w:jc w:val="both"/>
        <w:spacing w:after="0" w:line="272" w:lineRule="auto"/>
        <w:rPr>
          <w:sz w:val="20"/>
          <w:szCs w:val="20"/>
          <w:color w:val="auto"/>
        </w:rPr>
      </w:pPr>
      <w:r>
        <w:rPr>
          <w:rFonts w:ascii="Arial" w:cs="Arial" w:eastAsia="Arial" w:hAnsi="Arial"/>
          <w:sz w:val="17"/>
          <w:szCs w:val="17"/>
          <w:color w:val="auto"/>
        </w:rPr>
        <w:t>Any transaction which by its nature involves the Bank and a shareholder, Director, Officer or employee of the Bank, or a person from whom such shareholder, Director, Officer or employee is a shareholder, director, official, employee or agent, or a person with whom any of them has family ties (kinship), close friendship, business or prior labor relationship (all of them, "Related Persons"), presents a situation of potential conflict of interest. Therefore, all transactions of this kind must be conducted in the best interest of the Bank, with strict adherence to applicable laws and regulations and never for the individual benefit of a shareholder, or Director, Officer or employee related to The Bank or its Related Persons. For the purposes of the application of this standard, the policies and guidelines of the Bank, shall further develop the scope of the concepts contained herein, including, for example, the minimum participation that a person should have in a company or the degree of kinship to be considered as Related Persons.</w:t>
      </w:r>
    </w:p>
    <w:p>
      <w:pPr>
        <w:spacing w:after="0" w:line="393"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5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79" w:name="page280"/>
    <w:bookmarkEnd w:id="279"/>
    <w:p>
      <w:pPr>
        <w:spacing w:after="0"/>
        <w:rPr>
          <w:sz w:val="20"/>
          <w:szCs w:val="20"/>
          <w:color w:val="auto"/>
        </w:rPr>
      </w:pPr>
      <w:r>
        <w:rPr>
          <w:rFonts w:ascii="Arial" w:cs="Arial" w:eastAsia="Arial" w:hAnsi="Arial"/>
          <w:sz w:val="18"/>
          <w:szCs w:val="18"/>
          <w:color w:val="auto"/>
        </w:rPr>
        <w:t>Regarding the decisions made by the Bank about such transaction where there might be a conflict of interest, it must proceed as follows:</w:t>
      </w:r>
    </w:p>
    <w:p>
      <w:pPr>
        <w:spacing w:after="0" w:line="225" w:lineRule="exact"/>
        <w:rPr>
          <w:sz w:val="20"/>
          <w:szCs w:val="20"/>
          <w:color w:val="auto"/>
        </w:rPr>
      </w:pPr>
    </w:p>
    <w:p>
      <w:pPr>
        <w:ind w:left="660" w:hanging="328"/>
        <w:spacing w:after="0" w:line="277" w:lineRule="auto"/>
        <w:tabs>
          <w:tab w:leader="none" w:pos="660" w:val="left"/>
        </w:tabs>
        <w:numPr>
          <w:ilvl w:val="0"/>
          <w:numId w:val="307"/>
        </w:numPr>
        <w:rPr>
          <w:rFonts w:ascii="Arial" w:cs="Arial" w:eastAsia="Arial" w:hAnsi="Arial"/>
          <w:sz w:val="18"/>
          <w:szCs w:val="18"/>
          <w:color w:val="auto"/>
        </w:rPr>
      </w:pPr>
      <w:r>
        <w:rPr>
          <w:rFonts w:ascii="Arial" w:cs="Arial" w:eastAsia="Arial" w:hAnsi="Arial"/>
          <w:sz w:val="18"/>
          <w:szCs w:val="18"/>
          <w:color w:val="auto"/>
        </w:rPr>
        <w:t>Persons Covered by the Code who may find themselves in a conflict of interest situation regarding a specific transaction must disclose it to the Compliance Officer.</w:t>
      </w:r>
    </w:p>
    <w:p>
      <w:pPr>
        <w:spacing w:after="0" w:line="170" w:lineRule="exact"/>
        <w:rPr>
          <w:rFonts w:ascii="Arial" w:cs="Arial" w:eastAsia="Arial" w:hAnsi="Arial"/>
          <w:sz w:val="18"/>
          <w:szCs w:val="18"/>
          <w:color w:val="auto"/>
        </w:rPr>
      </w:pPr>
    </w:p>
    <w:p>
      <w:pPr>
        <w:ind w:left="660" w:hanging="328"/>
        <w:spacing w:after="0" w:line="342" w:lineRule="auto"/>
        <w:tabs>
          <w:tab w:leader="none" w:pos="660" w:val="left"/>
        </w:tabs>
        <w:numPr>
          <w:ilvl w:val="0"/>
          <w:numId w:val="307"/>
        </w:numPr>
        <w:rPr>
          <w:rFonts w:ascii="Arial" w:cs="Arial" w:eastAsia="Arial" w:hAnsi="Arial"/>
          <w:sz w:val="16"/>
          <w:szCs w:val="16"/>
          <w:color w:val="auto"/>
        </w:rPr>
      </w:pPr>
      <w:r>
        <w:rPr>
          <w:rFonts w:ascii="Arial" w:cs="Arial" w:eastAsia="Arial" w:hAnsi="Arial"/>
          <w:sz w:val="16"/>
          <w:szCs w:val="16"/>
          <w:color w:val="auto"/>
        </w:rPr>
        <w:t>Persons Covered by the Code who may find themselves in a conflict of interest situation regarding a specific transaction must refrain from any communications that could influence the persons in charge of such transaction, regarding the issue that causes the conflict of interest situation.</w:t>
      </w:r>
    </w:p>
    <w:p>
      <w:pPr>
        <w:spacing w:after="0" w:line="123" w:lineRule="exact"/>
        <w:rPr>
          <w:rFonts w:ascii="Arial" w:cs="Arial" w:eastAsia="Arial" w:hAnsi="Arial"/>
          <w:sz w:val="16"/>
          <w:szCs w:val="16"/>
          <w:color w:val="auto"/>
        </w:rPr>
      </w:pPr>
    </w:p>
    <w:p>
      <w:pPr>
        <w:ind w:left="660" w:hanging="328"/>
        <w:spacing w:after="0" w:line="277" w:lineRule="auto"/>
        <w:tabs>
          <w:tab w:leader="none" w:pos="660" w:val="left"/>
        </w:tabs>
        <w:numPr>
          <w:ilvl w:val="0"/>
          <w:numId w:val="307"/>
        </w:numPr>
        <w:rPr>
          <w:rFonts w:ascii="Arial" w:cs="Arial" w:eastAsia="Arial" w:hAnsi="Arial"/>
          <w:sz w:val="18"/>
          <w:szCs w:val="18"/>
          <w:color w:val="auto"/>
        </w:rPr>
      </w:pPr>
      <w:r>
        <w:rPr>
          <w:rFonts w:ascii="Arial" w:cs="Arial" w:eastAsia="Arial" w:hAnsi="Arial"/>
          <w:sz w:val="18"/>
          <w:szCs w:val="18"/>
          <w:color w:val="auto"/>
        </w:rPr>
        <w:t>If a collegiate decision regarding the transaction is in order, then such decision shall be made without the participation of Persons Covered by the Code who may be conflicted.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III.2.a. Transactions with Related Parties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strictly adheres to the dispositions in force that establish limits to transactions between natural and legal persons considered as Related Persons, as may be applicable in the jurisdictions in which it operates. If there are differences between the different legislations, Bladex will always adopt the most stringent and conservative ones.</w:t>
      </w:r>
    </w:p>
    <w:p>
      <w:pPr>
        <w:spacing w:after="0" w:line="184"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 xml:space="preserve">Any transaction carried out with a Related Person must be assessed in the first instance by the Bank’s Legal and Compliance departments. This Review is intended to determine that it does not contravene the relevant laws and regulations in force of the Republic of Panama, those issued by the </w:t>
      </w:r>
      <w:r>
        <w:rPr>
          <w:rFonts w:ascii="Arial" w:cs="Arial" w:eastAsia="Arial" w:hAnsi="Arial"/>
          <w:sz w:val="17"/>
          <w:szCs w:val="17"/>
          <w:i w:val="1"/>
          <w:iCs w:val="1"/>
          <w:color w:val="auto"/>
        </w:rPr>
        <w:t>Securities and</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Exchange Commission </w:t>
      </w:r>
      <w:r>
        <w:rPr>
          <w:rFonts w:ascii="Arial" w:cs="Arial" w:eastAsia="Arial" w:hAnsi="Arial"/>
          <w:sz w:val="17"/>
          <w:szCs w:val="17"/>
          <w:color w:val="auto"/>
        </w:rPr>
        <w:t>("SEC") of the United States of America, or any other existing legal provision applicable to the Bank.</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III.2.b. Receiving Invitations and Gifts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None of the Persons Covered by the Code shall request or accept from third parties’ fees, intentionally, either directly or indirectly, commissions, gifts, securities, remuneration or lucrative advantages, whether in liquid sums of money or in kind, in connection with a transaction, service or business made with the Institution and/or its affiliates, for the purpose of influencing an act or decision made by them for the benefit of the Bank or the Persons Covered by the Code, or inducing third parties to seek their influence for the purpose of or grant an improper advantage in favor of the Bank or the Persons Covered by the Code.</w:t>
      </w:r>
    </w:p>
    <w:p>
      <w:pPr>
        <w:spacing w:after="0" w:line="18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Reasonable social courtesies such as symbolic or corporate gifts, invitations to dinners or events for a work meeting are excluded from the aforementioned prohibitions. This, provided that, under no circumstances any such courtesies shall be construed as a commitment, influence or that, in its nature or frequency, it could be interpreted as a deliberate will to affect the independence, impartiality or criterion of a person and they shall be infrequent, of minimal value, transparent and open. Notwithstanding the foregoing, the Persons Covered by the Code must not accept gifts or invitations of the type described in this section worth more than $200, with an annual maximum limit of $500 in aggregate (LI-088-G0100 Lineamientos para Aceptación u Ofrecimiento de Regalos, Invitaciones, Donaciones y Atenciones). In case of doubt as to whether it is appropriate to accept a gift or invitation, the Compliance Officer should be consulted before accepting one or the other.</w:t>
      </w:r>
    </w:p>
    <w:p>
      <w:pPr>
        <w:spacing w:after="0" w:line="200" w:lineRule="exact"/>
        <w:rPr>
          <w:sz w:val="20"/>
          <w:szCs w:val="20"/>
          <w:color w:val="auto"/>
        </w:rPr>
      </w:pPr>
    </w:p>
    <w:p>
      <w:pPr>
        <w:spacing w:after="0" w:line="211"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0" w:name="page281"/>
    <w:bookmarkEnd w:id="280"/>
    <w:p>
      <w:pPr>
        <w:jc w:val="both"/>
        <w:spacing w:after="0" w:line="277" w:lineRule="auto"/>
        <w:rPr>
          <w:sz w:val="20"/>
          <w:szCs w:val="20"/>
          <w:color w:val="auto"/>
        </w:rPr>
      </w:pPr>
      <w:r>
        <w:rPr>
          <w:rFonts w:ascii="Arial" w:cs="Arial" w:eastAsia="Arial" w:hAnsi="Arial"/>
          <w:sz w:val="18"/>
          <w:szCs w:val="18"/>
          <w:color w:val="auto"/>
        </w:rPr>
        <w:t>If it would be inconvenient to refuse a gift, such situation must be reported in writing to the Compliance Officer, who may order the disposal of the gift and the donation of the money resulting therefrom to a non-profit organization.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III.2.c. Granting Invitations and Gifts</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According to the Bank's marketing policies and strategies, corporate gifts and hand-outs may be granted to its Customers on the Bank´s behalf, if they adequately represent the corporate image of the Institution and are granted exclusively to customers.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does not, nor will the Persons Covered by the Code acting on its behalf, make cash payments, donations or grant gifts to third parties for the purpose of influencing an act or decision by customers for the benefit of the Bank or the Persons Covered by the Code or inducing customers to use influences in order to procure a business or grant an inadequate advantage in favor of the Bank or the Persons Covered by the Code.</w:t>
      </w:r>
    </w:p>
    <w:p>
      <w:pPr>
        <w:spacing w:after="0" w:line="165"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Reasonable social courtesies such as symbolic or corporate gifts, invitations to dinners or events for a work meeting are excluded from the aforementioned prohibitions. This, provided that, under no circumstances any such courtesies shall be construed as a commitment, influence or that, in its nature or frequency, it could be interpreted as a deliberate will to affect the independence, impartiality or criterion of a person and they shall be infrequent of minimal value, transparent and open. Notwithstanding the foregoing the Persons Covered by the Code must not accept gifts or invitations of the type described in this section worth more than $200, with an annual maximum limit per client of $500 in aggregate (LI-088-G0100 Lineamientos para Aceptación u Ofrecimiento de Regalos, Invitaciones, Donaciones y Atenciones).</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III.2.d. Relationship with Suppliers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relationship between the Persons Covered by the Code and suppliers must remain strictly independent and in line with the corporate interests, in accordance with the provisions of this Code always upholding the parameters of usefulness, quality and the Institution's budget.</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With respect to external auditors, the Bank must observe, in addition to the foregoing, the provisions of ISB standard No. 1 of the SEC and the Sarbanes-Oxley Act regarding the rules of independence prohibiting the hiring employees of the audit firm who have worked as part of the team that audited the Bank's financial statements and its subsidiaries in the previous two years.</w:t>
      </w:r>
    </w:p>
    <w:p>
      <w:pPr>
        <w:spacing w:after="0" w:line="180" w:lineRule="exact"/>
        <w:rPr>
          <w:sz w:val="20"/>
          <w:szCs w:val="20"/>
          <w:color w:val="auto"/>
        </w:rPr>
      </w:pPr>
    </w:p>
    <w:p>
      <w:pPr>
        <w:jc w:val="both"/>
        <w:spacing w:after="0" w:line="266" w:lineRule="auto"/>
        <w:rPr>
          <w:sz w:val="20"/>
          <w:szCs w:val="20"/>
          <w:color w:val="auto"/>
        </w:rPr>
      </w:pPr>
      <w:r>
        <w:rPr>
          <w:rFonts w:ascii="Arial" w:cs="Arial" w:eastAsia="Arial" w:hAnsi="Arial"/>
          <w:sz w:val="18"/>
          <w:szCs w:val="18"/>
          <w:color w:val="auto"/>
        </w:rPr>
        <w:t xml:space="preserve">In addition, the Bank should observe the provisions of the United States </w:t>
      </w:r>
      <w:r>
        <w:rPr>
          <w:rFonts w:ascii="Arial" w:cs="Arial" w:eastAsia="Arial" w:hAnsi="Arial"/>
          <w:sz w:val="18"/>
          <w:szCs w:val="18"/>
          <w:b w:val="1"/>
          <w:bCs w:val="1"/>
          <w:color w:val="auto"/>
        </w:rPr>
        <w:t>Foreign Corrupt Practices Act ("FCPA")</w:t>
      </w:r>
      <w:r>
        <w:rPr>
          <w:rFonts w:ascii="Arial" w:cs="Arial" w:eastAsia="Arial" w:hAnsi="Arial"/>
          <w:sz w:val="18"/>
          <w:szCs w:val="18"/>
          <w:color w:val="auto"/>
        </w:rPr>
        <w:t xml:space="preserve"> with respect to the relationships that suppliers may have, including their intermediaries or agents, with members of political parties or governmental officials and the use of money paid to suppliers, their agents and/or intermediaries for their services.</w:t>
      </w:r>
    </w:p>
    <w:p>
      <w:pPr>
        <w:spacing w:after="0" w:line="18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The Bank does not, nor will the Persons Covered by the Code acting on its behalf, make cash payments, donations or grant gifts to suppliers for the purpose of influencing an act or decision by suppliers for the benefit of the Bank or the Persons Covered by the Code, or inducing suppliers to use influences to procure a business or grant an inadequate advantage in favor of the Bank or the Persons Covered by the Code.</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III.2.e. Travel Per-Diem and Expenses to be Reported</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funds that the Institution provides to its employees for the performance of their activities are owned by the Institution, and as such they should used exclusively for the purpose for which they were given, maintaining strict transparency and filing the mandatory reports in accordance with the guidelines that the Bank sets forth for this purpose.</w:t>
      </w:r>
    </w:p>
    <w:p>
      <w:pPr>
        <w:spacing w:after="0" w:line="400"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1" w:name="page282"/>
    <w:bookmarkEnd w:id="281"/>
    <w:p>
      <w:pPr>
        <w:spacing w:after="0"/>
        <w:rPr>
          <w:sz w:val="20"/>
          <w:szCs w:val="20"/>
          <w:color w:val="auto"/>
        </w:rPr>
      </w:pPr>
      <w:r>
        <w:rPr>
          <w:rFonts w:ascii="Arial" w:cs="Arial" w:eastAsia="Arial" w:hAnsi="Arial"/>
          <w:sz w:val="18"/>
          <w:szCs w:val="18"/>
          <w:b w:val="1"/>
          <w:bCs w:val="1"/>
          <w:color w:val="auto"/>
        </w:rPr>
        <w:t>III.2.f. Use of insider information and other related aspects</w:t>
      </w:r>
    </w:p>
    <w:p>
      <w:pPr>
        <w:spacing w:after="0" w:line="229"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Persons Covered by the Code must abstain, when going about their personal investments, from using information they may have acquired or become aware of because of their position for their own benefit or that of any other person. Those who have access to any inside or confidential information of Bladex or its securities, must abstain from transacting with those instruments. In turn, those who are aware of the investment policies and strategies, plans, studies or negotiations, should not use such information, directly or indirectly, for gaining any advantage in any operations, for their own benefit or that of any third party.</w:t>
      </w:r>
    </w:p>
    <w:p>
      <w:pPr>
        <w:spacing w:after="0" w:line="188"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None of the Persons Covered by the Code may make use of privileged information to carry out transactions with securities issued by any of the companies belonging to its client portfolio, or from any other issuer in respect of which it owns this type of Information.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forms of currency or interest rate coverage or similar agreements that exist on the financial market (derivatives), simultaneous operations and short sales are also subject to the insider information provisions set forth herein.</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acquisition or disposal relating to public offering of securities made by any employee of the Institution who, depending on the position held by such employee, accesses or is able to access privileged information, must be communicated in writing to the Compliance Officer.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Without prejudice to the above, it is advisable for the employees of the Institution to carry out their personal transactions for investment purposes and not speculative ones.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f.1. “Window period” and “Black-out Period”</w:t>
      </w:r>
    </w:p>
    <w:p>
      <w:pPr>
        <w:spacing w:after="0" w:line="229" w:lineRule="exact"/>
        <w:rPr>
          <w:sz w:val="20"/>
          <w:szCs w:val="20"/>
          <w:color w:val="auto"/>
        </w:rPr>
      </w:pPr>
    </w:p>
    <w:p>
      <w:pPr>
        <w:spacing w:after="0"/>
        <w:rPr>
          <w:sz w:val="20"/>
          <w:szCs w:val="20"/>
          <w:color w:val="auto"/>
        </w:rPr>
      </w:pPr>
      <w:r>
        <w:rPr>
          <w:rFonts w:ascii="Arial" w:cs="Arial" w:eastAsia="Arial" w:hAnsi="Arial"/>
          <w:sz w:val="16"/>
          <w:szCs w:val="16"/>
          <w:color w:val="auto"/>
        </w:rPr>
        <w:t>A Window period is the time interval during which Persons Covered by the Code can freely enter into transactions that involve shares of the Bank’s stock.</w:t>
      </w:r>
    </w:p>
    <w:p>
      <w:pPr>
        <w:spacing w:after="0" w:line="248"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general, unless there is any reason that leads the Bank to close the Window Period, it shall commence three (3) business days after the issuance of the press releases communicating the Bank's financial results and shall expire on the first to occur of (i) forty-five (45) calendar days from the issuance such press release, and (ii) the 15th day of the last month of each quarter (March, June, September and December).</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period that begins after the expiration of the Window Period and ends three (3) business days after the issuance of the press release regarding the Bank's financial results is called the "Black-out Period".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Bladex reserves the right to extend the duration of the Black-out Period or to restrict the Window Period at its sole discretion.</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Persons Covered by this Code must submit written notification of any type of trades of Bladex shares carried out, immediately upon their execution by filling out the form provided by the Bank for such purpose , as follows:</w:t>
      </w:r>
    </w:p>
    <w:p>
      <w:pPr>
        <w:spacing w:after="0" w:line="170" w:lineRule="exact"/>
        <w:rPr>
          <w:sz w:val="20"/>
          <w:szCs w:val="20"/>
          <w:color w:val="auto"/>
        </w:rPr>
      </w:pPr>
    </w:p>
    <w:p>
      <w:pPr>
        <w:ind w:left="660" w:hanging="328"/>
        <w:spacing w:after="0" w:line="277" w:lineRule="auto"/>
        <w:tabs>
          <w:tab w:leader="none" w:pos="660" w:val="left"/>
        </w:tabs>
        <w:numPr>
          <w:ilvl w:val="0"/>
          <w:numId w:val="308"/>
        </w:numPr>
        <w:rPr>
          <w:rFonts w:ascii="Arial" w:cs="Arial" w:eastAsia="Arial" w:hAnsi="Arial"/>
          <w:sz w:val="18"/>
          <w:szCs w:val="18"/>
          <w:color w:val="auto"/>
        </w:rPr>
      </w:pPr>
      <w:r>
        <w:rPr>
          <w:rFonts w:ascii="Arial" w:cs="Arial" w:eastAsia="Arial" w:hAnsi="Arial"/>
          <w:sz w:val="18"/>
          <w:szCs w:val="18"/>
          <w:color w:val="auto"/>
        </w:rPr>
        <w:t>For Bank Directors or Officers, including the CEO, notification must be made to the Chairman of the Board of Directors of the Bank with a copy to the Shareholder Relations Department.</w:t>
      </w:r>
    </w:p>
    <w:p>
      <w:pPr>
        <w:spacing w:after="0" w:line="386"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6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82" w:name="page283"/>
    <w:bookmarkEnd w:id="282"/>
    <w:p>
      <w:pPr>
        <w:ind w:left="660" w:right="20" w:hanging="328"/>
        <w:spacing w:after="0" w:line="277" w:lineRule="auto"/>
        <w:tabs>
          <w:tab w:leader="none" w:pos="660" w:val="left"/>
        </w:tabs>
        <w:numPr>
          <w:ilvl w:val="0"/>
          <w:numId w:val="309"/>
        </w:numPr>
        <w:rPr>
          <w:rFonts w:ascii="Arial" w:cs="Arial" w:eastAsia="Arial" w:hAnsi="Arial"/>
          <w:sz w:val="18"/>
          <w:szCs w:val="18"/>
          <w:color w:val="auto"/>
        </w:rPr>
      </w:pPr>
      <w:r>
        <w:rPr>
          <w:rFonts w:ascii="Arial" w:cs="Arial" w:eastAsia="Arial" w:hAnsi="Arial"/>
          <w:sz w:val="18"/>
          <w:szCs w:val="18"/>
          <w:color w:val="auto"/>
        </w:rPr>
        <w:t>For the Chairman of the Board of Directors of the Bank, notification must be made to the Chair of the Bank’s Audit Committee with a copy to the Shareholder Relations Department.</w:t>
      </w:r>
    </w:p>
    <w:p>
      <w:pPr>
        <w:spacing w:after="0" w:line="170" w:lineRule="exact"/>
        <w:rPr>
          <w:rFonts w:ascii="Arial" w:cs="Arial" w:eastAsia="Arial" w:hAnsi="Arial"/>
          <w:sz w:val="18"/>
          <w:szCs w:val="18"/>
          <w:color w:val="auto"/>
        </w:rPr>
      </w:pPr>
    </w:p>
    <w:p>
      <w:pPr>
        <w:jc w:val="both"/>
        <w:ind w:right="80" w:firstLine="332"/>
        <w:spacing w:after="0" w:line="563" w:lineRule="auto"/>
        <w:tabs>
          <w:tab w:leader="none" w:pos="648" w:val="left"/>
        </w:tabs>
        <w:numPr>
          <w:ilvl w:val="0"/>
          <w:numId w:val="309"/>
        </w:numPr>
        <w:rPr>
          <w:rFonts w:ascii="Arial" w:cs="Arial" w:eastAsia="Arial" w:hAnsi="Arial"/>
          <w:sz w:val="16"/>
          <w:szCs w:val="16"/>
          <w:color w:val="auto"/>
        </w:rPr>
      </w:pPr>
      <w:r>
        <w:rPr>
          <w:rFonts w:ascii="Arial" w:cs="Arial" w:eastAsia="Arial" w:hAnsi="Arial"/>
          <w:sz w:val="16"/>
          <w:szCs w:val="16"/>
          <w:color w:val="auto"/>
        </w:rPr>
        <w:t>For Bank Employees, notification must be made to the CEO with a copy to the Human Development and the Shareholders Relations departments. The above designated persons shall send copies of the reports received to the Bank’s Shareholders Relations Department in case of Directors and Officers.</w:t>
      </w:r>
    </w:p>
    <w:p>
      <w:pPr>
        <w:spacing w:after="0" w:line="1"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The forms used for reporting any event covered in this section are available through the Bank’s Intranet or may be requested to Shareholders Relations Department. A copy of the completed and signed form, either an original or copy received by fax or in PDF format, must be filed in the employee records of the corresponding Director, Officer or employee kept in the Bank’s Shareholders Relations and Human Development departments.</w:t>
      </w:r>
    </w:p>
    <w:p>
      <w:pPr>
        <w:spacing w:after="0" w:line="149" w:lineRule="exact"/>
        <w:rPr>
          <w:sz w:val="20"/>
          <w:szCs w:val="20"/>
          <w:color w:val="auto"/>
        </w:rPr>
      </w:pPr>
    </w:p>
    <w:p>
      <w:pPr>
        <w:jc w:val="both"/>
        <w:ind w:right="20"/>
        <w:spacing w:after="0" w:line="342" w:lineRule="auto"/>
        <w:rPr>
          <w:sz w:val="20"/>
          <w:szCs w:val="20"/>
          <w:color w:val="auto"/>
        </w:rPr>
      </w:pPr>
      <w:r>
        <w:rPr>
          <w:rFonts w:ascii="Arial" w:cs="Arial" w:eastAsia="Arial" w:hAnsi="Arial"/>
          <w:sz w:val="16"/>
          <w:szCs w:val="16"/>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Notwithstanding the above, the Persons Covered by the Code must abstain from carrying out trades in Bladex shares, even if within the “Window Period” set forth in this section, if they become aware of any confidential, privileged and insider information of material importance related to Bladex and its business that has not been disclosed to the market by Bladex.</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of the above-mentioned individuals to whom this policy is applicable who does not comply with the dispositions contained herein and carries out a transaction of selling/buying shares during the Black-out Period, must reverse said transaction within two (2) weeks. Any profits obtained from this reversion shall be handed to the Bank and any loss shall be assumed by the individual.</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Audit Committee of the Board of Directors shall determine the severity of the infringement and shall apply such disciplinary measures it may deem appropriate.</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f.2. “Rule” 10b5-1 of the “Securities and Exchange Commission” (SEC)</w:t>
      </w:r>
    </w:p>
    <w:p>
      <w:pPr>
        <w:spacing w:after="0" w:line="229"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All Persons Covered by the Code have the option of establishing a contract, instruction or advance plan for the purchase and sale of shares under the Rule 10b5-1 of the Securities Exchange Act of 1934, which would allow them to purchase and/or sell shares of the bank during the Black-out Period.</w:t>
      </w:r>
    </w:p>
    <w:p>
      <w:pPr>
        <w:spacing w:after="0" w:line="124"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Such contract, instruction or advance plan for the purchase and sale of shares adopted with the respective broker ("broker") may only be implemented for a Window Period and must specify the number of shares to be purchased or sold and the price and date of purchase or sale. As an alternative to the foregoing, a written formula or algorithm or a computer program may be included to determine the amount, price and date of the sale or purchase of shares.</w:t>
      </w:r>
    </w:p>
    <w:p>
      <w:pPr>
        <w:spacing w:after="0" w:line="14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 any event, the agreement, instruction or advance plan referred to above must prohibit the person concerned from modifying or altering thereafter the quantity, price and date of the purchase or sale of shares, unless such modification is made during a Window Period when the person concerned has no knowledge of privileged or confidential information.</w:t>
      </w:r>
    </w:p>
    <w:p>
      <w:pPr>
        <w:spacing w:after="0" w:line="400" w:lineRule="exact"/>
        <w:rPr>
          <w:sz w:val="20"/>
          <w:szCs w:val="20"/>
          <w:color w:val="auto"/>
        </w:rPr>
      </w:pPr>
    </w:p>
    <w:p>
      <w:pPr>
        <w:jc w:val="center"/>
        <w:ind w:right="40"/>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3" w:name="page284"/>
    <w:bookmarkEnd w:id="283"/>
    <w:p>
      <w:pPr>
        <w:ind w:right="20"/>
        <w:spacing w:after="0" w:line="277" w:lineRule="auto"/>
        <w:rPr>
          <w:sz w:val="20"/>
          <w:szCs w:val="20"/>
          <w:color w:val="auto"/>
        </w:rPr>
      </w:pPr>
      <w:r>
        <w:rPr>
          <w:rFonts w:ascii="Arial" w:cs="Arial" w:eastAsia="Arial" w:hAnsi="Arial"/>
          <w:sz w:val="18"/>
          <w:szCs w:val="18"/>
          <w:color w:val="auto"/>
        </w:rPr>
        <w:t>Any contract, instruction or advance plan for the purchase and sale of shares to be used must be previously approved in writing prior to entry into force by the following authorities:</w:t>
      </w:r>
    </w:p>
    <w:p>
      <w:pPr>
        <w:spacing w:after="0" w:line="170" w:lineRule="exact"/>
        <w:rPr>
          <w:sz w:val="20"/>
          <w:szCs w:val="20"/>
          <w:color w:val="auto"/>
        </w:rPr>
      </w:pPr>
    </w:p>
    <w:p>
      <w:pPr>
        <w:ind w:left="660" w:hanging="328"/>
        <w:spacing w:after="0" w:line="277" w:lineRule="auto"/>
        <w:tabs>
          <w:tab w:leader="none" w:pos="660" w:val="left"/>
        </w:tabs>
        <w:numPr>
          <w:ilvl w:val="0"/>
          <w:numId w:val="310"/>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a Director or Officer of the bank, including the CEO, it must be approved by the Chairman of the Board of Directors.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310"/>
        </w:numPr>
        <w:rPr>
          <w:rFonts w:ascii="Arial" w:cs="Arial" w:eastAsia="Arial" w:hAnsi="Arial"/>
          <w:sz w:val="18"/>
          <w:szCs w:val="18"/>
          <w:color w:val="auto"/>
        </w:rPr>
      </w:pPr>
      <w:r>
        <w:rPr>
          <w:rFonts w:ascii="Arial" w:cs="Arial" w:eastAsia="Arial" w:hAnsi="Arial"/>
          <w:sz w:val="18"/>
          <w:szCs w:val="18"/>
          <w:color w:val="auto"/>
        </w:rPr>
        <w:t>If the contract, instruction or advance plan for the purchase and sale of shares comes from the Chairman of the Board of Directors, it must be approved by the Chair of the Bank's Audit Committee.</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310"/>
        </w:numPr>
        <w:rPr>
          <w:rFonts w:ascii="Arial" w:cs="Arial" w:eastAsia="Arial" w:hAnsi="Arial"/>
          <w:sz w:val="16"/>
          <w:szCs w:val="16"/>
          <w:color w:val="auto"/>
        </w:rPr>
      </w:pPr>
      <w:r>
        <w:rPr>
          <w:rFonts w:ascii="Arial" w:cs="Arial" w:eastAsia="Arial" w:hAnsi="Arial"/>
          <w:sz w:val="16"/>
          <w:szCs w:val="16"/>
          <w:color w:val="auto"/>
        </w:rPr>
        <w:t>If the contract, instruction or advance plan for the purchase and sale of shares comes from a Bank’s employee, it must be approved by the CEO.</w:t>
      </w:r>
    </w:p>
    <w:p>
      <w:pPr>
        <w:spacing w:after="0" w:line="248"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In addition, in the case of Directors, Officers and Chairman of the Board, a copy of the agreement, instruction or advance plan for the purchase and sale of shares must be sent to the Shareholder Relations department, and in the case of Bank’s employees, to Human Development department.</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 f.3. Revocation and modifications of contracts, instructions or anticipated plans for the purchase and sale of shares: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Director, Officer and Bank employee may revoke his/her contract, instruction or advance Plan of purchase and sale of shares in an open period by written notice to his/her "broker".</w:t>
      </w:r>
    </w:p>
    <w:p>
      <w:pPr>
        <w:spacing w:after="0" w:line="170"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Under certain circumstances, a contract, instruction or Advance Purchase and Sale Plan of shares must be revoked. This includes circumstances such as the merger announcement or an event that would cause the transaction to violate the law or have an adverse effect on the bank. In such circumstances, the Shareholder Relations department must be authorized to notify the "broker" of the owner of the contract, instruction or Advance Plan of Purchase and Sale of shares.</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III.2.g. Personal relationships with job applicants.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field of recruitment and hiring of personnel, no applicant may receive preferential treatment with respect to other candidates based on personal or family relations or be the subject of any kind of discrimination.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 Handling Confidential Information</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III.3.a. Information safekeeping</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information on the operations of the institution and its clients is confidential, so the use, conservation and safekeeping of the respective documents must be kept strictly in accordance with internal policies.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Therefore, it is the responsibility of every employee to secure all entrusted documents and/or valuables, as well as any information of the institution's and that of its clients'.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III.3.b. Restrictions on the flow of information</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confidential information on issuers of public offering securities, their financial instruments or transactions in which they are involved, must be kept under strict confidentiality. It is forbidden to disclose or communicate to third parties any such information, even to persons within the Institution, in compliance with ethical-professional principles of banking confidentiality.</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4" w:right="339" w:bottom="1440" w:gutter="0" w:footer="0" w:header="0"/>
        </w:sectPr>
      </w:pPr>
    </w:p>
    <w:bookmarkStart w:id="284" w:name="page285"/>
    <w:bookmarkEnd w:id="284"/>
    <w:p>
      <w:pPr>
        <w:spacing w:after="0" w:line="277" w:lineRule="auto"/>
        <w:rPr>
          <w:sz w:val="20"/>
          <w:szCs w:val="20"/>
          <w:color w:val="auto"/>
        </w:rPr>
      </w:pPr>
      <w:r>
        <w:rPr>
          <w:rFonts w:ascii="Arial" w:cs="Arial" w:eastAsia="Arial" w:hAnsi="Arial"/>
          <w:sz w:val="18"/>
          <w:szCs w:val="18"/>
          <w:color w:val="auto"/>
        </w:rPr>
        <w:t>If, based on labor relations within the Institution, it is necessary to communicate to a third-party confidential matter, the following procedure must be followed:</w:t>
      </w:r>
    </w:p>
    <w:p>
      <w:pPr>
        <w:spacing w:after="0" w:line="170" w:lineRule="exact"/>
        <w:rPr>
          <w:sz w:val="20"/>
          <w:szCs w:val="20"/>
          <w:color w:val="auto"/>
        </w:rPr>
      </w:pPr>
    </w:p>
    <w:p>
      <w:pPr>
        <w:ind w:left="640" w:hanging="241"/>
        <w:spacing w:after="0"/>
        <w:tabs>
          <w:tab w:leader="none" w:pos="640" w:val="left"/>
        </w:tabs>
        <w:numPr>
          <w:ilvl w:val="0"/>
          <w:numId w:val="311"/>
        </w:numPr>
        <w:rPr>
          <w:rFonts w:ascii="Arial" w:cs="Arial" w:eastAsia="Arial" w:hAnsi="Arial"/>
          <w:sz w:val="18"/>
          <w:szCs w:val="18"/>
          <w:color w:val="auto"/>
        </w:rPr>
      </w:pPr>
      <w:r>
        <w:rPr>
          <w:rFonts w:ascii="Arial" w:cs="Arial" w:eastAsia="Arial" w:hAnsi="Arial"/>
          <w:sz w:val="18"/>
          <w:szCs w:val="18"/>
          <w:color w:val="auto"/>
        </w:rPr>
        <w:t>Clearly establish that the information is confidential.</w:t>
      </w:r>
    </w:p>
    <w:p>
      <w:pPr>
        <w:spacing w:after="0" w:line="225" w:lineRule="exact"/>
        <w:rPr>
          <w:rFonts w:ascii="Arial" w:cs="Arial" w:eastAsia="Arial" w:hAnsi="Arial"/>
          <w:sz w:val="18"/>
          <w:szCs w:val="18"/>
          <w:color w:val="auto"/>
        </w:rPr>
      </w:pPr>
    </w:p>
    <w:p>
      <w:pPr>
        <w:ind w:left="640" w:hanging="241"/>
        <w:spacing w:after="0"/>
        <w:tabs>
          <w:tab w:leader="none" w:pos="640" w:val="left"/>
        </w:tabs>
        <w:numPr>
          <w:ilvl w:val="0"/>
          <w:numId w:val="311"/>
        </w:numPr>
        <w:rPr>
          <w:rFonts w:ascii="Arial" w:cs="Arial" w:eastAsia="Arial" w:hAnsi="Arial"/>
          <w:sz w:val="18"/>
          <w:szCs w:val="18"/>
          <w:color w:val="auto"/>
        </w:rPr>
      </w:pPr>
      <w:r>
        <w:rPr>
          <w:rFonts w:ascii="Arial" w:cs="Arial" w:eastAsia="Arial" w:hAnsi="Arial"/>
          <w:sz w:val="18"/>
          <w:szCs w:val="18"/>
          <w:color w:val="auto"/>
        </w:rPr>
        <w:t>Inform the restrictions on the dissemination of such information.</w:t>
      </w:r>
    </w:p>
    <w:p>
      <w:pPr>
        <w:spacing w:after="0" w:line="225" w:lineRule="exact"/>
        <w:rPr>
          <w:rFonts w:ascii="Arial" w:cs="Arial" w:eastAsia="Arial" w:hAnsi="Arial"/>
          <w:sz w:val="18"/>
          <w:szCs w:val="18"/>
          <w:color w:val="auto"/>
        </w:rPr>
      </w:pPr>
    </w:p>
    <w:p>
      <w:pPr>
        <w:ind w:left="660" w:hanging="247"/>
        <w:spacing w:after="0"/>
        <w:tabs>
          <w:tab w:leader="none" w:pos="660" w:val="left"/>
        </w:tabs>
        <w:numPr>
          <w:ilvl w:val="1"/>
          <w:numId w:val="311"/>
        </w:numPr>
        <w:rPr>
          <w:rFonts w:ascii="Arial" w:cs="Arial" w:eastAsia="Arial" w:hAnsi="Arial"/>
          <w:sz w:val="18"/>
          <w:szCs w:val="18"/>
          <w:color w:val="auto"/>
        </w:rPr>
      </w:pPr>
      <w:r>
        <w:rPr>
          <w:rFonts w:ascii="Arial" w:cs="Arial" w:eastAsia="Arial" w:hAnsi="Arial"/>
          <w:sz w:val="18"/>
          <w:szCs w:val="18"/>
          <w:color w:val="auto"/>
        </w:rPr>
        <w:t>To make known the prohibition of making financial transactions based on that information.</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It is prohibited to communicate, reproduce or transmit to third parties, verbally or by written or electronic means, bank information on business strategy aspects, databases, customer segmentations or any business information or Operations of the Institution and its clients, even if the employee did not intervene directly.</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Persons Covered by the Code must refrain from responding, without prior consultation to the Compliance Officer or Human Development to the questions asked about such operations or any other matter that may cause liability or damage to the Bank or its customers.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of paramount importance the care and responsible management of the information of stock markets, both in the relationship with clients and in its correct personal administration.</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Likewise, Persons Covered by the Code required to participate in the preparation of the reports and documents that Bladex must register and/or present to the respective supervisory authorities shall make such disclosure in a reasonable, complete, safe, timely and understandable manner. The same conduct must be observed in the preparation of any other public communication issued by the Bank.</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 Acting on behalf of Bladex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III.4.a. Individual liability</w:t>
      </w:r>
    </w:p>
    <w:p>
      <w:pPr>
        <w:spacing w:after="0" w:line="229"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As integral part of the Institution, employees assume the individual responsibility of their own actions and behavior, which includes the knowledge of and mandatory compliance with f the provisions set forth in the manuals, guidelines, policies and internal procedures.</w:t>
      </w:r>
    </w:p>
    <w:p>
      <w:pPr>
        <w:spacing w:after="0" w:line="170"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An employee must not perform illegal acts or take any conduct that may be detrimental to the prestige, interests or assets of the Institution or its employees. If an employee receives instructions that are incompatible with the values, policies and internal norms from a supervisor, he or she must communicate it to the higher-ranking members of the Human Development department, to take the necessary measures and safeguards.</w:t>
      </w:r>
    </w:p>
    <w:p>
      <w:pPr>
        <w:spacing w:after="0" w:line="16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use given to the resources that the Bank makes available to employees shall be for the sole purpose of developing its business and to carry out the relevant functions in the best possible manner. The use of institutional e-mail should not compromise the Bank's image or prestige.</w:t>
      </w:r>
    </w:p>
    <w:p>
      <w:pPr>
        <w:spacing w:after="0" w:line="146"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Employees must exercise the utmost and complete loyalty to the Institution in all its aspects, and not use its name for personal purposes. No information that would undermine the dignity of the Institution or its employees should be published or disseminated at any time.</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6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5" w:name="page286"/>
    <w:bookmarkEnd w:id="285"/>
    <w:p>
      <w:pPr>
        <w:spacing w:after="0"/>
        <w:rPr>
          <w:sz w:val="20"/>
          <w:szCs w:val="20"/>
          <w:color w:val="auto"/>
        </w:rPr>
      </w:pPr>
      <w:r>
        <w:rPr>
          <w:rFonts w:ascii="Arial" w:cs="Arial" w:eastAsia="Arial" w:hAnsi="Arial"/>
          <w:sz w:val="18"/>
          <w:szCs w:val="18"/>
          <w:b w:val="1"/>
          <w:bCs w:val="1"/>
          <w:color w:val="auto"/>
        </w:rPr>
        <w:t>III.4.b. Labor Responsibility</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All employees must devote their time and capacity fully to the service of the Institution during working hours. Consequently, offices or other assets of the Institution shall not be used for other activities outside of the corresponding duties.</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With respect to other activities or external endeavors, an employee must not assume responsibilities or functions that may constitute any kind of conflict of interest with the management of the Bank. In the absence of this contraindication, the acceptance or undertaking of any job, representation or external advisory for which payment is received, must be informed in writing to the Compliance Officer and duly authorized by Human Development department. In any case, such activities shall not interfere with the performance and obligations of the employee, nor shall they require prolonged hours of dedication that may affect the physical or mental capacity.</w:t>
      </w:r>
    </w:p>
    <w:p>
      <w:pPr>
        <w:spacing w:after="0" w:line="188"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It is forbidden to the Bank's employees to provide services of any kind to other banks or financial institutions, as well as to companies that belong to or that are related to the Bank's clients, that could result in a conflict of interest and/or may constitute an unfair competition for Bladex.</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color w:val="auto"/>
        </w:rPr>
        <w:t>Bladex's employees who practice university teaching may do so outside their working hours.</w:t>
      </w:r>
    </w:p>
    <w:p>
      <w:pPr>
        <w:spacing w:after="0" w:line="225"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Participation in non-remunerated activities outside the institution is allowed so long as it does not interfere with the performance and moral conduct of the person within the Bank and is known and duly authorized by the relevant supervisor.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In the case of non-profit organizations, the Institution authorizes and encourages the participation of its employees in charitable and social assistance activities.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III.4.c. Publications and Public Presentations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of those Persons Covered by the Code that must represent the bank in lectures, conferences, seminars or external meetings of a similar nature must inform previously the content of its presentation to, and have, the prior authorization of the corresponding supervisor.</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Any request for information that may be made by media outlets regarding Bladex must be forwarded to, and previously approved by, the Marketing department, and any of the Persons Covered by the Code must refrain from providing background or giving interviews to any such media outlets which have not been duly validated or authorized by that relevant department.</w:t>
      </w:r>
    </w:p>
    <w:p>
      <w:pPr>
        <w:spacing w:after="0" w:line="184"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The products and services of the Institution are exclusive property thereof, as well as any contribution that any of those Persons Covered by the Code may with respect to its development and implementation. These conditions remain unchanged, even when the person is no longer linked to the Institution.</w:t>
      </w:r>
    </w:p>
    <w:p>
      <w:pPr>
        <w:spacing w:after="0" w:line="124"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Any personal communication, whether written or verbal, must be made in the name and on behalf of the employee, not involving the Bank under any circumstances.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III.4.d. Appointment to Public Office and other designations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Positions or appointments in public functions are not compatible with the performance as a member of the Institution, whether such positions of a municipal, governmental or other public connotation, designated or elected. Functions arising from unavoidable civil obligations, such as jury duty , in accordance with applicable law are excluded from this consideration.</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86" w:name="page287"/>
    <w:bookmarkEnd w:id="286"/>
    <w:p>
      <w:pPr>
        <w:jc w:val="both"/>
        <w:spacing w:after="0" w:line="263" w:lineRule="auto"/>
        <w:rPr>
          <w:sz w:val="20"/>
          <w:szCs w:val="20"/>
          <w:color w:val="auto"/>
        </w:rPr>
      </w:pPr>
      <w:r>
        <w:rPr>
          <w:rFonts w:ascii="Arial" w:cs="Arial" w:eastAsia="Arial" w:hAnsi="Arial"/>
          <w:sz w:val="18"/>
          <w:szCs w:val="18"/>
          <w:color w:val="auto"/>
        </w:rPr>
        <w:t>In any case, any of the Persons Covered by the Code may request the Compliance Officer’s authorization to hold an office of public connotations which may not be governmental or municipal, to the extent that there are no legal incompatibilities with the work conducted for the Bank and that the exercise of such functions does not jeopardize the reputation of the Institution.</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III.4.e. Exercising Delegation of Powers</w:t>
      </w:r>
    </w:p>
    <w:p>
      <w:pPr>
        <w:spacing w:after="0" w:line="229" w:lineRule="exact"/>
        <w:rPr>
          <w:sz w:val="20"/>
          <w:szCs w:val="20"/>
          <w:color w:val="auto"/>
        </w:rPr>
      </w:pPr>
    </w:p>
    <w:p>
      <w:pPr>
        <w:jc w:val="both"/>
        <w:spacing w:after="0" w:line="311" w:lineRule="auto"/>
        <w:rPr>
          <w:sz w:val="20"/>
          <w:szCs w:val="20"/>
          <w:color w:val="auto"/>
        </w:rPr>
      </w:pPr>
      <w:r>
        <w:rPr>
          <w:rFonts w:ascii="Arial" w:cs="Arial" w:eastAsia="Arial" w:hAnsi="Arial"/>
          <w:sz w:val="16"/>
          <w:szCs w:val="16"/>
          <w:color w:val="auto"/>
        </w:rPr>
        <w:t>Bladex's employees may only sign documents, represent, or exercise authority on behalf of the Bank if they have the power or the specific delegation granted to them from time to time in accordance with the person’s position and function performed. Any document evidencing the commitment, agreement or convention by the Institution must be signed in accordance with the Delegation of Powers issued by the Board of Directors from time to time.</w:t>
      </w:r>
    </w:p>
    <w:p>
      <w:pPr>
        <w:spacing w:after="0" w:line="14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III.5 Illegitimate business and Anti-Money Laundering</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Institution will only participate in legitimate businesses and in accordance with the law in force. It will maintain standards of quality, price and superior services, always acting within a framework of fair, legitimate and open competition. For the purpose hereof, illegal businesses shall be those prohibited by law, as well as those that do not uphold and protect the internal policies of the Bank.</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Any attempt to incur in "money laundering" activities will be considered a threat to the Institution's trust and reputation and the Bank shall do everything in its power to prevent it from being used for any such purposes.</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Employees must comply with the policies and procedures set forth with respect to this matter and must report any suspicious or unusual transaction, to the Compliance Officer.</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shall not establish any relationship with natural or legal persons, whether customers, investors or suppliers, if the money or services offered by them are suspected to be the product of illegal or illegitimate activities.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III.6. Personal Integrity</w:t>
      </w:r>
    </w:p>
    <w:p>
      <w:pPr>
        <w:spacing w:after="0" w:line="229" w:lineRule="exact"/>
        <w:rPr>
          <w:sz w:val="20"/>
          <w:szCs w:val="20"/>
          <w:color w:val="auto"/>
        </w:rPr>
      </w:pPr>
    </w:p>
    <w:p>
      <w:pPr>
        <w:jc w:val="both"/>
        <w:ind w:right="20"/>
        <w:spacing w:after="0" w:line="308" w:lineRule="auto"/>
        <w:rPr>
          <w:sz w:val="20"/>
          <w:szCs w:val="20"/>
          <w:color w:val="auto"/>
        </w:rPr>
      </w:pPr>
      <w:r>
        <w:rPr>
          <w:rFonts w:ascii="Arial" w:cs="Arial" w:eastAsia="Arial" w:hAnsi="Arial"/>
          <w:sz w:val="17"/>
          <w:szCs w:val="17"/>
          <w:color w:val="auto"/>
        </w:rPr>
        <w:t>Persons Covered by the Code must always conduct themselves, inside and outside the Institution, in a manner that reflects the values promoted by the Bank. The Institution always demands respect for the dignity of all its employees and of them an honest and responsible conduct in all areas .</w:t>
      </w:r>
    </w:p>
    <w:p>
      <w:pPr>
        <w:spacing w:after="0" w:line="14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Special consideration in relation to the personal integrity deserves the prohibition to the Persons Covered by the Code to manifest or exert any type of harassment, by any means, that can prejudice the labor situation or opportunities in the employment of any person.</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Arbitrary discrimination on any basis, whether race, sex, religion, disability or other, constitute practices that are not tolerated in the ethical framework defined by Bladex, this being a workplace in which respect, professionalism and dignity must always prevail.</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Likewise, Bladex encourages everyone to develop a quality of life associated with concepts such as promotion of health and wellness. In this line, the consumption, carrying or sale of drugs, alcohol or narcotics, within the company, is strictly prohibited.</w:t>
      </w:r>
    </w:p>
    <w:p>
      <w:pPr>
        <w:spacing w:after="0" w:line="38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6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7" w:name="page288"/>
    <w:bookmarkEnd w:id="287"/>
    <w:p>
      <w:pPr>
        <w:spacing w:after="0"/>
        <w:rPr>
          <w:sz w:val="20"/>
          <w:szCs w:val="20"/>
          <w:color w:val="auto"/>
        </w:rPr>
      </w:pPr>
      <w:r>
        <w:rPr>
          <w:rFonts w:ascii="Arial" w:cs="Arial" w:eastAsia="Arial" w:hAnsi="Arial"/>
          <w:sz w:val="18"/>
          <w:szCs w:val="18"/>
          <w:b w:val="1"/>
          <w:bCs w:val="1"/>
          <w:color w:val="auto"/>
        </w:rPr>
        <w:t>III.7. Investigations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It is a duty to cooperate fully any duly with any authorized internal or external investigation, including, among others, those related to problems of an ethical nature, or legal procedures of any kind.</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Making false or misleading statements to internal or external auditors, to Legal and to Compliance, or to the representatives or regulatory entities of Bladex, may sufficient cause for dismissal or termination of any relationship with Bladex. Any information relating to ethical problems which, for this reason, must be brought to the attention of the relevant management levels, should never be withheld or kept silent.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III.8. A culture of high honesty and ethics</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Sarbanes-Oxley Act of 2002, issued in the United States of America, provides for the obligation to ensure adequate internal controls in the organization to:</w:t>
      </w:r>
    </w:p>
    <w:p>
      <w:pPr>
        <w:spacing w:after="0" w:line="170" w:lineRule="exact"/>
        <w:rPr>
          <w:sz w:val="20"/>
          <w:szCs w:val="20"/>
          <w:color w:val="auto"/>
        </w:rPr>
      </w:pPr>
    </w:p>
    <w:p>
      <w:pPr>
        <w:ind w:left="660" w:right="700" w:hanging="247"/>
        <w:spacing w:after="0" w:line="277" w:lineRule="auto"/>
        <w:tabs>
          <w:tab w:leader="none" w:pos="660" w:val="left"/>
        </w:tabs>
        <w:numPr>
          <w:ilvl w:val="0"/>
          <w:numId w:val="312"/>
        </w:numPr>
        <w:rPr>
          <w:rFonts w:ascii="Arial" w:cs="Arial" w:eastAsia="Arial" w:hAnsi="Arial"/>
          <w:sz w:val="18"/>
          <w:szCs w:val="18"/>
          <w:color w:val="auto"/>
        </w:rPr>
      </w:pPr>
      <w:r>
        <w:rPr>
          <w:rFonts w:ascii="Arial" w:cs="Arial" w:eastAsia="Arial" w:hAnsi="Arial"/>
          <w:sz w:val="18"/>
          <w:szCs w:val="18"/>
          <w:color w:val="auto"/>
        </w:rPr>
        <w:t>Provide reasonable assurance that transactions are duly registered and are carried out only according to the authorizations of the Board of Directors;</w:t>
      </w:r>
    </w:p>
    <w:p>
      <w:pPr>
        <w:spacing w:after="0" w:line="170" w:lineRule="exact"/>
        <w:rPr>
          <w:rFonts w:ascii="Arial" w:cs="Arial" w:eastAsia="Arial" w:hAnsi="Arial"/>
          <w:sz w:val="18"/>
          <w:szCs w:val="18"/>
          <w:color w:val="auto"/>
        </w:rPr>
      </w:pPr>
    </w:p>
    <w:p>
      <w:pPr>
        <w:ind w:left="660" w:hanging="247"/>
        <w:spacing w:after="0"/>
        <w:tabs>
          <w:tab w:leader="none" w:pos="660" w:val="left"/>
        </w:tabs>
        <w:numPr>
          <w:ilvl w:val="0"/>
          <w:numId w:val="312"/>
        </w:numPr>
        <w:rPr>
          <w:rFonts w:ascii="Arial" w:cs="Arial" w:eastAsia="Arial" w:hAnsi="Arial"/>
          <w:sz w:val="17"/>
          <w:szCs w:val="17"/>
          <w:color w:val="auto"/>
        </w:rPr>
      </w:pPr>
      <w:r>
        <w:rPr>
          <w:rFonts w:ascii="Arial" w:cs="Arial" w:eastAsia="Arial" w:hAnsi="Arial"/>
          <w:sz w:val="17"/>
          <w:szCs w:val="17"/>
          <w:color w:val="auto"/>
        </w:rPr>
        <w:t>Design effective internal controls to ensure that significant information related to the Company and its consolidated subsidiaries is disclosed;</w:t>
      </w:r>
    </w:p>
    <w:p>
      <w:pPr>
        <w:spacing w:after="0" w:line="236" w:lineRule="exact"/>
        <w:rPr>
          <w:rFonts w:ascii="Arial" w:cs="Arial" w:eastAsia="Arial" w:hAnsi="Arial"/>
          <w:sz w:val="17"/>
          <w:szCs w:val="17"/>
          <w:color w:val="auto"/>
        </w:rPr>
      </w:pPr>
    </w:p>
    <w:p>
      <w:pPr>
        <w:ind w:left="660" w:hanging="247"/>
        <w:spacing w:after="0"/>
        <w:tabs>
          <w:tab w:leader="none" w:pos="660" w:val="left"/>
        </w:tabs>
        <w:numPr>
          <w:ilvl w:val="0"/>
          <w:numId w:val="312"/>
        </w:numPr>
        <w:rPr>
          <w:rFonts w:ascii="Arial" w:cs="Arial" w:eastAsia="Arial" w:hAnsi="Arial"/>
          <w:sz w:val="18"/>
          <w:szCs w:val="18"/>
          <w:color w:val="auto"/>
        </w:rPr>
      </w:pPr>
      <w:r>
        <w:rPr>
          <w:rFonts w:ascii="Arial" w:cs="Arial" w:eastAsia="Arial" w:hAnsi="Arial"/>
          <w:sz w:val="18"/>
          <w:szCs w:val="18"/>
          <w:color w:val="auto"/>
        </w:rPr>
        <w:t>Implement measures to prevent, deter and detect fraud.</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implementation of these measures must be recorded in a separate document drawn up by the Bank's Management, in accordance with the general international acceptance guidelines on the subject.</w:t>
      </w:r>
    </w:p>
    <w:p>
      <w:pPr>
        <w:spacing w:after="0" w:line="170"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required to maintain information related to the events and operational risk incidents that may take place. It is the duty of all members of the Bladex task force to report and disclose in a timely manner all events or incidents of operational risk that may occur in the processes, both to each department supervisor and to the Operational Risk department.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III.9. Relations with the public Sector and regulatory entities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deference and courtesy of Bladex and its representatives to members of the public sector and regulatory entities must be of an institutional nature. These relationships should not be used for personal gain as a member of Bladex's team. At all times, high moral and civic standards must be observed and compliance with laws shall prevail.</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as a multinational bank, is subject to several laws and regulations of its operation in the different countries in which it has a presence or conducts operations. Failure to comply with such laws and regulations may be subject to penalties. It is the responsibility of each employee to know and understand the legal aspects applicable to the performance of the assigned tasks, to the activity of the department to which it belongs and to the Bank in its entirety, in order to avoid incurring acts that may cause damage to the Bank.</w:t>
      </w:r>
    </w:p>
    <w:p>
      <w:pPr>
        <w:spacing w:after="0" w:line="187"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Persons Covered by the Code must inform Compliance department of any direct or indirect relationship with a public official or Politically Exposed Person. For the purpose hereof the relationship person with a spouse, parents, children and siblings, grandparents, grandchildren, in-laws, sons-in-law, daughters-in-law and brothers-in-law, as well as those with whom an intimate relationship exists, shall be considered as a direct relationship. A relationship that relates to undertakings of public nature or of association, shall be considered an indirect relationship.</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88" w:name="page289"/>
    <w:bookmarkEnd w:id="288"/>
    <w:p>
      <w:pPr>
        <w:jc w:val="both"/>
        <w:spacing w:after="0" w:line="275" w:lineRule="auto"/>
        <w:rPr>
          <w:sz w:val="20"/>
          <w:szCs w:val="20"/>
          <w:color w:val="auto"/>
        </w:rPr>
      </w:pPr>
      <w:r>
        <w:rPr>
          <w:rFonts w:ascii="Arial" w:cs="Arial" w:eastAsia="Arial" w:hAnsi="Arial"/>
          <w:sz w:val="17"/>
          <w:szCs w:val="17"/>
          <w:color w:val="auto"/>
        </w:rPr>
        <w:t>None of the Persons Covered by the Code shall request, offer, pay, promise, transfer, authorize, plan or accept, intentionally, whether directly or indirectly, cash payments, commissions, gifts, securities, remuneration or lucrative advantages, for or from members of political parties or government officials, whether domestic or abroad, in connection with a transaction, service or business made with the Bank and/or its Affiliates, for the purpose of influencing an act or decision by them for the benefit of the Bank or the Subjects to the Code, or induce them to use their influences in order to procure or retain a business or to grant an improper advantage in favor of the Bank or the Persons Covered by the Code.</w:t>
      </w:r>
    </w:p>
    <w:p>
      <w:pPr>
        <w:spacing w:after="0" w:line="1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III.10. Social network presence</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Each of the Persons Covered by the Code must comply with the Bank's rules on social media behavior, behaving with respect, using good judgment and common sense, and taking care of the information they may share. Persons Covered by the Code should refrain from posting confidential information about Bladex, your customers or collaborators or reviews that may be attributed to Bladex.</w:t>
      </w:r>
    </w:p>
    <w:p>
      <w:pPr>
        <w:spacing w:after="0" w:line="184"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When posting information or opinion on their own behalf, Persons Covered by the Code should avoid referring to their status as a Bank contributor or any other content that may link the published content to Bladex.</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III.11. Environmental protection</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 recognizes that protection of the environment is vital to the survival of society. Therefore, it favors in its businesses measures that seek the protection of the environment. The Bank also promotes its employees to the efficient use of natural resources and recycling, among others.</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III.12. Prevention of Corrupt Practices</w:t>
      </w:r>
    </w:p>
    <w:p>
      <w:pPr>
        <w:spacing w:after="0" w:line="225" w:lineRule="exact"/>
        <w:rPr>
          <w:sz w:val="20"/>
          <w:szCs w:val="20"/>
          <w:color w:val="auto"/>
        </w:rPr>
      </w:pPr>
    </w:p>
    <w:p>
      <w:pPr>
        <w:jc w:val="both"/>
        <w:spacing w:after="0" w:line="256" w:lineRule="auto"/>
        <w:rPr>
          <w:sz w:val="20"/>
          <w:szCs w:val="20"/>
          <w:color w:val="auto"/>
        </w:rPr>
      </w:pPr>
      <w:r>
        <w:rPr>
          <w:rFonts w:ascii="Arial" w:cs="Arial" w:eastAsia="Arial" w:hAnsi="Arial"/>
          <w:sz w:val="18"/>
          <w:szCs w:val="18"/>
          <w:color w:val="auto"/>
        </w:rPr>
        <w:t xml:space="preserve">Pursuant to the U.S. Foreign Corrupt Practices Act </w:t>
      </w:r>
      <w:r>
        <w:rPr>
          <w:rFonts w:ascii="Arial" w:cs="Arial" w:eastAsia="Arial" w:hAnsi="Arial"/>
          <w:sz w:val="18"/>
          <w:szCs w:val="18"/>
          <w:b w:val="1"/>
          <w:bCs w:val="1"/>
          <w:color w:val="auto"/>
        </w:rPr>
        <w:t>("FCPA")</w:t>
      </w:r>
      <w:r>
        <w:rPr>
          <w:rFonts w:ascii="Arial" w:cs="Arial" w:eastAsia="Arial" w:hAnsi="Arial"/>
          <w:sz w:val="18"/>
          <w:szCs w:val="18"/>
          <w:color w:val="auto"/>
        </w:rPr>
        <w:t xml:space="preserve"> issued in the United States of America, the payment of bribes and corrupt practices to government officials, state authorities, political figures in foreign countries, including reaching suppliers and customers, is strictly prohibited and all Subjects bound must refrain from making any payment or promise payment, gifts, gifts, benefits, regardless of whether they are payments in cash or in kind, either directly or indirectly, to national or foreign officials, or government officials or members of political parties, for the purpose of influencing or inducing them for the purpose of obtaining or retaining business for the benefit of the Issuer, or of obtaining an unlawful advantage for the benefit of the Issuer.</w:t>
      </w:r>
    </w:p>
    <w:p>
      <w:pPr>
        <w:spacing w:after="0" w:line="191"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Bank's Management shall ensure the implementation of measures aimed at preventing and detecting acts that violate the provisions of this section and shall be recorded in a separate document, in accordance with the guidelines of general international acceptance on the matter.</w:t>
      </w:r>
    </w:p>
    <w:p>
      <w:pPr>
        <w:spacing w:after="0" w:line="146"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Bank is required to maintain information related to the events and operational risk incidents that may take place. It is the duty of all members of the Bladex task force to report and disclose in a timely manner all events or incidents of operational risk that may occur in the processes, both to each department supervisor and to the Operational Risk department.</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 ETHICS COMMITTEE</w:t>
      </w:r>
    </w:p>
    <w:p>
      <w:pPr>
        <w:spacing w:after="0" w:line="229" w:lineRule="exact"/>
        <w:rPr>
          <w:sz w:val="20"/>
          <w:szCs w:val="20"/>
          <w:color w:val="auto"/>
        </w:rPr>
      </w:pPr>
    </w:p>
    <w:p>
      <w:pPr>
        <w:jc w:val="both"/>
        <w:spacing w:after="0" w:line="275" w:lineRule="auto"/>
        <w:rPr>
          <w:sz w:val="20"/>
          <w:szCs w:val="20"/>
          <w:color w:val="auto"/>
        </w:rPr>
      </w:pPr>
      <w:r>
        <w:rPr>
          <w:rFonts w:ascii="Arial" w:cs="Arial" w:eastAsia="Arial" w:hAnsi="Arial"/>
          <w:sz w:val="17"/>
          <w:szCs w:val="17"/>
          <w:color w:val="auto"/>
        </w:rPr>
        <w:t>The Bank's Ethics Committee is responsible for constantly evaluating and updating this Code and reviewing and implementing the necessary mechanisms to disseminate and promote the highest standards of behavior at the Institution and will be in accordance with established, from time to time, in its rules of procedure, ensuring, at the very least, the participation with the voice and vote of a Director and the Executive Vice President of Audit, who will have a voice, but without a vote, for the purpose of evaluating and monitoring compliance with the Code of Ethics and present periodically the outcome of the matters dealt with in the Ethics Committee to the Committee on Compensation and Organizational Management.</w:t>
      </w:r>
    </w:p>
    <w:p>
      <w:pPr>
        <w:spacing w:after="0" w:line="39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89" w:name="page290"/>
    <w:bookmarkEnd w:id="289"/>
    <w:p>
      <w:pPr>
        <w:jc w:val="both"/>
        <w:spacing w:after="0" w:line="286" w:lineRule="auto"/>
        <w:rPr>
          <w:sz w:val="20"/>
          <w:szCs w:val="20"/>
          <w:color w:val="auto"/>
        </w:rPr>
      </w:pPr>
      <w:r>
        <w:rPr>
          <w:rFonts w:ascii="Arial" w:cs="Arial" w:eastAsia="Arial" w:hAnsi="Arial"/>
          <w:sz w:val="17"/>
          <w:szCs w:val="17"/>
          <w:color w:val="auto"/>
        </w:rPr>
        <w:t>Unless otherwise stated in this Code, the Ethics Committee shall report to the Compensation Committee on the failure of any Subject to comply with the Code of the rules contained in this Code of ethics. The Compensation Committee, in turn, will inform the Audit Committee of the occurrence of such breaches, for the knowledge of the members of the Audit Committee and for the adoption of the corresponding actions and/or penalties.</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 COMPLIANCE REGULATIONS</w:t>
      </w:r>
    </w:p>
    <w:p>
      <w:pPr>
        <w:spacing w:after="0" w:line="229"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The provisions contained in this Code of Ethics are mandatory for all Persons Covered by the Code. These provisions are complemented, for employees within a general framework, with the provisions of the employment contract, in the internal labor regulations, legal rules, banking regulations and rules of internal procedure and guidelines in force or dictate the future.</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shall penalize those Persons Covered by the Code for incurring any conduct which deviates from, or contravenes, the rules of the Code of Ethics, without prejudice that such conduct may constitute at the same time an infringement of the internal regulations and/or the contract of employment, where the sanctions scheme provided for in that regulation and/or the law shall also be applicable.</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Bladex must submit and/or make available to each of the Persons Covered by the Code a copy of the Code of Ethics at the time of hiring.</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6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8" w:right="339" w:bottom="1440" w:gutter="0" w:footer="0" w:header="0"/>
        </w:sectPr>
      </w:pPr>
    </w:p>
    <w:bookmarkStart w:id="290" w:name="page291"/>
    <w:bookmarkEnd w:id="290"/>
    <w:p>
      <w:pPr>
        <w:jc w:val="center"/>
        <w:spacing w:after="0"/>
        <w:rPr>
          <w:sz w:val="20"/>
          <w:szCs w:val="20"/>
          <w:color w:val="auto"/>
        </w:rPr>
      </w:pPr>
      <w:r>
        <w:rPr>
          <w:rFonts w:ascii="Arial" w:cs="Arial" w:eastAsia="Arial" w:hAnsi="Arial"/>
          <w:sz w:val="18"/>
          <w:szCs w:val="18"/>
          <w:b w:val="1"/>
          <w:bCs w:val="1"/>
          <w:color w:val="auto"/>
        </w:rPr>
        <w:t>BANCO LATINOAMERICANO DE COMERCIO EXTERIOR, S.A. (“Bladex”)</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SPECIAL STATEMENT BY SENIOR FINANCIAL EXECUTIVES RELATED TO THE BLADEX CODE OF ETHICS (THE "CODE")</w:t>
      </w:r>
    </w:p>
    <w:p>
      <w:pPr>
        <w:spacing w:after="0" w:line="229" w:lineRule="exact"/>
        <w:rPr>
          <w:sz w:val="20"/>
          <w:szCs w:val="20"/>
          <w:color w:val="auto"/>
        </w:rPr>
      </w:pPr>
    </w:p>
    <w:p>
      <w:pPr>
        <w:ind w:right="20"/>
        <w:spacing w:after="0" w:line="277" w:lineRule="auto"/>
        <w:rPr>
          <w:sz w:val="20"/>
          <w:szCs w:val="20"/>
          <w:color w:val="auto"/>
        </w:rPr>
      </w:pPr>
      <w:r>
        <w:rPr>
          <w:rFonts w:ascii="Arial" w:cs="Arial" w:eastAsia="Arial" w:hAnsi="Arial"/>
          <w:sz w:val="18"/>
          <w:szCs w:val="18"/>
          <w:color w:val="auto"/>
        </w:rPr>
        <w:t>The CEO, the CFO and the Accounting Vice-president, as Senior Financial Executives ("Senior Executives") of Bladex, hereby accept the provisions of the Code and agree to comply with the additional provisions contained herein.</w:t>
      </w:r>
    </w:p>
    <w:p>
      <w:pPr>
        <w:spacing w:after="0" w:line="166"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 This Special Statement by Bladex's Senior Executives is intended to promote:</w:t>
      </w:r>
    </w:p>
    <w:p>
      <w:pPr>
        <w:spacing w:after="0" w:line="229" w:lineRule="exact"/>
        <w:rPr>
          <w:sz w:val="20"/>
          <w:szCs w:val="20"/>
          <w:color w:val="auto"/>
        </w:rPr>
      </w:pPr>
    </w:p>
    <w:p>
      <w:pPr>
        <w:ind w:left="660" w:hanging="328"/>
        <w:spacing w:after="0" w:line="277" w:lineRule="auto"/>
        <w:tabs>
          <w:tab w:leader="none" w:pos="660" w:val="left"/>
        </w:tabs>
        <w:numPr>
          <w:ilvl w:val="0"/>
          <w:numId w:val="313"/>
        </w:numPr>
        <w:rPr>
          <w:rFonts w:ascii="Arial" w:cs="Arial" w:eastAsia="Arial" w:hAnsi="Arial"/>
          <w:sz w:val="18"/>
          <w:szCs w:val="18"/>
          <w:color w:val="auto"/>
        </w:rPr>
      </w:pPr>
      <w:r>
        <w:rPr>
          <w:rFonts w:ascii="Arial" w:cs="Arial" w:eastAsia="Arial" w:hAnsi="Arial"/>
          <w:sz w:val="18"/>
          <w:szCs w:val="18"/>
          <w:color w:val="auto"/>
        </w:rPr>
        <w:t>Honest and ethical conduct, including ethical management of current or apparent conflicts of interest between personal and professional relationships;</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0"/>
          <w:numId w:val="313"/>
        </w:numPr>
        <w:rPr>
          <w:rFonts w:ascii="Arial" w:cs="Arial" w:eastAsia="Arial" w:hAnsi="Arial"/>
          <w:sz w:val="18"/>
          <w:szCs w:val="18"/>
          <w:color w:val="auto"/>
        </w:rPr>
      </w:pPr>
      <w:r>
        <w:rPr>
          <w:rFonts w:ascii="Arial" w:cs="Arial" w:eastAsia="Arial" w:hAnsi="Arial"/>
          <w:sz w:val="18"/>
          <w:szCs w:val="18"/>
          <w:color w:val="auto"/>
        </w:rPr>
        <w:t>A complete, fair, accurate, timely and understandable disclosure in the reports and documents Bladex issue or present to the "Securities and Exchange Commission" ("SEC") and other public communications made by Bladex;</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313"/>
        </w:numPr>
        <w:rPr>
          <w:rFonts w:ascii="Arial" w:cs="Arial" w:eastAsia="Arial" w:hAnsi="Arial"/>
          <w:sz w:val="18"/>
          <w:szCs w:val="18"/>
          <w:color w:val="auto"/>
        </w:rPr>
      </w:pPr>
      <w:r>
        <w:rPr>
          <w:rFonts w:ascii="Arial" w:cs="Arial" w:eastAsia="Arial" w:hAnsi="Arial"/>
          <w:sz w:val="18"/>
          <w:szCs w:val="18"/>
          <w:color w:val="auto"/>
        </w:rPr>
        <w:t>Compliance with applicable laws, government rules and regulations;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13"/>
        </w:numPr>
        <w:rPr>
          <w:rFonts w:ascii="Arial" w:cs="Arial" w:eastAsia="Arial" w:hAnsi="Arial"/>
          <w:sz w:val="18"/>
          <w:szCs w:val="18"/>
          <w:color w:val="auto"/>
        </w:rPr>
      </w:pPr>
      <w:r>
        <w:rPr>
          <w:rFonts w:ascii="Arial" w:cs="Arial" w:eastAsia="Arial" w:hAnsi="Arial"/>
          <w:sz w:val="18"/>
          <w:szCs w:val="18"/>
          <w:color w:val="auto"/>
        </w:rPr>
        <w:t>Timely internal reporting of Code violations to an appropriate person or to persons identified in the Code; and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313"/>
        </w:numPr>
        <w:rPr>
          <w:rFonts w:ascii="Arial" w:cs="Arial" w:eastAsia="Arial" w:hAnsi="Arial"/>
          <w:sz w:val="18"/>
          <w:szCs w:val="18"/>
          <w:color w:val="auto"/>
        </w:rPr>
      </w:pPr>
      <w:r>
        <w:rPr>
          <w:rFonts w:ascii="Arial" w:cs="Arial" w:eastAsia="Arial" w:hAnsi="Arial"/>
          <w:sz w:val="18"/>
          <w:szCs w:val="18"/>
          <w:color w:val="auto"/>
        </w:rPr>
        <w:t>The responsibility for adherence to the Code.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Every Senior Executive must adhere to a high standard of business ethics and should be sensitive to situations that may result in current or apparent conflicts of interest. Bladex always expects its top executives to meet the principles of this Code. A violation of this Code is a cause of disciplinary action including dismissal and possible legal action. Any consultation on the application of the Code must be referred to the Audit Committee of the Board of Directors of Bladex.</w:t>
      </w:r>
    </w:p>
    <w:p>
      <w:pPr>
        <w:spacing w:after="0" w:line="183"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II.Senior Executives must ethically handle conflicts of real or apparent interest.</w:t>
      </w:r>
    </w:p>
    <w:p>
      <w:pPr>
        <w:spacing w:after="0" w:line="229"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 "Conflict of interest" occurs when the private interest of a Senior Executive interferes with the interests of, or his service to, Bladex. For instance, a conflict of interest from a Senior Executive may arise if a Senior Executive, or a member of his family, receives improper personal benefits because of his position at Bladex.</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Any Top-level Executive shall ensure that the guidelines for the handling of conflicts of interest referred to in point III. 2 of the Code are strictly followed, and to avoid situations that are typified in that point.</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situations involving a Top-level Executive, in which there is the appearance of, or potential, conflicts of interest, but the Top Executive believes that it is not a significant conflict of interest, the Top Executive shall obtain approval from the Committee of Audit before getting involved in such a situation. No approval of this type will be considered an exception to the Code</w:t>
      </w:r>
    </w:p>
    <w:p>
      <w:pPr>
        <w:spacing w:after="0" w:line="180"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III.Disclosure and Compliance</w:t>
      </w:r>
    </w:p>
    <w:p>
      <w:pPr>
        <w:spacing w:after="0" w:line="229" w:lineRule="exact"/>
        <w:rPr>
          <w:sz w:val="20"/>
          <w:szCs w:val="20"/>
          <w:color w:val="auto"/>
        </w:rPr>
      </w:pPr>
    </w:p>
    <w:p>
      <w:pPr>
        <w:ind w:left="5540" w:right="1660" w:hanging="5208"/>
        <w:spacing w:after="0" w:line="778" w:lineRule="auto"/>
        <w:tabs>
          <w:tab w:leader="none" w:pos="662" w:val="left"/>
        </w:tabs>
        <w:numPr>
          <w:ilvl w:val="0"/>
          <w:numId w:val="314"/>
        </w:numPr>
        <w:rPr>
          <w:rFonts w:ascii="Arial" w:cs="Arial" w:eastAsia="Arial" w:hAnsi="Arial"/>
          <w:sz w:val="18"/>
          <w:szCs w:val="18"/>
          <w:color w:val="auto"/>
        </w:rPr>
      </w:pPr>
      <w:r>
        <w:rPr>
          <w:rFonts w:ascii="Arial" w:cs="Arial" w:eastAsia="Arial" w:hAnsi="Arial"/>
          <w:sz w:val="18"/>
          <w:szCs w:val="18"/>
          <w:color w:val="auto"/>
        </w:rPr>
        <w:t>Every Senior Executive should be familiar with the disclosure and compliance requirements generally applicable to Bladex; 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-294005</wp:posOffset>
            </wp:positionV>
            <wp:extent cx="7132320" cy="8255"/>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7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91" w:name="page292"/>
    <w:bookmarkEnd w:id="291"/>
    <w:p>
      <w:pPr>
        <w:ind w:left="480" w:hanging="328"/>
        <w:spacing w:after="0" w:line="277" w:lineRule="auto"/>
        <w:tabs>
          <w:tab w:leader="none" w:pos="480" w:val="left"/>
        </w:tabs>
        <w:numPr>
          <w:ilvl w:val="0"/>
          <w:numId w:val="315"/>
        </w:numPr>
        <w:rPr>
          <w:rFonts w:ascii="Arial" w:cs="Arial" w:eastAsia="Arial" w:hAnsi="Arial"/>
          <w:sz w:val="18"/>
          <w:szCs w:val="18"/>
          <w:color w:val="auto"/>
        </w:rPr>
      </w:pPr>
      <w:r>
        <w:rPr>
          <w:rFonts w:ascii="Arial" w:cs="Arial" w:eastAsia="Arial" w:hAnsi="Arial"/>
          <w:sz w:val="18"/>
          <w:szCs w:val="18"/>
          <w:color w:val="auto"/>
        </w:rPr>
        <w:t>Every Senior Executive shall refrain from misrepresenting, or causing other misrepresenting, facts about Bladex, whether in or out of Bladex, including the Directors and Dignitaries of Bladex and auditors, or government regulators and autonomous organizations.</w:t>
      </w:r>
    </w:p>
    <w:p>
      <w:pPr>
        <w:spacing w:after="0" w:line="170" w:lineRule="exact"/>
        <w:rPr>
          <w:rFonts w:ascii="Arial" w:cs="Arial" w:eastAsia="Arial" w:hAnsi="Arial"/>
          <w:sz w:val="18"/>
          <w:szCs w:val="18"/>
          <w:color w:val="auto"/>
        </w:rPr>
      </w:pPr>
    </w:p>
    <w:p>
      <w:pPr>
        <w:jc w:val="both"/>
        <w:ind w:left="480" w:hanging="328"/>
        <w:spacing w:after="0" w:line="263" w:lineRule="auto"/>
        <w:tabs>
          <w:tab w:leader="none" w:pos="480" w:val="left"/>
        </w:tabs>
        <w:numPr>
          <w:ilvl w:val="0"/>
          <w:numId w:val="315"/>
        </w:numPr>
        <w:rPr>
          <w:rFonts w:ascii="Arial" w:cs="Arial" w:eastAsia="Arial" w:hAnsi="Arial"/>
          <w:sz w:val="18"/>
          <w:szCs w:val="18"/>
          <w:color w:val="auto"/>
        </w:rPr>
      </w:pPr>
      <w:r>
        <w:rPr>
          <w:rFonts w:ascii="Arial" w:cs="Arial" w:eastAsia="Arial" w:hAnsi="Arial"/>
          <w:sz w:val="18"/>
          <w:szCs w:val="18"/>
          <w:color w:val="auto"/>
        </w:rPr>
        <w:t>Every Senior Executive must, to the extent appropriate in their area of responsibility, consult with other executives and employees of Bladex with the aim of promoting full, fair, accurate, timely and understandable disclosures in the reports that Bladex files or present to the SEC, and in other public communications made by Bladex; and</w:t>
      </w:r>
    </w:p>
    <w:p>
      <w:pPr>
        <w:spacing w:after="0" w:line="183" w:lineRule="exact"/>
        <w:rPr>
          <w:rFonts w:ascii="Arial" w:cs="Arial" w:eastAsia="Arial" w:hAnsi="Arial"/>
          <w:sz w:val="18"/>
          <w:szCs w:val="18"/>
          <w:color w:val="auto"/>
        </w:rPr>
      </w:pPr>
    </w:p>
    <w:p>
      <w:pPr>
        <w:ind w:left="480" w:hanging="328"/>
        <w:spacing w:after="0" w:line="277" w:lineRule="auto"/>
        <w:tabs>
          <w:tab w:leader="none" w:pos="480" w:val="left"/>
        </w:tabs>
        <w:numPr>
          <w:ilvl w:val="0"/>
          <w:numId w:val="315"/>
        </w:numPr>
        <w:rPr>
          <w:rFonts w:ascii="Arial" w:cs="Arial" w:eastAsia="Arial" w:hAnsi="Arial"/>
          <w:sz w:val="18"/>
          <w:szCs w:val="18"/>
          <w:color w:val="auto"/>
        </w:rPr>
      </w:pPr>
      <w:r>
        <w:rPr>
          <w:rFonts w:ascii="Arial" w:cs="Arial" w:eastAsia="Arial" w:hAnsi="Arial"/>
          <w:sz w:val="18"/>
          <w:szCs w:val="18"/>
          <w:color w:val="auto"/>
        </w:rPr>
        <w:t>It is the responsibility of each Senior Executive to promote compliance with the standards and restrictions imposed by applicable laws, rules and regulations.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IV.Reporting and Responsibilities</w:t>
      </w:r>
    </w:p>
    <w:p>
      <w:pPr>
        <w:spacing w:after="0" w:line="229" w:lineRule="exact"/>
        <w:rPr>
          <w:sz w:val="20"/>
          <w:szCs w:val="20"/>
          <w:color w:val="auto"/>
        </w:rPr>
      </w:pPr>
    </w:p>
    <w:p>
      <w:pPr>
        <w:ind w:left="160"/>
        <w:spacing w:after="0"/>
        <w:rPr>
          <w:sz w:val="20"/>
          <w:szCs w:val="20"/>
          <w:color w:val="auto"/>
        </w:rPr>
      </w:pPr>
      <w:r>
        <w:rPr>
          <w:rFonts w:ascii="Arial" w:cs="Arial" w:eastAsia="Arial" w:hAnsi="Arial"/>
          <w:sz w:val="18"/>
          <w:szCs w:val="18"/>
          <w:color w:val="auto"/>
        </w:rPr>
        <w:t>Each Senior Executive must:</w:t>
      </w:r>
    </w:p>
    <w:p>
      <w:pPr>
        <w:spacing w:after="0" w:line="225" w:lineRule="exact"/>
        <w:rPr>
          <w:sz w:val="20"/>
          <w:szCs w:val="20"/>
          <w:color w:val="auto"/>
        </w:rPr>
      </w:pPr>
    </w:p>
    <w:p>
      <w:pPr>
        <w:ind w:left="480" w:hanging="328"/>
        <w:spacing w:after="0" w:line="277" w:lineRule="auto"/>
        <w:tabs>
          <w:tab w:leader="none" w:pos="480" w:val="left"/>
        </w:tabs>
        <w:numPr>
          <w:ilvl w:val="0"/>
          <w:numId w:val="316"/>
        </w:numPr>
        <w:rPr>
          <w:rFonts w:ascii="Arial" w:cs="Arial" w:eastAsia="Arial" w:hAnsi="Arial"/>
          <w:sz w:val="18"/>
          <w:szCs w:val="18"/>
          <w:color w:val="auto"/>
        </w:rPr>
      </w:pPr>
      <w:r>
        <w:rPr>
          <w:rFonts w:ascii="Arial" w:cs="Arial" w:eastAsia="Arial" w:hAnsi="Arial"/>
          <w:sz w:val="18"/>
          <w:szCs w:val="18"/>
          <w:color w:val="auto"/>
        </w:rPr>
        <w:t>Once the Code has been adopted (or as subsequently applied, by becoming Senior Executive), declare in writing to the Board of Directors that they have received and read and understood the Code;</w:t>
      </w:r>
    </w:p>
    <w:p>
      <w:pPr>
        <w:spacing w:after="0" w:line="170" w:lineRule="exact"/>
        <w:rPr>
          <w:rFonts w:ascii="Arial" w:cs="Arial" w:eastAsia="Arial" w:hAnsi="Arial"/>
          <w:sz w:val="18"/>
          <w:szCs w:val="18"/>
          <w:color w:val="auto"/>
        </w:rPr>
      </w:pPr>
    </w:p>
    <w:p>
      <w:pPr>
        <w:ind w:left="480" w:right="20" w:hanging="328"/>
        <w:spacing w:after="0" w:line="277" w:lineRule="auto"/>
        <w:tabs>
          <w:tab w:leader="none" w:pos="480" w:val="left"/>
        </w:tabs>
        <w:numPr>
          <w:ilvl w:val="0"/>
          <w:numId w:val="316"/>
        </w:numPr>
        <w:rPr>
          <w:rFonts w:ascii="Arial" w:cs="Arial" w:eastAsia="Arial" w:hAnsi="Arial"/>
          <w:sz w:val="18"/>
          <w:szCs w:val="18"/>
          <w:color w:val="auto"/>
        </w:rPr>
      </w:pPr>
      <w:r>
        <w:rPr>
          <w:rFonts w:ascii="Arial" w:cs="Arial" w:eastAsia="Arial" w:hAnsi="Arial"/>
          <w:sz w:val="18"/>
          <w:szCs w:val="18"/>
          <w:color w:val="auto"/>
        </w:rPr>
        <w:t>Refrain from retaliating against any other Senior Executive or employee of Bladex or his family, for reports of potential violations made in good faith.</w:t>
      </w:r>
    </w:p>
    <w:p>
      <w:pPr>
        <w:spacing w:after="0" w:line="170" w:lineRule="exact"/>
        <w:rPr>
          <w:rFonts w:ascii="Arial" w:cs="Arial" w:eastAsia="Arial" w:hAnsi="Arial"/>
          <w:sz w:val="18"/>
          <w:szCs w:val="18"/>
          <w:color w:val="auto"/>
        </w:rPr>
      </w:pPr>
    </w:p>
    <w:p>
      <w:pPr>
        <w:ind w:left="480" w:hanging="328"/>
        <w:spacing w:after="0" w:line="277" w:lineRule="auto"/>
        <w:tabs>
          <w:tab w:leader="none" w:pos="480" w:val="left"/>
        </w:tabs>
        <w:numPr>
          <w:ilvl w:val="0"/>
          <w:numId w:val="316"/>
        </w:numPr>
        <w:rPr>
          <w:rFonts w:ascii="Arial" w:cs="Arial" w:eastAsia="Arial" w:hAnsi="Arial"/>
          <w:sz w:val="18"/>
          <w:szCs w:val="18"/>
          <w:color w:val="auto"/>
        </w:rPr>
      </w:pPr>
      <w:r>
        <w:rPr>
          <w:rFonts w:ascii="Arial" w:cs="Arial" w:eastAsia="Arial" w:hAnsi="Arial"/>
          <w:sz w:val="18"/>
          <w:szCs w:val="18"/>
          <w:color w:val="auto"/>
        </w:rPr>
        <w:t>Notify the Audit Committee promptly if you know of any violation of the Code, understanding that omitting to do so will be considered a violation of the same.</w:t>
      </w:r>
    </w:p>
    <w:p>
      <w:pPr>
        <w:spacing w:after="0" w:line="170" w:lineRule="exact"/>
        <w:rPr>
          <w:sz w:val="20"/>
          <w:szCs w:val="20"/>
          <w:color w:val="auto"/>
        </w:rPr>
      </w:pPr>
    </w:p>
    <w:p>
      <w:pPr>
        <w:ind w:left="160"/>
        <w:spacing w:after="0"/>
        <w:rPr>
          <w:sz w:val="20"/>
          <w:szCs w:val="20"/>
          <w:color w:val="auto"/>
        </w:rPr>
      </w:pPr>
      <w:r>
        <w:rPr>
          <w:rFonts w:ascii="Arial" w:cs="Arial" w:eastAsia="Arial" w:hAnsi="Arial"/>
          <w:sz w:val="16"/>
          <w:szCs w:val="16"/>
          <w:color w:val="auto"/>
        </w:rPr>
        <w:t>The Audit Committee is responsible for applying the Code in specific situations where doubts arise and has the authority to interpret it in any situation.</w:t>
      </w:r>
    </w:p>
    <w:p>
      <w:pPr>
        <w:spacing w:after="0" w:line="46" w:lineRule="exact"/>
        <w:rPr>
          <w:sz w:val="20"/>
          <w:szCs w:val="20"/>
          <w:color w:val="auto"/>
        </w:rPr>
      </w:pPr>
    </w:p>
    <w:p>
      <w:pPr>
        <w:ind w:left="160"/>
        <w:spacing w:after="0"/>
        <w:rPr>
          <w:sz w:val="20"/>
          <w:szCs w:val="20"/>
          <w:color w:val="auto"/>
        </w:rPr>
      </w:pPr>
      <w:r>
        <w:rPr>
          <w:rFonts w:ascii="Arial" w:cs="Arial" w:eastAsia="Arial" w:hAnsi="Arial"/>
          <w:sz w:val="18"/>
          <w:szCs w:val="18"/>
          <w:color w:val="auto"/>
        </w:rPr>
        <w:t>Any exception should be considered by the Audit Committee.</w:t>
      </w:r>
    </w:p>
    <w:p>
      <w:pPr>
        <w:spacing w:after="0" w:line="211" w:lineRule="exact"/>
        <w:rPr>
          <w:sz w:val="20"/>
          <w:szCs w:val="20"/>
          <w:color w:val="auto"/>
        </w:rPr>
      </w:pPr>
    </w:p>
    <w:p>
      <w:pPr>
        <w:ind w:left="160"/>
        <w:spacing w:after="0"/>
        <w:rPr>
          <w:sz w:val="20"/>
          <w:szCs w:val="20"/>
          <w:color w:val="auto"/>
        </w:rPr>
      </w:pPr>
      <w:r>
        <w:rPr>
          <w:rFonts w:ascii="Arial" w:cs="Arial" w:eastAsia="Arial" w:hAnsi="Arial"/>
          <w:sz w:val="18"/>
          <w:szCs w:val="18"/>
          <w:color w:val="auto"/>
        </w:rPr>
        <w:t>Bladex will follow the following procedures in the investigations to enforce the Code:</w:t>
      </w:r>
    </w:p>
    <w:p>
      <w:pPr>
        <w:spacing w:after="0" w:line="225" w:lineRule="exact"/>
        <w:rPr>
          <w:sz w:val="20"/>
          <w:szCs w:val="20"/>
          <w:color w:val="auto"/>
        </w:rPr>
      </w:pPr>
    </w:p>
    <w:p>
      <w:pPr>
        <w:ind w:left="460" w:hanging="322"/>
        <w:spacing w:after="0"/>
        <w:tabs>
          <w:tab w:leader="none" w:pos="460" w:val="left"/>
        </w:tabs>
        <w:numPr>
          <w:ilvl w:val="0"/>
          <w:numId w:val="317"/>
        </w:numPr>
        <w:rPr>
          <w:rFonts w:ascii="Arial" w:cs="Arial" w:eastAsia="Arial" w:hAnsi="Arial"/>
          <w:sz w:val="18"/>
          <w:szCs w:val="18"/>
          <w:color w:val="auto"/>
        </w:rPr>
      </w:pPr>
      <w:r>
        <w:rPr>
          <w:rFonts w:ascii="Arial" w:cs="Arial" w:eastAsia="Arial" w:hAnsi="Arial"/>
          <w:sz w:val="18"/>
          <w:szCs w:val="18"/>
          <w:color w:val="auto"/>
        </w:rPr>
        <w:t>The Audit Committee shall take all appropriate actions to investigate any potential violations that have been reported to them;</w:t>
      </w:r>
    </w:p>
    <w:p>
      <w:pPr>
        <w:spacing w:after="0" w:line="225" w:lineRule="exact"/>
        <w:rPr>
          <w:rFonts w:ascii="Arial" w:cs="Arial" w:eastAsia="Arial" w:hAnsi="Arial"/>
          <w:sz w:val="18"/>
          <w:szCs w:val="18"/>
          <w:color w:val="auto"/>
        </w:rPr>
      </w:pPr>
    </w:p>
    <w:p>
      <w:pPr>
        <w:ind w:left="460" w:hanging="322"/>
        <w:spacing w:after="0" w:line="277" w:lineRule="auto"/>
        <w:tabs>
          <w:tab w:leader="none" w:pos="460" w:val="left"/>
        </w:tabs>
        <w:numPr>
          <w:ilvl w:val="0"/>
          <w:numId w:val="317"/>
        </w:numPr>
        <w:rPr>
          <w:rFonts w:ascii="Arial" w:cs="Arial" w:eastAsia="Arial" w:hAnsi="Arial"/>
          <w:sz w:val="18"/>
          <w:szCs w:val="18"/>
          <w:color w:val="auto"/>
        </w:rPr>
      </w:pPr>
      <w:r>
        <w:rPr>
          <w:rFonts w:ascii="Arial" w:cs="Arial" w:eastAsia="Arial" w:hAnsi="Arial"/>
          <w:sz w:val="18"/>
          <w:szCs w:val="18"/>
          <w:color w:val="auto"/>
        </w:rPr>
        <w:t>If, after the investigation, the Audit Committee believes that no violation has occurred, the Audit Committee is not required to take any other action;</w:t>
      </w:r>
    </w:p>
    <w:p>
      <w:pPr>
        <w:spacing w:after="0" w:line="170" w:lineRule="exact"/>
        <w:rPr>
          <w:rFonts w:ascii="Arial" w:cs="Arial" w:eastAsia="Arial" w:hAnsi="Arial"/>
          <w:sz w:val="18"/>
          <w:szCs w:val="18"/>
          <w:color w:val="auto"/>
        </w:rPr>
      </w:pPr>
    </w:p>
    <w:p>
      <w:pPr>
        <w:ind w:left="480" w:right="20" w:hanging="328"/>
        <w:spacing w:after="0" w:line="277" w:lineRule="auto"/>
        <w:tabs>
          <w:tab w:leader="none" w:pos="480" w:val="left"/>
        </w:tabs>
        <w:numPr>
          <w:ilvl w:val="1"/>
          <w:numId w:val="317"/>
        </w:numPr>
        <w:rPr>
          <w:rFonts w:ascii="Arial" w:cs="Arial" w:eastAsia="Arial" w:hAnsi="Arial"/>
          <w:sz w:val="18"/>
          <w:szCs w:val="18"/>
          <w:color w:val="auto"/>
        </w:rPr>
      </w:pPr>
      <w:r>
        <w:rPr>
          <w:rFonts w:ascii="Arial" w:cs="Arial" w:eastAsia="Arial" w:hAnsi="Arial"/>
          <w:sz w:val="18"/>
          <w:szCs w:val="18"/>
          <w:color w:val="auto"/>
        </w:rPr>
        <w:t>If the audit Committee determines that a violation has occurred, it shall consider appropriate measures which may include both a review of, and modifications to, applicable policies and procedures; Or the recommendation that the Top Executive get fired;</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V.Changes or exceptions to Code compliance</w:t>
      </w:r>
    </w:p>
    <w:p>
      <w:pPr>
        <w:spacing w:after="0" w:line="229" w:lineRule="exact"/>
        <w:rPr>
          <w:sz w:val="20"/>
          <w:szCs w:val="20"/>
          <w:color w:val="auto"/>
        </w:rPr>
      </w:pPr>
    </w:p>
    <w:p>
      <w:pPr>
        <w:ind w:left="160"/>
        <w:spacing w:after="0"/>
        <w:rPr>
          <w:sz w:val="20"/>
          <w:szCs w:val="20"/>
          <w:color w:val="auto"/>
        </w:rPr>
      </w:pPr>
      <w:r>
        <w:rPr>
          <w:rFonts w:ascii="Arial" w:cs="Arial" w:eastAsia="Arial" w:hAnsi="Arial"/>
          <w:sz w:val="18"/>
          <w:szCs w:val="18"/>
          <w:color w:val="auto"/>
        </w:rPr>
        <w:t>The Audit Committee shall be responsible for granting exceptions to compliance with the Code, as appropriate.</w:t>
      </w:r>
    </w:p>
    <w:p>
      <w:pPr>
        <w:spacing w:after="0" w:line="225" w:lineRule="exact"/>
        <w:rPr>
          <w:sz w:val="20"/>
          <w:szCs w:val="20"/>
          <w:color w:val="auto"/>
        </w:rPr>
      </w:pPr>
    </w:p>
    <w:p>
      <w:pPr>
        <w:ind w:left="160" w:right="20"/>
        <w:spacing w:after="0" w:line="342" w:lineRule="auto"/>
        <w:rPr>
          <w:sz w:val="20"/>
          <w:szCs w:val="20"/>
          <w:color w:val="auto"/>
        </w:rPr>
      </w:pPr>
      <w:r>
        <w:rPr>
          <w:rFonts w:ascii="Arial" w:cs="Arial" w:eastAsia="Arial" w:hAnsi="Arial"/>
          <w:sz w:val="16"/>
          <w:szCs w:val="16"/>
          <w:color w:val="auto"/>
        </w:rPr>
        <w:t>Any exception granted in accordance with the Code shall be informed and registered with the SEC and shall be reported to the shareholders of Bladex within the time limits determined by the SEC rules and any applicable law of any banking, securities or exchange regulators in Bladex appear listed.</w:t>
      </w:r>
    </w:p>
    <w:p>
      <w:pPr>
        <w:spacing w:after="0" w:line="340" w:lineRule="exact"/>
        <w:rPr>
          <w:sz w:val="20"/>
          <w:szCs w:val="20"/>
          <w:color w:val="auto"/>
        </w:rPr>
      </w:pPr>
    </w:p>
    <w:p>
      <w:pPr>
        <w:jc w:val="center"/>
        <w:ind w:right="160"/>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-108585</wp:posOffset>
            </wp:positionH>
            <wp:positionV relativeFrom="paragraph">
              <wp:posOffset>14605</wp:posOffset>
            </wp:positionV>
            <wp:extent cx="7132320" cy="8255"/>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7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060"/>
          </w:cols>
          <w:pgMar w:left="500" w:top="908" w:right="339" w:bottom="1440" w:gutter="0" w:footer="0" w:header="0"/>
        </w:sectPr>
      </w:pPr>
    </w:p>
    <w:bookmarkStart w:id="292" w:name="page293"/>
    <w:bookmarkEnd w:id="292"/>
    <w:p>
      <w:pPr>
        <w:ind w:left="180"/>
        <w:spacing w:after="0"/>
        <w:rPr>
          <w:sz w:val="20"/>
          <w:szCs w:val="20"/>
          <w:color w:val="auto"/>
        </w:rPr>
      </w:pPr>
      <w:r>
        <w:rPr>
          <w:rFonts w:ascii="Arial" w:cs="Arial" w:eastAsia="Arial" w:hAnsi="Arial"/>
          <w:sz w:val="18"/>
          <w:szCs w:val="18"/>
          <w:b w:val="1"/>
          <w:bCs w:val="1"/>
          <w:color w:val="auto"/>
        </w:rPr>
        <w:t>VI.Other policies and procedures</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This Code shall be the only Code of Ethics adopted by Bladex for the purposes of the "Sarbanes-Oxley Act" of 2002 and the Rules and forms applicable to registered companies.</w:t>
      </w:r>
    </w:p>
    <w:p>
      <w:pPr>
        <w:spacing w:after="0" w:line="166"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VII.Amendments</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Any amendment to the Code must be approved by the Compensation Committee and ratified by a majority vote of the Board's Audit Committee.</w:t>
      </w:r>
    </w:p>
    <w:p>
      <w:pPr>
        <w:spacing w:after="0" w:line="233"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VIII.Confidentiality</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Every reports and records prepared or maintained in accordance with the Code shall be considered confidential and shall be kept and protected as such.</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Except as required by law or this code, such matters shall not be disclosed to anyone outside the Audit Committee and the Bladex Board of Directors.</w:t>
      </w:r>
    </w:p>
    <w:p>
      <w:pPr>
        <w:spacing w:after="0" w:line="230" w:lineRule="exact"/>
        <w:rPr>
          <w:sz w:val="20"/>
          <w:szCs w:val="20"/>
          <w:color w:val="auto"/>
        </w:rPr>
      </w:pPr>
    </w:p>
    <w:p>
      <w:pPr>
        <w:ind w:left="180"/>
        <w:spacing w:after="0"/>
        <w:rPr>
          <w:sz w:val="20"/>
          <w:szCs w:val="20"/>
          <w:color w:val="auto"/>
        </w:rPr>
      </w:pPr>
      <w:r>
        <w:rPr>
          <w:rFonts w:ascii="Arial" w:cs="Arial" w:eastAsia="Arial" w:hAnsi="Arial"/>
          <w:sz w:val="18"/>
          <w:szCs w:val="18"/>
          <w:b w:val="1"/>
          <w:bCs w:val="1"/>
          <w:color w:val="auto"/>
        </w:rPr>
        <w:t>IX.Internal use</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This Code is for internal use only of Bladex and does not represent an admission, by or on behalf of Bladex, of any fact, circumstance, or legal conclusion.</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I have read and understood the terms of the Code. I acknowledge the responsibilities and obligations incurred by me because of being Subject to the Code. Hereby expressly agree to comply with the Code.</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3429000" cy="8255"/>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72">
                      <a:extLst>
                        <a:ext uri="{28A0092B-C50C-407E-A947-70E740481C1C}"/>
                      </a:extLst>
                    </a:blip>
                    <a:srcRect/>
                    <a:stretch>
                      <a:fillRect/>
                    </a:stretch>
                  </pic:blipFill>
                  <pic:spPr bwMode="auto">
                    <a:xfrm>
                      <a:off x="0" y="0"/>
                      <a:ext cx="3429000" cy="8255"/>
                    </a:xfrm>
                    <a:prstGeom prst="rect">
                      <a:avLst/>
                    </a:prstGeom>
                    <a:noFill/>
                  </pic:spPr>
                </pic:pic>
              </a:graphicData>
            </a:graphic>
          </wp:anchor>
        </w:drawing>
      </w:r>
    </w:p>
    <w:p>
      <w:pPr>
        <w:spacing w:after="0" w:line="232" w:lineRule="exact"/>
        <w:rPr>
          <w:sz w:val="20"/>
          <w:szCs w:val="20"/>
          <w:color w:val="auto"/>
        </w:rPr>
      </w:pPr>
    </w:p>
    <w:p>
      <w:pPr>
        <w:spacing w:after="0"/>
        <w:tabs>
          <w:tab w:leader="none" w:pos="5840" w:val="left"/>
        </w:tabs>
        <w:rPr>
          <w:sz w:val="20"/>
          <w:szCs w:val="20"/>
          <w:color w:val="auto"/>
        </w:rPr>
      </w:pPr>
      <w:r>
        <w:rPr>
          <w:rFonts w:ascii="Arial" w:cs="Arial" w:eastAsia="Arial" w:hAnsi="Arial"/>
          <w:sz w:val="18"/>
          <w:szCs w:val="18"/>
          <w:color w:val="auto"/>
        </w:rPr>
        <w:t>Chief Financial Officer</w:t>
      </w:r>
      <w:r>
        <w:rPr>
          <w:sz w:val="20"/>
          <w:szCs w:val="20"/>
          <w:color w:val="auto"/>
        </w:rPr>
        <w:tab/>
      </w:r>
      <w:r>
        <w:rPr>
          <w:rFonts w:ascii="Arial" w:cs="Arial" w:eastAsia="Arial" w:hAnsi="Arial"/>
          <w:sz w:val="16"/>
          <w:szCs w:val="16"/>
          <w:color w:val="auto"/>
        </w:rPr>
        <w:t>Accounting Vice-president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47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93" w:name="page294"/>
    <w:bookmarkEnd w:id="293"/>
    <w:p>
      <w:pPr>
        <w:jc w:val="right"/>
        <w:spacing w:after="0"/>
        <w:rPr>
          <w:sz w:val="20"/>
          <w:szCs w:val="20"/>
          <w:color w:val="auto"/>
        </w:rPr>
      </w:pPr>
      <w:r>
        <w:rPr>
          <w:rFonts w:ascii="Arial" w:cs="Arial" w:eastAsia="Arial" w:hAnsi="Arial"/>
          <w:sz w:val="18"/>
          <w:szCs w:val="18"/>
          <w:b w:val="1"/>
          <w:bCs w:val="1"/>
          <w:color w:val="auto"/>
        </w:rPr>
        <w:t>Exhibit 12.1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 Jorge Salas, certify that:</w:t>
      </w:r>
    </w:p>
    <w:p>
      <w:pPr>
        <w:spacing w:after="0" w:line="225" w:lineRule="exact"/>
        <w:rPr>
          <w:sz w:val="20"/>
          <w:szCs w:val="20"/>
          <w:color w:val="auto"/>
        </w:rPr>
      </w:pPr>
    </w:p>
    <w:p>
      <w:pPr>
        <w:ind w:left="720" w:hanging="645"/>
        <w:spacing w:after="0"/>
        <w:tabs>
          <w:tab w:leader="none" w:pos="720" w:val="left"/>
        </w:tabs>
        <w:numPr>
          <w:ilvl w:val="2"/>
          <w:numId w:val="318"/>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720" w:hanging="658"/>
        <w:spacing w:after="0" w:line="263" w:lineRule="auto"/>
        <w:tabs>
          <w:tab w:leader="none" w:pos="720" w:val="left"/>
        </w:tabs>
        <w:numPr>
          <w:ilvl w:val="1"/>
          <w:numId w:val="319"/>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3" w:lineRule="exact"/>
        <w:rPr>
          <w:rFonts w:ascii="Arial" w:cs="Arial" w:eastAsia="Arial" w:hAnsi="Arial"/>
          <w:sz w:val="18"/>
          <w:szCs w:val="18"/>
          <w:color w:val="auto"/>
        </w:rPr>
      </w:pPr>
    </w:p>
    <w:p>
      <w:pPr>
        <w:ind w:left="720" w:hanging="658"/>
        <w:spacing w:after="0" w:line="308" w:lineRule="auto"/>
        <w:tabs>
          <w:tab w:leader="none" w:pos="720" w:val="left"/>
        </w:tabs>
        <w:numPr>
          <w:ilvl w:val="1"/>
          <w:numId w:val="319"/>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46"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320"/>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3"/>
          <w:numId w:val="320"/>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3"/>
          <w:numId w:val="320"/>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3" w:lineRule="exact"/>
        <w:rPr>
          <w:rFonts w:ascii="Arial" w:cs="Arial" w:eastAsia="Arial" w:hAnsi="Arial"/>
          <w:sz w:val="18"/>
          <w:szCs w:val="18"/>
          <w:color w:val="auto"/>
        </w:rPr>
      </w:pPr>
    </w:p>
    <w:p>
      <w:pPr>
        <w:ind w:left="980" w:right="20" w:hanging="324"/>
        <w:spacing w:after="0" w:line="342" w:lineRule="auto"/>
        <w:tabs>
          <w:tab w:leader="none" w:pos="980" w:val="left"/>
        </w:tabs>
        <w:numPr>
          <w:ilvl w:val="3"/>
          <w:numId w:val="320"/>
        </w:numPr>
        <w:rPr>
          <w:rFonts w:ascii="Arial" w:cs="Arial" w:eastAsia="Arial" w:hAnsi="Arial"/>
          <w:sz w:val="16"/>
          <w:szCs w:val="16"/>
          <w:color w:val="auto"/>
        </w:rPr>
      </w:pPr>
      <w:r>
        <w:rPr>
          <w:rFonts w:ascii="Arial" w:cs="Arial" w:eastAsia="Arial" w:hAnsi="Arial"/>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3" w:lineRule="exact"/>
        <w:rPr>
          <w:rFonts w:ascii="Arial" w:cs="Arial" w:eastAsia="Arial" w:hAnsi="Arial"/>
          <w:sz w:val="16"/>
          <w:szCs w:val="16"/>
          <w:color w:val="auto"/>
        </w:rPr>
      </w:pPr>
    </w:p>
    <w:p>
      <w:pPr>
        <w:jc w:val="both"/>
        <w:ind w:left="980" w:hanging="324"/>
        <w:spacing w:after="0" w:line="263" w:lineRule="auto"/>
        <w:tabs>
          <w:tab w:leader="none" w:pos="980" w:val="left"/>
        </w:tabs>
        <w:numPr>
          <w:ilvl w:val="3"/>
          <w:numId w:val="320"/>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8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320"/>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40" w:hanging="384"/>
        <w:spacing w:after="0" w:line="308" w:lineRule="auto"/>
        <w:tabs>
          <w:tab w:leader="none" w:pos="1040" w:val="left"/>
        </w:tabs>
        <w:numPr>
          <w:ilvl w:val="3"/>
          <w:numId w:val="320"/>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6" w:lineRule="exact"/>
        <w:rPr>
          <w:rFonts w:ascii="Arial" w:cs="Arial" w:eastAsia="Arial" w:hAnsi="Arial"/>
          <w:sz w:val="17"/>
          <w:szCs w:val="17"/>
          <w:color w:val="auto"/>
        </w:rPr>
      </w:pPr>
    </w:p>
    <w:p>
      <w:pPr>
        <w:ind w:left="1060" w:hanging="404"/>
        <w:spacing w:after="0" w:line="277" w:lineRule="auto"/>
        <w:tabs>
          <w:tab w:leader="none" w:pos="1060" w:val="left"/>
        </w:tabs>
        <w:numPr>
          <w:ilvl w:val="3"/>
          <w:numId w:val="320"/>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29, 2021</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3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890"/>
            <wp:wrapNone/>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75">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1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94" w:name="page295"/>
    <w:bookmarkEnd w:id="294"/>
    <w:p>
      <w:pPr>
        <w:jc w:val="right"/>
        <w:spacing w:after="0"/>
        <w:rPr>
          <w:sz w:val="20"/>
          <w:szCs w:val="20"/>
          <w:color w:val="auto"/>
        </w:rPr>
      </w:pPr>
      <w:r>
        <w:rPr>
          <w:rFonts w:ascii="Arial" w:cs="Arial" w:eastAsia="Arial" w:hAnsi="Arial"/>
          <w:sz w:val="18"/>
          <w:szCs w:val="18"/>
          <w:b w:val="1"/>
          <w:bCs w:val="1"/>
          <w:color w:val="auto"/>
        </w:rPr>
        <w:t>Exhibit 12.2</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certify that:</w:t>
      </w:r>
    </w:p>
    <w:p>
      <w:pPr>
        <w:spacing w:after="0" w:line="225" w:lineRule="exact"/>
        <w:rPr>
          <w:sz w:val="20"/>
          <w:szCs w:val="20"/>
          <w:color w:val="auto"/>
        </w:rPr>
      </w:pPr>
    </w:p>
    <w:p>
      <w:pPr>
        <w:ind w:left="660" w:hanging="652"/>
        <w:spacing w:after="0"/>
        <w:tabs>
          <w:tab w:leader="none" w:pos="660" w:val="left"/>
        </w:tabs>
        <w:numPr>
          <w:ilvl w:val="0"/>
          <w:numId w:val="321"/>
        </w:numPr>
        <w:rPr>
          <w:rFonts w:ascii="Arial" w:cs="Arial" w:eastAsia="Arial" w:hAnsi="Arial"/>
          <w:sz w:val="18"/>
          <w:szCs w:val="18"/>
          <w:color w:val="auto"/>
        </w:rPr>
      </w:pPr>
      <w:r>
        <w:rPr>
          <w:rFonts w:ascii="Arial" w:cs="Arial" w:eastAsia="Arial" w:hAnsi="Arial"/>
          <w:sz w:val="18"/>
          <w:szCs w:val="18"/>
          <w:color w:val="auto"/>
        </w:rPr>
        <w:t>I have reviewed this Annual Report on Form 20-F of Banco Latinoamericano de Comercio Exterior, S.A.;</w:t>
      </w:r>
    </w:p>
    <w:p>
      <w:pPr>
        <w:spacing w:after="0" w:line="225" w:lineRule="exact"/>
        <w:rPr>
          <w:rFonts w:ascii="Arial" w:cs="Arial" w:eastAsia="Arial" w:hAnsi="Arial"/>
          <w:sz w:val="18"/>
          <w:szCs w:val="18"/>
          <w:color w:val="auto"/>
        </w:rPr>
      </w:pPr>
    </w:p>
    <w:p>
      <w:pPr>
        <w:jc w:val="both"/>
        <w:ind w:left="660" w:hanging="652"/>
        <w:spacing w:after="0" w:line="263" w:lineRule="auto"/>
        <w:tabs>
          <w:tab w:leader="none" w:pos="660" w:val="left"/>
        </w:tabs>
        <w:numPr>
          <w:ilvl w:val="0"/>
          <w:numId w:val="321"/>
        </w:numPr>
        <w:rPr>
          <w:rFonts w:ascii="Arial" w:cs="Arial" w:eastAsia="Arial" w:hAnsi="Arial"/>
          <w:sz w:val="18"/>
          <w:szCs w:val="18"/>
          <w:color w:val="auto"/>
        </w:rPr>
      </w:pPr>
      <w:r>
        <w:rPr>
          <w:rFonts w:ascii="Arial" w:cs="Arial" w:eastAsia="Arial" w:hAnsi="Arial"/>
          <w:sz w:val="18"/>
          <w:szCs w:val="18"/>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83" w:lineRule="exact"/>
        <w:rPr>
          <w:rFonts w:ascii="Arial" w:cs="Arial" w:eastAsia="Arial" w:hAnsi="Arial"/>
          <w:sz w:val="18"/>
          <w:szCs w:val="18"/>
          <w:color w:val="auto"/>
        </w:rPr>
      </w:pPr>
    </w:p>
    <w:p>
      <w:pPr>
        <w:ind w:left="660" w:hanging="652"/>
        <w:spacing w:after="0" w:line="308" w:lineRule="auto"/>
        <w:tabs>
          <w:tab w:leader="none" w:pos="660" w:val="left"/>
        </w:tabs>
        <w:numPr>
          <w:ilvl w:val="0"/>
          <w:numId w:val="321"/>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46" w:lineRule="exact"/>
        <w:rPr>
          <w:rFonts w:ascii="Arial" w:cs="Arial" w:eastAsia="Arial" w:hAnsi="Arial"/>
          <w:sz w:val="17"/>
          <w:szCs w:val="17"/>
          <w:color w:val="auto"/>
        </w:rPr>
      </w:pPr>
    </w:p>
    <w:p>
      <w:pPr>
        <w:jc w:val="both"/>
        <w:ind w:left="660" w:hanging="652"/>
        <w:spacing w:after="0" w:line="263" w:lineRule="auto"/>
        <w:tabs>
          <w:tab w:leader="none" w:pos="660" w:val="left"/>
        </w:tabs>
        <w:numPr>
          <w:ilvl w:val="0"/>
          <w:numId w:val="321"/>
        </w:numPr>
        <w:rPr>
          <w:rFonts w:ascii="Arial" w:cs="Arial" w:eastAsia="Arial" w:hAnsi="Arial"/>
          <w:sz w:val="18"/>
          <w:szCs w:val="18"/>
          <w:color w:val="auto"/>
        </w:rPr>
      </w:pPr>
      <w:r>
        <w:rPr>
          <w:rFonts w:ascii="Arial" w:cs="Arial" w:eastAsia="Arial" w:hAnsi="Arial"/>
          <w:sz w:val="18"/>
          <w:szCs w:val="18"/>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321"/>
        </w:numPr>
        <w:rPr>
          <w:rFonts w:ascii="Arial" w:cs="Arial" w:eastAsia="Arial" w:hAnsi="Arial"/>
          <w:sz w:val="18"/>
          <w:szCs w:val="18"/>
          <w:color w:val="auto"/>
        </w:rPr>
      </w:pPr>
      <w:r>
        <w:rPr>
          <w:rFonts w:ascii="Arial" w:cs="Arial" w:eastAsia="Arial" w:hAnsi="Arial"/>
          <w:sz w:val="18"/>
          <w:szCs w:val="18"/>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83"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321"/>
        </w:numPr>
        <w:rPr>
          <w:rFonts w:ascii="Arial" w:cs="Arial" w:eastAsia="Arial" w:hAnsi="Arial"/>
          <w:sz w:val="18"/>
          <w:szCs w:val="18"/>
          <w:color w:val="auto"/>
        </w:rPr>
      </w:pPr>
      <w:r>
        <w:rPr>
          <w:rFonts w:ascii="Arial" w:cs="Arial" w:eastAsia="Arial" w:hAnsi="Arial"/>
          <w:sz w:val="18"/>
          <w:szCs w:val="18"/>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83" w:lineRule="exact"/>
        <w:rPr>
          <w:rFonts w:ascii="Arial" w:cs="Arial" w:eastAsia="Arial" w:hAnsi="Arial"/>
          <w:sz w:val="18"/>
          <w:szCs w:val="18"/>
          <w:color w:val="auto"/>
        </w:rPr>
      </w:pPr>
    </w:p>
    <w:p>
      <w:pPr>
        <w:ind w:left="980" w:right="20" w:hanging="324"/>
        <w:spacing w:after="0" w:line="342" w:lineRule="auto"/>
        <w:tabs>
          <w:tab w:leader="none" w:pos="980" w:val="left"/>
        </w:tabs>
        <w:numPr>
          <w:ilvl w:val="1"/>
          <w:numId w:val="321"/>
        </w:numPr>
        <w:rPr>
          <w:rFonts w:ascii="Arial" w:cs="Arial" w:eastAsia="Arial" w:hAnsi="Arial"/>
          <w:sz w:val="16"/>
          <w:szCs w:val="16"/>
          <w:color w:val="auto"/>
        </w:rPr>
      </w:pPr>
      <w:r>
        <w:rPr>
          <w:rFonts w:ascii="Arial" w:cs="Arial" w:eastAsia="Arial" w:hAnsi="Arial"/>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3" w:lineRule="exact"/>
        <w:rPr>
          <w:rFonts w:ascii="Arial" w:cs="Arial" w:eastAsia="Arial" w:hAnsi="Arial"/>
          <w:sz w:val="16"/>
          <w:szCs w:val="16"/>
          <w:color w:val="auto"/>
        </w:rPr>
      </w:pPr>
    </w:p>
    <w:p>
      <w:pPr>
        <w:jc w:val="both"/>
        <w:ind w:left="980" w:hanging="324"/>
        <w:spacing w:after="0" w:line="263" w:lineRule="auto"/>
        <w:tabs>
          <w:tab w:leader="none" w:pos="980" w:val="left"/>
        </w:tabs>
        <w:numPr>
          <w:ilvl w:val="1"/>
          <w:numId w:val="321"/>
        </w:numPr>
        <w:rPr>
          <w:rFonts w:ascii="Arial" w:cs="Arial" w:eastAsia="Arial" w:hAnsi="Arial"/>
          <w:sz w:val="18"/>
          <w:szCs w:val="18"/>
          <w:color w:val="auto"/>
        </w:rPr>
      </w:pPr>
      <w:r>
        <w:rPr>
          <w:rFonts w:ascii="Arial" w:cs="Arial" w:eastAsia="Arial" w:hAnsi="Arial"/>
          <w:sz w:val="18"/>
          <w:szCs w:val="18"/>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83" w:lineRule="exact"/>
        <w:rPr>
          <w:rFonts w:ascii="Arial" w:cs="Arial" w:eastAsia="Arial" w:hAnsi="Arial"/>
          <w:sz w:val="18"/>
          <w:szCs w:val="18"/>
          <w:color w:val="auto"/>
        </w:rPr>
      </w:pPr>
    </w:p>
    <w:p>
      <w:pPr>
        <w:ind w:left="660" w:right="20" w:hanging="652"/>
        <w:spacing w:after="0" w:line="308" w:lineRule="auto"/>
        <w:tabs>
          <w:tab w:leader="none" w:pos="660" w:val="left"/>
        </w:tabs>
        <w:numPr>
          <w:ilvl w:val="0"/>
          <w:numId w:val="321"/>
        </w:numPr>
        <w:rPr>
          <w:rFonts w:ascii="Arial" w:cs="Arial" w:eastAsia="Arial" w:hAnsi="Arial"/>
          <w:sz w:val="17"/>
          <w:szCs w:val="17"/>
          <w:color w:val="auto"/>
        </w:rPr>
      </w:pPr>
      <w:r>
        <w:rPr>
          <w:rFonts w:ascii="Arial" w:cs="Arial" w:eastAsia="Arial" w:hAnsi="Arial"/>
          <w:sz w:val="17"/>
          <w:szCs w:val="17"/>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46" w:lineRule="exact"/>
        <w:rPr>
          <w:rFonts w:ascii="Arial" w:cs="Arial" w:eastAsia="Arial" w:hAnsi="Arial"/>
          <w:sz w:val="17"/>
          <w:szCs w:val="17"/>
          <w:color w:val="auto"/>
        </w:rPr>
      </w:pPr>
    </w:p>
    <w:p>
      <w:pPr>
        <w:ind w:left="1040" w:hanging="384"/>
        <w:spacing w:after="0" w:line="308" w:lineRule="auto"/>
        <w:tabs>
          <w:tab w:leader="none" w:pos="1040" w:val="left"/>
        </w:tabs>
        <w:numPr>
          <w:ilvl w:val="1"/>
          <w:numId w:val="321"/>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6" w:lineRule="exact"/>
        <w:rPr>
          <w:rFonts w:ascii="Arial" w:cs="Arial" w:eastAsia="Arial" w:hAnsi="Arial"/>
          <w:sz w:val="17"/>
          <w:szCs w:val="17"/>
          <w:color w:val="auto"/>
        </w:rPr>
      </w:pPr>
    </w:p>
    <w:p>
      <w:pPr>
        <w:ind w:left="1060" w:hanging="404"/>
        <w:spacing w:after="0" w:line="277" w:lineRule="auto"/>
        <w:tabs>
          <w:tab w:leader="none" w:pos="1060" w:val="left"/>
        </w:tabs>
        <w:numPr>
          <w:ilvl w:val="1"/>
          <w:numId w:val="321"/>
        </w:numPr>
        <w:rPr>
          <w:rFonts w:ascii="Arial" w:cs="Arial" w:eastAsia="Arial" w:hAnsi="Arial"/>
          <w:sz w:val="18"/>
          <w:szCs w:val="18"/>
          <w:color w:val="auto"/>
        </w:rPr>
      </w:pPr>
      <w:r>
        <w:rPr>
          <w:rFonts w:ascii="Arial" w:cs="Arial" w:eastAsia="Arial" w:hAnsi="Arial"/>
          <w:sz w:val="18"/>
          <w:szCs w:val="18"/>
          <w:color w:val="auto"/>
        </w:rPr>
        <w:t>Any fraud, whether or not material, that involves management or other employees who have a significant role in the company’s internal control over financial reporting.</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29, 2021</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3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255"/>
            <wp:wrapNone/>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77">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1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132320" cy="8255"/>
            <wp:wrapNone/>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47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95" w:name="page296"/>
    <w:bookmarkEnd w:id="295"/>
    <w:p>
      <w:pPr>
        <w:jc w:val="right"/>
        <w:spacing w:after="0"/>
        <w:rPr>
          <w:sz w:val="20"/>
          <w:szCs w:val="20"/>
          <w:color w:val="auto"/>
        </w:rPr>
      </w:pPr>
      <w:r>
        <w:rPr>
          <w:rFonts w:ascii="Arial" w:cs="Arial" w:eastAsia="Arial" w:hAnsi="Arial"/>
          <w:sz w:val="18"/>
          <w:szCs w:val="18"/>
          <w:b w:val="1"/>
          <w:bCs w:val="1"/>
          <w:color w:val="auto"/>
        </w:rPr>
        <w:t>Exhibit 13.1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2020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Jorge Salas, the Chief Executive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322"/>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322"/>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29, 2021</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3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Jorge Salas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89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479">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1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64" w:right="339" w:bottom="1440" w:gutter="0" w:footer="0" w:header="0"/>
        </w:sectPr>
      </w:pPr>
    </w:p>
    <w:bookmarkStart w:id="296" w:name="page297"/>
    <w:bookmarkEnd w:id="296"/>
    <w:p>
      <w:pPr>
        <w:jc w:val="right"/>
        <w:spacing w:after="0"/>
        <w:rPr>
          <w:sz w:val="20"/>
          <w:szCs w:val="20"/>
          <w:color w:val="auto"/>
        </w:rPr>
      </w:pPr>
      <w:r>
        <w:rPr>
          <w:rFonts w:ascii="Arial" w:cs="Arial" w:eastAsia="Arial" w:hAnsi="Arial"/>
          <w:sz w:val="18"/>
          <w:szCs w:val="18"/>
          <w:b w:val="1"/>
          <w:bCs w:val="1"/>
          <w:color w:val="auto"/>
        </w:rPr>
        <w:t>Exhibit 13.2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CERTIFICATION</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This certification is provided pursuant to Section 906 of the Sarbanes-Oxley Act of 2002, and accompanies the Annual Report on Form 20-F (the “Report”) for the period ended December 31, 2020 of Banco Latinoamericano de Comercio Exterior, S.A.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I, Ana Graciela de Méndez, the Chief Financial Officer of the Company, certify that:</w:t>
      </w:r>
    </w:p>
    <w:p>
      <w:pPr>
        <w:spacing w:after="0" w:line="225" w:lineRule="exact"/>
        <w:rPr>
          <w:sz w:val="20"/>
          <w:szCs w:val="20"/>
          <w:color w:val="auto"/>
        </w:rPr>
      </w:pPr>
    </w:p>
    <w:p>
      <w:pPr>
        <w:ind w:left="1040" w:hanging="384"/>
        <w:spacing w:after="0"/>
        <w:tabs>
          <w:tab w:leader="none" w:pos="1040" w:val="left"/>
        </w:tabs>
        <w:numPr>
          <w:ilvl w:val="0"/>
          <w:numId w:val="323"/>
        </w:numPr>
        <w:rPr>
          <w:rFonts w:ascii="Arial" w:cs="Arial" w:eastAsia="Arial" w:hAnsi="Arial"/>
          <w:sz w:val="16"/>
          <w:szCs w:val="16"/>
          <w:color w:val="auto"/>
        </w:rPr>
      </w:pPr>
      <w:r>
        <w:rPr>
          <w:rFonts w:ascii="Arial" w:cs="Arial" w:eastAsia="Arial" w:hAnsi="Arial"/>
          <w:sz w:val="16"/>
          <w:szCs w:val="16"/>
          <w:color w:val="auto"/>
        </w:rPr>
        <w:t>The Report fully complies with the requirements of Section 13(a) or Section 15(d) of the Securities Exchange Act of 1934, as amended; and</w:t>
      </w:r>
    </w:p>
    <w:p>
      <w:pPr>
        <w:spacing w:after="0" w:line="248" w:lineRule="exact"/>
        <w:rPr>
          <w:rFonts w:ascii="Arial" w:cs="Arial" w:eastAsia="Arial" w:hAnsi="Arial"/>
          <w:sz w:val="16"/>
          <w:szCs w:val="16"/>
          <w:color w:val="auto"/>
        </w:rPr>
      </w:pPr>
    </w:p>
    <w:p>
      <w:pPr>
        <w:ind w:left="1060" w:hanging="404"/>
        <w:spacing w:after="0" w:line="277" w:lineRule="auto"/>
        <w:tabs>
          <w:tab w:leader="none" w:pos="1060" w:val="left"/>
        </w:tabs>
        <w:numPr>
          <w:ilvl w:val="0"/>
          <w:numId w:val="323"/>
        </w:numPr>
        <w:rPr>
          <w:rFonts w:ascii="Arial" w:cs="Arial" w:eastAsia="Arial" w:hAnsi="Arial"/>
          <w:sz w:val="18"/>
          <w:szCs w:val="18"/>
          <w:color w:val="auto"/>
        </w:rPr>
      </w:pPr>
      <w:r>
        <w:rPr>
          <w:rFonts w:ascii="Arial" w:cs="Arial" w:eastAsia="Arial" w:hAnsi="Arial"/>
          <w:sz w:val="18"/>
          <w:szCs w:val="18"/>
          <w:color w:val="auto"/>
        </w:rPr>
        <w:t>The information contained in the Report fairly presents, in all material respects, the financial condition and results of operations of the Company.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29, 2021</w:t>
      </w:r>
    </w:p>
    <w:p>
      <w:pPr>
        <w:spacing w:after="0" w:line="252" w:lineRule="exact"/>
        <w:rPr>
          <w:sz w:val="20"/>
          <w:szCs w:val="20"/>
          <w:color w:val="auto"/>
        </w:rPr>
      </w:pPr>
    </w:p>
    <w:p>
      <w:pPr>
        <w:spacing w:after="0"/>
        <w:rPr>
          <w:sz w:val="20"/>
          <w:szCs w:val="20"/>
          <w:color w:val="auto"/>
        </w:rPr>
      </w:pPr>
      <w:r>
        <w:rPr>
          <w:rFonts w:ascii="Arial" w:cs="Arial" w:eastAsia="Arial" w:hAnsi="Arial"/>
          <w:sz w:val="18"/>
          <w:szCs w:val="18"/>
          <w:color w:val="auto"/>
        </w:rPr>
        <w:t>By:</w:t>
      </w:r>
    </w:p>
    <w:p>
      <w:pPr>
        <w:spacing w:after="0" w:line="3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219075</wp:posOffset>
            </wp:positionH>
            <wp:positionV relativeFrom="paragraph">
              <wp:posOffset>14605</wp:posOffset>
            </wp:positionV>
            <wp:extent cx="3351530" cy="889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481">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1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255"/>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48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36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81"/>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 w:name="Arial Unicode MS">
    <w:panose1 w:val="020B0604020202020204"/>
    <w:charset w:val="81"/>
    <w:family w:val="swiss"/>
    <w:pitch w:val="variable"/>
    <w:sig w:usb0="FFFFFFFF" w:usb1="E9FFFFFF" w:usb2="0000003F" w:usb3="00000000" w:csb0="603F01FF" w:csb1="FFFF0000"/>
  </w:font>
</w:fonts>
</file>

<file path=word/numbering.xml><?xml version="1.0" encoding="utf-8"?>
<w:numbering xmlns:w="http://schemas.openxmlformats.org/wordprocessingml/2006/main">
  <w:abstractNum w:abstractNumId="0">
    <w:nsid w:val="1C695DEC"/>
    <w:multiLevelType w:val="hybridMultilevel"/>
    <w:lvl w:ilvl="0">
      <w:lvlJc w:val="left"/>
      <w:lvlText w:val="☐"/>
      <w:numFmt w:val="bullet"/>
      <w:start w:val="1"/>
    </w:lvl>
  </w:abstractNum>
  <w:abstractNum w:abstractNumId="1">
    <w:nsid w:val="3FCFAED9"/>
    <w:multiLevelType w:val="hybridMultilevel"/>
    <w:lvl w:ilvl="0">
      <w:lvlJc w:val="left"/>
      <w:lvlText w:val="☒"/>
      <w:numFmt w:val="bullet"/>
      <w:start w:val="1"/>
    </w:lvl>
  </w:abstractNum>
  <w:abstractNum w:abstractNumId="2">
    <w:nsid w:val="F856867"/>
    <w:multiLevelType w:val="hybridMultilevel"/>
    <w:lvl w:ilvl="0">
      <w:lvlJc w:val="left"/>
      <w:lvlText w:val="☐"/>
      <w:numFmt w:val="bullet"/>
      <w:start w:val="1"/>
    </w:lvl>
  </w:abstractNum>
  <w:abstractNum w:abstractNumId="3">
    <w:nsid w:val="11B1CC33"/>
    <w:multiLevelType w:val="hybridMultilevel"/>
    <w:lvl w:ilvl="0">
      <w:lvlJc w:val="left"/>
      <w:lvlText w:val="☐"/>
      <w:numFmt w:val="bullet"/>
      <w:start w:val="1"/>
    </w:lvl>
  </w:abstractNum>
  <w:abstractNum w:abstractNumId="4">
    <w:nsid w:val="2E22FBB7"/>
    <w:multiLevelType w:val="hybridMultilevel"/>
    <w:lvl w:ilvl="0">
      <w:lvlJc w:val="left"/>
      <w:lvlText w:val="0"/>
      <w:numFmt w:val="bullet"/>
      <w:start w:val="1"/>
    </w:lvl>
  </w:abstractNum>
  <w:abstractNum w:abstractNumId="5">
    <w:nsid w:val="29934699"/>
    <w:multiLevelType w:val="hybridMultilevel"/>
    <w:lvl w:ilvl="0">
      <w:lvlJc w:val="left"/>
      <w:lvlText w:val="†"/>
      <w:numFmt w:val="bullet"/>
      <w:start w:val="1"/>
    </w:lvl>
  </w:abstractNum>
  <w:abstractNum w:abstractNumId="6">
    <w:nsid w:val="77485850"/>
    <w:multiLevelType w:val="hybridMultilevel"/>
    <w:lvl w:ilvl="0">
      <w:lvlJc w:val="left"/>
      <w:lvlText w:val="·"/>
      <w:numFmt w:val="bullet"/>
      <w:start w:val="1"/>
    </w:lvl>
  </w:abstractNum>
  <w:abstractNum w:abstractNumId="7">
    <w:nsid w:val="744939A3"/>
    <w:multiLevelType w:val="hybridMultilevel"/>
    <w:lvl w:ilvl="0">
      <w:lvlJc w:val="left"/>
      <w:lvlText w:val="·"/>
      <w:numFmt w:val="bullet"/>
      <w:start w:val="1"/>
    </w:lvl>
  </w:abstractNum>
  <w:abstractNum w:abstractNumId="8">
    <w:nsid w:val="4FA0D2E3"/>
    <w:multiLevelType w:val="hybridMultilevel"/>
    <w:lvl w:ilvl="0">
      <w:lvlJc w:val="left"/>
      <w:lvlText w:val="%1."/>
      <w:numFmt w:val="upperLetter"/>
      <w:start w:val="1"/>
    </w:lvl>
  </w:abstractNum>
  <w:abstractNum w:abstractNumId="9">
    <w:nsid w:val="6B1D2C14"/>
    <w:multiLevelType w:val="hybridMultilevel"/>
    <w:lvl w:ilvl="0">
      <w:lvlJc w:val="left"/>
      <w:lvlText w:val="(%1)"/>
      <w:numFmt w:val="decimal"/>
      <w:start w:val="1"/>
    </w:lvl>
  </w:abstractNum>
  <w:abstractNum w:abstractNumId="10">
    <w:nsid w:val="68B867D3"/>
    <w:multiLevelType w:val="hybridMultilevel"/>
    <w:lvl w:ilvl="0">
      <w:lvlJc w:val="left"/>
      <w:lvlText w:val="(%1)"/>
      <w:numFmt w:val="decimal"/>
      <w:start w:val="5"/>
    </w:lvl>
  </w:abstractNum>
  <w:abstractNum w:abstractNumId="11">
    <w:nsid w:val="3F7F5DD9"/>
    <w:multiLevelType w:val="hybridMultilevel"/>
    <w:lvl w:ilvl="0">
      <w:lvlJc w:val="left"/>
      <w:lvlText w:val="(%1)"/>
      <w:numFmt w:val="decimal"/>
      <w:start w:val="9"/>
    </w:lvl>
  </w:abstractNum>
  <w:abstractNum w:abstractNumId="12">
    <w:nsid w:val="2AE05A34"/>
    <w:multiLevelType w:val="hybridMultilevel"/>
    <w:lvl w:ilvl="0">
      <w:lvlJc w:val="left"/>
      <w:lvlText w:val="%1."/>
      <w:numFmt w:val="upperLetter"/>
      <w:start w:val="2"/>
    </w:lvl>
  </w:abstractNum>
  <w:abstractNum w:abstractNumId="13">
    <w:nsid w:val="32794FF7"/>
    <w:multiLevelType w:val="hybridMultilevel"/>
    <w:lvl w:ilvl="0">
      <w:lvlJc w:val="left"/>
      <w:lvlText w:val="%1."/>
      <w:numFmt w:val="upperLetter"/>
      <w:start w:val="3"/>
    </w:lvl>
  </w:abstractNum>
  <w:abstractNum w:abstractNumId="14">
    <w:nsid w:val="5454945E"/>
    <w:multiLevelType w:val="hybridMultilevel"/>
    <w:lvl w:ilvl="0">
      <w:lvlJc w:val="left"/>
      <w:lvlText w:val="%1."/>
      <w:numFmt w:val="upperLetter"/>
      <w:start w:val="4"/>
    </w:lvl>
  </w:abstractNum>
  <w:abstractNum w:abstractNumId="15">
    <w:nsid w:val="4DEFDFA0"/>
    <w:multiLevelType w:val="hybridMultilevel"/>
    <w:lvl w:ilvl="0">
      <w:lvlJc w:val="left"/>
      <w:lvlText w:val="•"/>
      <w:numFmt w:val="bullet"/>
      <w:start w:val="1"/>
    </w:lvl>
  </w:abstractNum>
  <w:abstractNum w:abstractNumId="16">
    <w:nsid w:val="2123D5F2"/>
    <w:multiLevelType w:val="hybridMultilevel"/>
    <w:lvl w:ilvl="0">
      <w:lvlJc w:val="left"/>
      <w:lvlText w:val="•"/>
      <w:numFmt w:val="bullet"/>
      <w:start w:val="1"/>
    </w:lvl>
  </w:abstractNum>
  <w:abstractNum w:abstractNumId="17">
    <w:nsid w:val="135B8110"/>
    <w:multiLevelType w:val="hybridMultilevel"/>
    <w:lvl w:ilvl="0">
      <w:lvlJc w:val="left"/>
      <w:lvlText w:val="%1"/>
      <w:numFmt w:val="upperLetter"/>
      <w:start w:val="61"/>
    </w:lvl>
  </w:abstractNum>
  <w:abstractNum w:abstractNumId="18">
    <w:nsid w:val="94927A8"/>
    <w:multiLevelType w:val="hybridMultilevel"/>
    <w:lvl w:ilvl="0">
      <w:lvlJc w:val="left"/>
      <w:lvlText w:val="%1."/>
      <w:numFmt w:val="upperLetter"/>
      <w:start w:val="1"/>
    </w:lvl>
  </w:abstractNum>
  <w:abstractNum w:abstractNumId="19">
    <w:nsid w:val="DCDF8F6"/>
    <w:multiLevelType w:val="hybridMultilevel"/>
    <w:lvl w:ilvl="0">
      <w:lvlJc w:val="left"/>
      <w:lvlText w:val="-"/>
      <w:numFmt w:val="bullet"/>
      <w:start w:val="1"/>
    </w:lvl>
  </w:abstractNum>
  <w:abstractNum w:abstractNumId="20">
    <w:nsid w:val="52D7B105"/>
    <w:multiLevelType w:val="hybridMultilevel"/>
    <w:lvl w:ilvl="0">
      <w:lvlJc w:val="left"/>
      <w:lvlText w:val="%1."/>
      <w:numFmt w:val="upperLetter"/>
      <w:start w:val="2"/>
    </w:lvl>
  </w:abstractNum>
  <w:abstractNum w:abstractNumId="21">
    <w:nsid w:val="2E8A6394"/>
    <w:multiLevelType w:val="hybridMultilevel"/>
    <w:lvl w:ilvl="0">
      <w:lvlJc w:val="left"/>
      <w:lvlText w:val="%1)"/>
      <w:numFmt w:val="lowerRoman"/>
      <w:start w:val="1"/>
    </w:lvl>
  </w:abstractNum>
  <w:abstractNum w:abstractNumId="22">
    <w:nsid w:val="24E60401"/>
    <w:multiLevelType w:val="hybridMultilevel"/>
    <w:lvl w:ilvl="0">
      <w:lvlJc w:val="left"/>
      <w:lvlText w:val="(%1)"/>
      <w:numFmt w:val="decimal"/>
      <w:start w:val="1"/>
    </w:lvl>
  </w:abstractNum>
  <w:abstractNum w:abstractNumId="23">
    <w:nsid w:val="2A6AD9BE"/>
    <w:multiLevelType w:val="hybridMultilevel"/>
    <w:lvl w:ilvl="0">
      <w:lvlJc w:val="left"/>
      <w:lvlText w:val="%1)"/>
      <w:numFmt w:val="decimal"/>
      <w:start w:val="1"/>
    </w:lvl>
  </w:abstractNum>
  <w:abstractNum w:abstractNumId="24">
    <w:nsid w:val="BAAC1B4"/>
    <w:multiLevelType w:val="hybridMultilevel"/>
    <w:lvl w:ilvl="0">
      <w:lvlJc w:val="left"/>
      <w:lvlText w:val="(%1)"/>
      <w:numFmt w:val="lowerRoman"/>
      <w:start w:val="1"/>
    </w:lvl>
  </w:abstractNum>
  <w:abstractNum w:abstractNumId="25">
    <w:nsid w:val="36B2ACBC"/>
    <w:multiLevelType w:val="hybridMultilevel"/>
    <w:lvl w:ilvl="0">
      <w:lvlJc w:val="left"/>
      <w:lvlText w:val="(%1)"/>
      <w:numFmt w:val="lowerRoman"/>
      <w:start w:val="2"/>
    </w:lvl>
  </w:abstractNum>
  <w:abstractNum w:abstractNumId="26">
    <w:nsid w:val="779D8544"/>
    <w:multiLevelType w:val="hybridMultilevel"/>
    <w:lvl w:ilvl="0">
      <w:lvlJc w:val="left"/>
      <w:lvlText w:val="(%1)"/>
      <w:numFmt w:val="lowerLetter"/>
      <w:start w:val="11"/>
    </w:lvl>
  </w:abstractNum>
  <w:abstractNum w:abstractNumId="27">
    <w:nsid w:val="4AB26E78"/>
    <w:multiLevelType w:val="hybridMultilevel"/>
    <w:lvl w:ilvl="0">
      <w:lvlJc w:val="left"/>
      <w:lvlText w:val="·"/>
      <w:numFmt w:val="bullet"/>
      <w:start w:val="1"/>
    </w:lvl>
  </w:abstractNum>
  <w:abstractNum w:abstractNumId="28">
    <w:nsid w:val="21FAA2FA"/>
    <w:multiLevelType w:val="hybridMultilevel"/>
    <w:lvl w:ilvl="0">
      <w:lvlJc w:val="left"/>
      <w:lvlText w:val="·"/>
      <w:numFmt w:val="bullet"/>
      <w:start w:val="1"/>
    </w:lvl>
  </w:abstractNum>
  <w:abstractNum w:abstractNumId="29">
    <w:nsid w:val="5451CF49"/>
    <w:multiLevelType w:val="hybridMultilevel"/>
    <w:lvl w:ilvl="0">
      <w:lvlJc w:val="left"/>
      <w:lvlText w:val="%1."/>
      <w:numFmt w:val="upperLetter"/>
      <w:start w:val="3"/>
    </w:lvl>
  </w:abstractNum>
  <w:abstractNum w:abstractNumId="30">
    <w:nsid w:val="6181EF69"/>
    <w:multiLevelType w:val="hybridMultilevel"/>
    <w:lvl w:ilvl="0">
      <w:lvlJc w:val="left"/>
      <w:lvlText w:val="%1."/>
      <w:numFmt w:val="upperLetter"/>
      <w:start w:val="4"/>
    </w:lvl>
  </w:abstractNum>
  <w:abstractNum w:abstractNumId="31">
    <w:nsid w:val="3E6400E6"/>
    <w:multiLevelType w:val="hybridMultilevel"/>
    <w:lvl w:ilvl="0">
      <w:lvlJc w:val="left"/>
      <w:lvlText w:val="%1."/>
      <w:numFmt w:val="upperLetter"/>
      <w:start w:val="1"/>
    </w:lvl>
  </w:abstractNum>
  <w:abstractNum w:abstractNumId="32">
    <w:nsid w:val="14217E23"/>
    <w:multiLevelType w:val="hybridMultilevel"/>
    <w:lvl w:ilvl="0">
      <w:lvlJc w:val="left"/>
      <w:lvlText w:val="(%1)"/>
      <w:numFmt w:val="decimal"/>
      <w:start w:val="1"/>
    </w:lvl>
  </w:abstractNum>
  <w:abstractNum w:abstractNumId="33">
    <w:nsid w:val="710757D0"/>
    <w:multiLevelType w:val="hybridMultilevel"/>
    <w:lvl w:ilvl="0">
      <w:lvlJc w:val="left"/>
      <w:lvlText w:val="(*)"/>
      <w:numFmt w:val="bullet"/>
      <w:start w:val="1"/>
    </w:lvl>
  </w:abstractNum>
  <w:abstractNum w:abstractNumId="34">
    <w:nsid w:val="5015CD1A"/>
    <w:multiLevelType w:val="hybridMultilevel"/>
    <w:lvl w:ilvl="0">
      <w:lvlJc w:val="left"/>
      <w:lvlText w:val="(%1)"/>
      <w:numFmt w:val="decimal"/>
      <w:start w:val="1"/>
    </w:lvl>
  </w:abstractNum>
  <w:abstractNum w:abstractNumId="35">
    <w:nsid w:val="424479DA"/>
    <w:multiLevelType w:val="hybridMultilevel"/>
    <w:lvl w:ilvl="0">
      <w:lvlJc w:val="left"/>
      <w:lvlText w:val="(%1)"/>
      <w:numFmt w:val="decimal"/>
      <w:start w:val="1"/>
    </w:lvl>
  </w:abstractNum>
  <w:abstractNum w:abstractNumId="36">
    <w:nsid w:val="1A9A9E69"/>
    <w:multiLevelType w:val="hybridMultilevel"/>
    <w:lvl w:ilvl="0">
      <w:lvlJc w:val="left"/>
      <w:lvlText w:val="-"/>
      <w:numFmt w:val="bullet"/>
      <w:start w:val="1"/>
    </w:lvl>
  </w:abstractNum>
  <w:abstractNum w:abstractNumId="37">
    <w:nsid w:val="475E256A"/>
    <w:multiLevelType w:val="hybridMultilevel"/>
    <w:lvl w:ilvl="0">
      <w:lvlJc w:val="left"/>
      <w:lvlText w:val="-"/>
      <w:numFmt w:val="bullet"/>
      <w:start w:val="1"/>
    </w:lvl>
  </w:abstractNum>
  <w:abstractNum w:abstractNumId="38">
    <w:nsid w:val="368DB37E"/>
    <w:multiLevelType w:val="hybridMultilevel"/>
    <w:lvl w:ilvl="0">
      <w:lvlJc w:val="left"/>
      <w:lvlText w:val="-"/>
      <w:numFmt w:val="bullet"/>
      <w:start w:val="1"/>
    </w:lvl>
  </w:abstractNum>
  <w:abstractNum w:abstractNumId="39">
    <w:nsid w:val="6A3B714C"/>
    <w:multiLevelType w:val="hybridMultilevel"/>
    <w:lvl w:ilvl="0">
      <w:lvlJc w:val="left"/>
      <w:lvlText w:val="-"/>
      <w:numFmt w:val="bullet"/>
      <w:start w:val="1"/>
    </w:lvl>
  </w:abstractNum>
  <w:abstractNum w:abstractNumId="40">
    <w:nsid w:val="327B517E"/>
    <w:multiLevelType w:val="hybridMultilevel"/>
    <w:lvl w:ilvl="0">
      <w:lvlJc w:val="left"/>
      <w:lvlText w:val="(%1)"/>
      <w:numFmt w:val="decimal"/>
      <w:start w:val="1"/>
    </w:lvl>
  </w:abstractNum>
  <w:abstractNum w:abstractNumId="41">
    <w:nsid w:val="1F461B51"/>
    <w:multiLevelType w:val="hybridMultilevel"/>
    <w:lvl w:ilvl="0">
      <w:lvlJc w:val="left"/>
      <w:lvlText w:val="(%1)"/>
      <w:numFmt w:val="lowerRoman"/>
      <w:start w:val="1"/>
    </w:lvl>
  </w:abstractNum>
  <w:abstractNum w:abstractNumId="42">
    <w:nsid w:val="29BACF25"/>
    <w:multiLevelType w:val="hybridMultilevel"/>
    <w:lvl w:ilvl="0">
      <w:lvlJc w:val="left"/>
      <w:lvlText w:val="-"/>
      <w:numFmt w:val="bullet"/>
      <w:start w:val="1"/>
    </w:lvl>
  </w:abstractNum>
  <w:abstractNum w:abstractNumId="43">
    <w:nsid w:val="5D5BABB3"/>
    <w:multiLevelType w:val="hybridMultilevel"/>
    <w:lvl w:ilvl="0">
      <w:lvlJc w:val="left"/>
      <w:lvlText w:val="-"/>
      <w:numFmt w:val="bullet"/>
      <w:start w:val="1"/>
    </w:lvl>
  </w:abstractNum>
  <w:abstractNum w:abstractNumId="44">
    <w:nsid w:val="51BF6B48"/>
    <w:multiLevelType w:val="hybridMultilevel"/>
    <w:lvl w:ilvl="0">
      <w:lvlJc w:val="left"/>
      <w:lvlText w:val="-"/>
      <w:numFmt w:val="bullet"/>
      <w:start w:val="1"/>
    </w:lvl>
  </w:abstractNum>
  <w:abstractNum w:abstractNumId="45">
    <w:nsid w:val="7E0F6384"/>
    <w:multiLevelType w:val="hybridMultilevel"/>
    <w:lvl w:ilvl="0">
      <w:lvlJc w:val="left"/>
      <w:lvlText w:val="-"/>
      <w:numFmt w:val="bullet"/>
      <w:start w:val="1"/>
    </w:lvl>
  </w:abstractNum>
  <w:abstractNum w:abstractNumId="46">
    <w:nsid w:val="2B4B8B53"/>
    <w:multiLevelType w:val="hybridMultilevel"/>
    <w:lvl w:ilvl="0">
      <w:lvlJc w:val="left"/>
      <w:lvlText w:val="%1."/>
      <w:numFmt w:val="decimal"/>
      <w:start w:val="1"/>
    </w:lvl>
  </w:abstractNum>
  <w:abstractNum w:abstractNumId="47">
    <w:nsid w:val="72E3413A"/>
    <w:multiLevelType w:val="hybridMultilevel"/>
    <w:lvl w:ilvl="0">
      <w:lvlJc w:val="left"/>
      <w:lvlText w:val="%1."/>
      <w:numFmt w:val="upperLetter"/>
      <w:start w:val="2"/>
    </w:lvl>
  </w:abstractNum>
  <w:abstractNum w:abstractNumId="48">
    <w:nsid w:val="116AE494"/>
    <w:multiLevelType w:val="hybridMultilevel"/>
    <w:lvl w:ilvl="0">
      <w:lvlJc w:val="left"/>
      <w:lvlText w:val="(*)"/>
      <w:numFmt w:val="bullet"/>
      <w:start w:val="1"/>
    </w:lvl>
  </w:abstractNum>
  <w:abstractNum w:abstractNumId="49">
    <w:nsid w:val="3494B2FB"/>
    <w:multiLevelType w:val="hybridMultilevel"/>
    <w:lvl w:ilvl="0">
      <w:lvlJc w:val="left"/>
      <w:lvlText w:val="%1)"/>
      <w:numFmt w:val="lowerRoman"/>
      <w:start w:val="1"/>
    </w:lvl>
  </w:abstractNum>
  <w:abstractNum w:abstractNumId="50">
    <w:nsid w:val="B13A31"/>
    <w:multiLevelType w:val="hybridMultilevel"/>
    <w:lvl w:ilvl="0">
      <w:lvlJc w:val="left"/>
      <w:lvlText w:val="(*)"/>
      <w:numFmt w:val="bullet"/>
      <w:start w:val="1"/>
    </w:lvl>
  </w:abstractNum>
  <w:abstractNum w:abstractNumId="51">
    <w:nsid w:val="64429599"/>
    <w:multiLevelType w:val="hybridMultilevel"/>
    <w:lvl w:ilvl="0">
      <w:lvlJc w:val="left"/>
      <w:lvlText w:val="(%1)"/>
      <w:numFmt w:val="decimal"/>
      <w:start w:val="1"/>
    </w:lvl>
  </w:abstractNum>
  <w:abstractNum w:abstractNumId="52">
    <w:nsid w:val="631F1690"/>
    <w:multiLevelType w:val="hybridMultilevel"/>
    <w:lvl w:ilvl="0">
      <w:lvlJc w:val="left"/>
      <w:lvlText w:val="%1."/>
      <w:numFmt w:val="upperLetter"/>
      <w:start w:val="3"/>
    </w:lvl>
  </w:abstractNum>
  <w:abstractNum w:abstractNumId="53">
    <w:nsid w:val="25973E32"/>
    <w:multiLevelType w:val="hybridMultilevel"/>
    <w:lvl w:ilvl="0">
      <w:lvlJc w:val="left"/>
      <w:lvlText w:val="%1."/>
      <w:numFmt w:val="upperLetter"/>
      <w:start w:val="4"/>
    </w:lvl>
  </w:abstractNum>
  <w:abstractNum w:abstractNumId="54">
    <w:nsid w:val="EAD6F57"/>
    <w:multiLevelType w:val="hybridMultilevel"/>
    <w:lvl w:ilvl="0">
      <w:lvlJc w:val="left"/>
      <w:lvlText w:val="·"/>
      <w:numFmt w:val="bullet"/>
      <w:start w:val="1"/>
    </w:lvl>
  </w:abstractNum>
  <w:abstractNum w:abstractNumId="55">
    <w:nsid w:val="6EC9D844"/>
    <w:multiLevelType w:val="hybridMultilevel"/>
    <w:lvl w:ilvl="0">
      <w:lvlJc w:val="left"/>
      <w:lvlText w:val="·"/>
      <w:numFmt w:val="bullet"/>
      <w:start w:val="1"/>
    </w:lvl>
    <w:lvl w:ilvl="1">
      <w:lvlJc w:val="left"/>
      <w:lvlText w:val="§"/>
      <w:numFmt w:val="bullet"/>
      <w:start w:val="1"/>
    </w:lvl>
  </w:abstractNum>
  <w:abstractNum w:abstractNumId="56">
    <w:nsid w:val="5C49EAEE"/>
    <w:multiLevelType w:val="hybridMultilevel"/>
    <w:lvl w:ilvl="0">
      <w:lvlJc w:val="left"/>
      <w:lvlText w:val="§"/>
      <w:numFmt w:val="bullet"/>
      <w:start w:val="1"/>
    </w:lvl>
  </w:abstractNum>
  <w:abstractNum w:abstractNumId="57">
    <w:nsid w:val="64AF49B"/>
    <w:multiLevelType w:val="hybridMultilevel"/>
    <w:lvl w:ilvl="0">
      <w:lvlJc w:val="left"/>
      <w:lvlText w:val="%1."/>
      <w:numFmt w:val="upperLetter"/>
      <w:start w:val="5"/>
    </w:lvl>
  </w:abstractNum>
  <w:abstractNum w:abstractNumId="58">
    <w:nsid w:val="397C46BC"/>
    <w:multiLevelType w:val="hybridMultilevel"/>
    <w:lvl w:ilvl="0">
      <w:lvlJc w:val="left"/>
      <w:lvlText w:val="%1."/>
      <w:numFmt w:val="upperLetter"/>
      <w:start w:val="6"/>
    </w:lvl>
  </w:abstractNum>
  <w:abstractNum w:abstractNumId="59">
    <w:nsid w:val="7E448DE9"/>
    <w:multiLevelType w:val="hybridMultilevel"/>
    <w:lvl w:ilvl="0">
      <w:lvlJc w:val="left"/>
      <w:lvlText w:val="(%1)"/>
      <w:numFmt w:val="decimal"/>
      <w:start w:val="1"/>
    </w:lvl>
  </w:abstractNum>
  <w:abstractNum w:abstractNumId="60">
    <w:nsid w:val="5A9CC3E5"/>
    <w:multiLevelType w:val="hybridMultilevel"/>
    <w:lvl w:ilvl="0">
      <w:lvlJc w:val="left"/>
      <w:lvlText w:val="(%1)"/>
      <w:numFmt w:val="decimal"/>
      <w:start w:val="3"/>
    </w:lvl>
  </w:abstractNum>
  <w:abstractNum w:abstractNumId="61">
    <w:nsid w:val="1AFE3625"/>
    <w:multiLevelType w:val="hybridMultilevel"/>
    <w:lvl w:ilvl="0">
      <w:lvlJc w:val="left"/>
      <w:lvlText w:val="%1."/>
      <w:numFmt w:val="upperLetter"/>
      <w:start w:val="1"/>
    </w:lvl>
  </w:abstractNum>
  <w:abstractNum w:abstractNumId="62">
    <w:nsid w:val="3CA88ECF"/>
    <w:multiLevelType w:val="hybridMultilevel"/>
    <w:lvl w:ilvl="0">
      <w:lvlJc w:val="left"/>
      <w:lvlText w:val="(%1)"/>
      <w:numFmt w:val="decimal"/>
      <w:start w:val="1"/>
    </w:lvl>
  </w:abstractNum>
  <w:abstractNum w:abstractNumId="63">
    <w:nsid w:val="6EBE4208"/>
    <w:multiLevelType w:val="hybridMultilevel"/>
    <w:lvl w:ilvl="0">
      <w:lvlJc w:val="left"/>
      <w:lvlText w:val="%1."/>
      <w:numFmt w:val="upperLetter"/>
      <w:start w:val="2"/>
    </w:lvl>
  </w:abstractNum>
  <w:abstractNum w:abstractNumId="64">
    <w:nsid w:val="C058DF5"/>
    <w:multiLevelType w:val="hybridMultilevel"/>
    <w:lvl w:ilvl="0">
      <w:lvlJc w:val="left"/>
      <w:lvlText w:val="*"/>
      <w:numFmt w:val="bullet"/>
      <w:start w:val="1"/>
    </w:lvl>
  </w:abstractNum>
  <w:abstractNum w:abstractNumId="65">
    <w:nsid w:val="CBE5BE9"/>
    <w:multiLevelType w:val="hybridMultilevel"/>
    <w:lvl w:ilvl="0">
      <w:lvlJc w:val="left"/>
      <w:lvlText w:val="(%1)"/>
      <w:numFmt w:val="decimal"/>
      <w:start w:val="1"/>
    </w:lvl>
  </w:abstractNum>
  <w:abstractNum w:abstractNumId="66">
    <w:nsid w:val="3102BBE2"/>
    <w:multiLevelType w:val="hybridMultilevel"/>
    <w:lvl w:ilvl="0">
      <w:lvlJc w:val="left"/>
      <w:lvlText w:val="*"/>
      <w:numFmt w:val="bullet"/>
      <w:start w:val="1"/>
    </w:lvl>
  </w:abstractNum>
  <w:abstractNum w:abstractNumId="67">
    <w:nsid w:val="26A02C5E"/>
    <w:multiLevelType w:val="hybridMultilevel"/>
    <w:lvl w:ilvl="0">
      <w:lvlJc w:val="left"/>
      <w:lvlText w:val="(%1)"/>
      <w:numFmt w:val="decimal"/>
      <w:start w:val="1"/>
    </w:lvl>
  </w:abstractNum>
  <w:abstractNum w:abstractNumId="68">
    <w:nsid w:val="541C8153"/>
    <w:multiLevelType w:val="hybridMultilevel"/>
    <w:lvl w:ilvl="0">
      <w:lvlJc w:val="left"/>
      <w:lvlText w:val="%1."/>
      <w:numFmt w:val="upperLetter"/>
      <w:start w:val="3"/>
    </w:lvl>
  </w:abstractNum>
  <w:abstractNum w:abstractNumId="69">
    <w:nsid w:val="67906F60"/>
    <w:multiLevelType w:val="hybridMultilevel"/>
    <w:lvl w:ilvl="0">
      <w:lvlJc w:val="left"/>
      <w:lvlText w:val="%1."/>
      <w:numFmt w:val="upperLetter"/>
      <w:start w:val="4"/>
    </w:lvl>
  </w:abstractNum>
  <w:abstractNum w:abstractNumId="70">
    <w:nsid w:val="10DB9DAA"/>
    <w:multiLevelType w:val="hybridMultilevel"/>
    <w:lvl w:ilvl="0">
      <w:lvlJc w:val="left"/>
      <w:lvlText w:val="%1."/>
      <w:numFmt w:val="upperLetter"/>
      <w:start w:val="5"/>
    </w:lvl>
  </w:abstractNum>
  <w:abstractNum w:abstractNumId="71">
    <w:nsid w:val="697D2D2"/>
    <w:multiLevelType w:val="hybridMultilevel"/>
    <w:lvl w:ilvl="0">
      <w:lvlJc w:val="left"/>
      <w:lvlText w:val="%1."/>
      <w:numFmt w:val="upperLetter"/>
      <w:start w:val="1"/>
    </w:lvl>
  </w:abstractNum>
  <w:abstractNum w:abstractNumId="72">
    <w:nsid w:val="6D68AB2"/>
    <w:multiLevelType w:val="hybridMultilevel"/>
    <w:lvl w:ilvl="0">
      <w:lvlJc w:val="left"/>
      <w:lvlText w:val="(%1)"/>
      <w:numFmt w:val="decimal"/>
      <w:start w:val="1"/>
    </w:lvl>
  </w:abstractNum>
  <w:abstractNum w:abstractNumId="73">
    <w:nsid w:val="3A966CD0"/>
    <w:multiLevelType w:val="hybridMultilevel"/>
    <w:lvl w:ilvl="0">
      <w:lvlJc w:val="left"/>
      <w:lvlText w:val="·"/>
      <w:numFmt w:val="bullet"/>
      <w:start w:val="1"/>
    </w:lvl>
  </w:abstractNum>
  <w:abstractNum w:abstractNumId="74">
    <w:nsid w:val="63F37E85"/>
    <w:multiLevelType w:val="hybridMultilevel"/>
    <w:lvl w:ilvl="0">
      <w:lvlJc w:val="left"/>
      <w:lvlText w:val="%1."/>
      <w:numFmt w:val="upperLetter"/>
      <w:start w:val="2"/>
    </w:lvl>
  </w:abstractNum>
  <w:abstractNum w:abstractNumId="75">
    <w:nsid w:val="5895F5FA"/>
    <w:multiLevelType w:val="hybridMultilevel"/>
    <w:lvl w:ilvl="0">
      <w:lvlJc w:val="left"/>
      <w:lvlText w:val="%1)"/>
      <w:numFmt w:val="lowerRoman"/>
      <w:start w:val="1"/>
    </w:lvl>
  </w:abstractNum>
  <w:abstractNum w:abstractNumId="76">
    <w:nsid w:val="38A5D054"/>
    <w:multiLevelType w:val="hybridMultilevel"/>
    <w:lvl w:ilvl="0">
      <w:lvlJc w:val="left"/>
      <w:lvlText w:val="%1."/>
      <w:numFmt w:val="upperLetter"/>
      <w:start w:val="3"/>
    </w:lvl>
  </w:abstractNum>
  <w:abstractNum w:abstractNumId="77">
    <w:nsid w:val="F3F09D8"/>
    <w:multiLevelType w:val="hybridMultilevel"/>
    <w:lvl w:ilvl="0">
      <w:lvlJc w:val="left"/>
      <w:lvlText w:val="%1."/>
      <w:numFmt w:val="upperLetter"/>
      <w:start w:val="1"/>
    </w:lvl>
  </w:abstractNum>
  <w:abstractNum w:abstractNumId="78">
    <w:nsid w:val="4B793735"/>
    <w:multiLevelType w:val="hybridMultilevel"/>
    <w:lvl w:ilvl="0">
      <w:lvlJc w:val="left"/>
      <w:lvlText w:val="%1."/>
      <w:numFmt w:val="upperLetter"/>
      <w:start w:val="1"/>
    </w:lvl>
  </w:abstractNum>
  <w:abstractNum w:abstractNumId="79">
    <w:nsid w:val="4A10B4E8"/>
    <w:multiLevelType w:val="hybridMultilevel"/>
    <w:lvl w:ilvl="0">
      <w:lvlJc w:val="left"/>
      <w:lvlText w:val="(%1)"/>
      <w:numFmt w:val="decimal"/>
      <w:start w:val="1"/>
    </w:lvl>
  </w:abstractNum>
  <w:abstractNum w:abstractNumId="80">
    <w:nsid w:val="43D3BCD4"/>
    <w:multiLevelType w:val="hybridMultilevel"/>
    <w:lvl w:ilvl="0">
      <w:lvlJc w:val="left"/>
      <w:lvlText w:val="%1."/>
      <w:numFmt w:val="upperLetter"/>
      <w:start w:val="2"/>
    </w:lvl>
  </w:abstractNum>
  <w:abstractNum w:abstractNumId="81">
    <w:nsid w:val="4C2A7166"/>
    <w:multiLevelType w:val="hybridMultilevel"/>
    <w:lvl w:ilvl="0">
      <w:lvlJc w:val="left"/>
      <w:lvlText w:val="%1."/>
      <w:numFmt w:val="upperLetter"/>
      <w:start w:val="3"/>
    </w:lvl>
  </w:abstractNum>
  <w:abstractNum w:abstractNumId="82">
    <w:nsid w:val="2E534A82"/>
    <w:multiLevelType w:val="hybridMultilevel"/>
    <w:lvl w:ilvl="0">
      <w:lvlJc w:val="left"/>
      <w:lvlText w:val="%1."/>
      <w:numFmt w:val="upperLetter"/>
      <w:start w:val="4"/>
    </w:lvl>
  </w:abstractNum>
  <w:abstractNum w:abstractNumId="83">
    <w:nsid w:val="26F2D364"/>
    <w:multiLevelType w:val="hybridMultilevel"/>
    <w:lvl w:ilvl="0">
      <w:lvlJc w:val="left"/>
      <w:lvlText w:val="%1."/>
      <w:numFmt w:val="upperLetter"/>
      <w:start w:val="5"/>
    </w:lvl>
  </w:abstractNum>
  <w:abstractNum w:abstractNumId="84">
    <w:nsid w:val="71C1AF98"/>
    <w:multiLevelType w:val="hybridMultilevel"/>
    <w:lvl w:ilvl="0">
      <w:lvlJc w:val="left"/>
      <w:lvlText w:val="%1."/>
      <w:numFmt w:val="upperLetter"/>
      <w:start w:val="6"/>
    </w:lvl>
  </w:abstractNum>
  <w:abstractNum w:abstractNumId="85">
    <w:nsid w:val="3D00B9D9"/>
    <w:multiLevelType w:val="hybridMultilevel"/>
    <w:lvl w:ilvl="0">
      <w:lvlJc w:val="left"/>
      <w:lvlText w:val="%1."/>
      <w:numFmt w:val="upperLetter"/>
      <w:start w:val="1"/>
    </w:lvl>
  </w:abstractNum>
  <w:abstractNum w:abstractNumId="86">
    <w:nsid w:val="15BCABA8"/>
    <w:multiLevelType w:val="hybridMultilevel"/>
    <w:lvl w:ilvl="0">
      <w:lvlJc w:val="left"/>
      <w:lvlText w:val="%1."/>
      <w:numFmt w:val="upperLetter"/>
      <w:start w:val="2"/>
    </w:lvl>
  </w:abstractNum>
  <w:abstractNum w:abstractNumId="87">
    <w:nsid w:val="4E0B9A87"/>
    <w:multiLevelType w:val="hybridMultilevel"/>
    <w:lvl w:ilvl="0">
      <w:lvlJc w:val="left"/>
      <w:lvlText w:val="·"/>
      <w:numFmt w:val="bullet"/>
      <w:start w:val="1"/>
    </w:lvl>
  </w:abstractNum>
  <w:abstractNum w:abstractNumId="88">
    <w:nsid w:val="434BAE75"/>
    <w:multiLevelType w:val="hybridMultilevel"/>
    <w:lvl w:ilvl="0">
      <w:lvlJc w:val="left"/>
      <w:lvlText w:val="·"/>
      <w:numFmt w:val="bullet"/>
      <w:start w:val="1"/>
    </w:lvl>
  </w:abstractNum>
  <w:abstractNum w:abstractNumId="89">
    <w:nsid w:val="4F38F265"/>
    <w:multiLevelType w:val="hybridMultilevel"/>
    <w:lvl w:ilvl="0">
      <w:lvlJc w:val="left"/>
      <w:lvlText w:val="(%1)"/>
      <w:numFmt w:val="lowerRoman"/>
      <w:start w:val="1"/>
    </w:lvl>
  </w:abstractNum>
  <w:abstractNum w:abstractNumId="90">
    <w:nsid w:val="4C502870"/>
    <w:multiLevelType w:val="hybridMultilevel"/>
    <w:lvl w:ilvl="0">
      <w:lvlJc w:val="left"/>
      <w:lvlText w:val="%1."/>
      <w:numFmt w:val="upperLetter"/>
      <w:start w:val="3"/>
    </w:lvl>
  </w:abstractNum>
  <w:abstractNum w:abstractNumId="91">
    <w:nsid w:val="1DE8725A"/>
    <w:multiLevelType w:val="hybridMultilevel"/>
    <w:lvl w:ilvl="0">
      <w:lvlJc w:val="left"/>
      <w:lvlText w:val="%1."/>
      <w:numFmt w:val="upperLetter"/>
      <w:start w:val="4"/>
    </w:lvl>
  </w:abstractNum>
  <w:abstractNum w:abstractNumId="92">
    <w:nsid w:val="6A37288A"/>
    <w:multiLevelType w:val="hybridMultilevel"/>
    <w:lvl w:ilvl="0">
      <w:lvlJc w:val="left"/>
      <w:lvlText w:val="%1."/>
      <w:numFmt w:val="upperLetter"/>
      <w:start w:val="5"/>
    </w:lvl>
  </w:abstractNum>
  <w:abstractNum w:abstractNumId="93">
    <w:nsid w:val="8F8B73F"/>
    <w:multiLevelType w:val="hybridMultilevel"/>
    <w:lvl w:ilvl="0">
      <w:lvlJc w:val="left"/>
      <w:lvlText w:val="%1."/>
      <w:numFmt w:val="upperLetter"/>
      <w:start w:val="6"/>
    </w:lvl>
  </w:abstractNum>
  <w:abstractNum w:abstractNumId="94">
    <w:nsid w:val="CA6B462"/>
    <w:multiLevelType w:val="hybridMultilevel"/>
    <w:lvl w:ilvl="0">
      <w:lvlJc w:val="left"/>
      <w:lvlText w:val="%1."/>
      <w:numFmt w:val="upperLetter"/>
      <w:start w:val="8"/>
    </w:lvl>
  </w:abstractNum>
  <w:abstractNum w:abstractNumId="95">
    <w:nsid w:val="763CB680"/>
    <w:multiLevelType w:val="hybridMultilevel"/>
    <w:lvl w:ilvl="0">
      <w:lvlJc w:val="left"/>
      <w:lvlText w:val="%1."/>
      <w:numFmt w:val="upperLetter"/>
      <w:start w:val="9"/>
    </w:lvl>
  </w:abstractNum>
  <w:abstractNum w:abstractNumId="96">
    <w:nsid w:val="15B71329"/>
    <w:multiLevelType w:val="hybridMultilevel"/>
    <w:lvl w:ilvl="0">
      <w:lvlJc w:val="left"/>
      <w:lvlText w:val="(%1)"/>
      <w:numFmt w:val="decimal"/>
      <w:start w:val="1"/>
    </w:lvl>
  </w:abstractNum>
  <w:abstractNum w:abstractNumId="97">
    <w:nsid w:val="3DA97044"/>
    <w:multiLevelType w:val="hybridMultilevel"/>
    <w:lvl w:ilvl="0">
      <w:lvlJc w:val="left"/>
      <w:lvlText w:val="(%1)"/>
      <w:numFmt w:val="decimal"/>
      <w:start w:val="1"/>
    </w:lvl>
  </w:abstractNum>
  <w:abstractNum w:abstractNumId="98">
    <w:nsid w:val="1CDCE2DE"/>
    <w:multiLevelType w:val="hybridMultilevel"/>
    <w:lvl w:ilvl="0">
      <w:lvlJc w:val="left"/>
      <w:lvlText w:val="(%1)"/>
      <w:numFmt w:val="decimal"/>
      <w:start w:val="1"/>
    </w:lvl>
  </w:abstractNum>
  <w:abstractNum w:abstractNumId="99">
    <w:nsid w:val="69D3947C"/>
    <w:multiLevelType w:val="hybridMultilevel"/>
    <w:lvl w:ilvl="0">
      <w:lvlJc w:val="left"/>
      <w:lvlText w:val="(%1)"/>
      <w:numFmt w:val="decimal"/>
      <w:start w:val="1"/>
    </w:lvl>
  </w:abstractNum>
  <w:abstractNum w:abstractNumId="100">
    <w:nsid w:val="2539DFA5"/>
    <w:multiLevelType w:val="hybridMultilevel"/>
    <w:lvl w:ilvl="0">
      <w:lvlJc w:val="left"/>
      <w:lvlText w:val="·"/>
      <w:numFmt w:val="bullet"/>
      <w:start w:val="1"/>
    </w:lvl>
  </w:abstractNum>
  <w:abstractNum w:abstractNumId="101">
    <w:nsid w:val="2DB88089"/>
    <w:multiLevelType w:val="hybridMultilevel"/>
    <w:lvl w:ilvl="0">
      <w:lvlJc w:val="left"/>
      <w:lvlText w:val="\emdash "/>
      <w:numFmt w:val="bullet"/>
      <w:start w:val="1"/>
    </w:lvl>
  </w:abstractNum>
  <w:abstractNum w:abstractNumId="102">
    <w:nsid w:val="706B674E"/>
    <w:multiLevelType w:val="hybridMultilevel"/>
    <w:lvl w:ilvl="0">
      <w:lvlJc w:val="left"/>
      <w:lvlText w:val="%1."/>
      <w:numFmt w:val="decimal"/>
      <w:start w:val="1"/>
    </w:lvl>
    <w:lvl w:ilvl="1">
      <w:lvlJc w:val="left"/>
      <w:lvlText w:val="-"/>
      <w:numFmt w:val="bullet"/>
      <w:start w:val="1"/>
    </w:lvl>
  </w:abstractNum>
  <w:abstractNum w:abstractNumId="103">
    <w:nsid w:val="2C106A57"/>
    <w:multiLevelType w:val="hybridMultilevel"/>
    <w:lvl w:ilvl="0">
      <w:lvlJc w:val="left"/>
      <w:lvlText w:val="%1."/>
      <w:numFmt w:val="decimal"/>
      <w:start w:val="2"/>
    </w:lvl>
  </w:abstractNum>
  <w:abstractNum w:abstractNumId="104">
    <w:nsid w:val="684EED59"/>
    <w:multiLevelType w:val="hybridMultilevel"/>
    <w:lvl w:ilvl="0">
      <w:lvlJc w:val="left"/>
      <w:lvlText w:val="-"/>
      <w:numFmt w:val="bullet"/>
      <w:start w:val="1"/>
    </w:lvl>
  </w:abstractNum>
  <w:abstractNum w:abstractNumId="105">
    <w:nsid w:val="545EE5D3"/>
    <w:multiLevelType w:val="hybridMultilevel"/>
    <w:lvl w:ilvl="0">
      <w:lvlJc w:val="left"/>
      <w:lvlText w:val="-"/>
      <w:numFmt w:val="bullet"/>
      <w:start w:val="1"/>
    </w:lvl>
  </w:abstractNum>
  <w:abstractNum w:abstractNumId="106">
    <w:nsid w:val="4A66051"/>
    <w:multiLevelType w:val="hybridMultilevel"/>
    <w:lvl w:ilvl="0">
      <w:lvlJc w:val="left"/>
      <w:lvlText w:val="%1."/>
      <w:numFmt w:val="decimal"/>
      <w:start w:val="2"/>
    </w:lvl>
  </w:abstractNum>
  <w:abstractNum w:abstractNumId="107">
    <w:nsid w:val="20F4BDAD"/>
    <w:multiLevelType w:val="hybridMultilevel"/>
    <w:lvl w:ilvl="0">
      <w:lvlJc w:val="left"/>
      <w:lvlText w:val="%1."/>
      <w:numFmt w:val="decimal"/>
      <w:start w:val="3"/>
    </w:lvl>
    <w:lvl w:ilvl="1">
      <w:lvlJc w:val="left"/>
      <w:lvlText w:val="-"/>
      <w:numFmt w:val="bullet"/>
      <w:start w:val="1"/>
    </w:lvl>
  </w:abstractNum>
  <w:abstractNum w:abstractNumId="108">
    <w:nsid w:val="639DEFAC"/>
    <w:multiLevelType w:val="hybridMultilevel"/>
    <w:lvl w:ilvl="0">
      <w:lvlJc w:val="left"/>
      <w:lvlText w:val="-"/>
      <w:numFmt w:val="bullet"/>
      <w:start w:val="1"/>
    </w:lvl>
  </w:abstractNum>
  <w:abstractNum w:abstractNumId="109">
    <w:nsid w:val="501F9786"/>
    <w:multiLevelType w:val="hybridMultilevel"/>
    <w:lvl w:ilvl="0">
      <w:lvlJc w:val="left"/>
      <w:lvlText w:val="%1."/>
      <w:numFmt w:val="decimal"/>
      <w:start w:val="3"/>
    </w:lvl>
    <w:lvl w:ilvl="1">
      <w:lvlJc w:val="left"/>
      <w:lvlText w:val="-"/>
      <w:numFmt w:val="bullet"/>
      <w:start w:val="1"/>
    </w:lvl>
  </w:abstractNum>
  <w:abstractNum w:abstractNumId="110">
    <w:nsid w:val="6B057295"/>
    <w:multiLevelType w:val="hybridMultilevel"/>
    <w:lvl w:ilvl="0">
      <w:lvlJc w:val="left"/>
      <w:lvlText w:val="%1."/>
      <w:numFmt w:val="decimal"/>
      <w:start w:val="3"/>
    </w:lvl>
  </w:abstractNum>
  <w:abstractNum w:abstractNumId="111">
    <w:nsid w:val="2771AC80"/>
    <w:multiLevelType w:val="hybridMultilevel"/>
    <w:lvl w:ilvl="0">
      <w:lvlJc w:val="left"/>
      <w:lvlText w:val="%1."/>
      <w:numFmt w:val="upperLetter"/>
      <w:start w:val="1"/>
    </w:lvl>
  </w:abstractNum>
  <w:abstractNum w:abstractNumId="112">
    <w:nsid w:val="1C4A08EC"/>
    <w:multiLevelType w:val="hybridMultilevel"/>
    <w:lvl w:ilvl="0">
      <w:lvlJc w:val="left"/>
      <w:lvlText w:val="%1."/>
      <w:numFmt w:val="upperLetter"/>
      <w:start w:val="2"/>
    </w:lvl>
  </w:abstractNum>
  <w:abstractNum w:abstractNumId="113">
    <w:nsid w:val="1958BD17"/>
    <w:multiLevelType w:val="hybridMultilevel"/>
    <w:lvl w:ilvl="0">
      <w:lvlJc w:val="left"/>
      <w:lvlText w:val="-"/>
      <w:numFmt w:val="bullet"/>
      <w:start w:val="1"/>
    </w:lvl>
  </w:abstractNum>
  <w:abstractNum w:abstractNumId="114">
    <w:nsid w:val="4E647FE4"/>
    <w:multiLevelType w:val="hybridMultilevel"/>
    <w:lvl w:ilvl="0">
      <w:lvlJc w:val="left"/>
      <w:lvlText w:val="-"/>
      <w:numFmt w:val="bullet"/>
      <w:start w:val="1"/>
    </w:lvl>
  </w:abstractNum>
  <w:abstractNum w:abstractNumId="115">
    <w:nsid w:val="E0BB885"/>
    <w:multiLevelType w:val="hybridMultilevel"/>
    <w:lvl w:ilvl="0">
      <w:lvlJc w:val="left"/>
      <w:lvlText w:val="%1."/>
      <w:numFmt w:val="decimal"/>
      <w:start w:val="3"/>
    </w:lvl>
    <w:lvl w:ilvl="1">
      <w:lvlJc w:val="left"/>
      <w:lvlText w:val="-"/>
      <w:numFmt w:val="bullet"/>
      <w:start w:val="1"/>
    </w:lvl>
  </w:abstractNum>
  <w:abstractNum w:abstractNumId="116">
    <w:nsid w:val="565976F1"/>
    <w:multiLevelType w:val="hybridMultilevel"/>
    <w:lvl w:ilvl="0">
      <w:lvlJc w:val="left"/>
      <w:lvlText w:val="%1."/>
      <w:numFmt w:val="upperLetter"/>
      <w:start w:val="3"/>
    </w:lvl>
  </w:abstractNum>
  <w:abstractNum w:abstractNumId="117">
    <w:nsid w:val="64212B8C"/>
    <w:multiLevelType w:val="hybridMultilevel"/>
    <w:lvl w:ilvl="0">
      <w:lvlJc w:val="left"/>
      <w:lvlText w:val="-"/>
      <w:numFmt w:val="bullet"/>
      <w:start w:val="1"/>
    </w:lvl>
  </w:abstractNum>
  <w:abstractNum w:abstractNumId="118">
    <w:nsid w:val="5C17530C"/>
    <w:multiLevelType w:val="hybridMultilevel"/>
    <w:lvl w:ilvl="0">
      <w:lvlJc w:val="left"/>
      <w:lvlText w:val="%1."/>
      <w:numFmt w:val="decimal"/>
      <w:start w:val="3"/>
    </w:lvl>
  </w:abstractNum>
  <w:abstractNum w:abstractNumId="119">
    <w:nsid w:val="19A52566"/>
    <w:multiLevelType w:val="hybridMultilevel"/>
    <w:lvl w:ilvl="0">
      <w:lvlJc w:val="left"/>
      <w:lvlText w:val="%1."/>
      <w:numFmt w:val="upperLetter"/>
      <w:start w:val="4"/>
    </w:lvl>
  </w:abstractNum>
  <w:abstractNum w:abstractNumId="120">
    <w:nsid w:val="335A1DF1"/>
    <w:multiLevelType w:val="hybridMultilevel"/>
    <w:lvl w:ilvl="0">
      <w:lvlJc w:val="left"/>
      <w:lvlText w:val="-"/>
      <w:numFmt w:val="bullet"/>
      <w:start w:val="1"/>
    </w:lvl>
  </w:abstractNum>
  <w:abstractNum w:abstractNumId="121">
    <w:nsid w:val="28677B7C"/>
    <w:multiLevelType w:val="hybridMultilevel"/>
    <w:lvl w:ilvl="0">
      <w:lvlJc w:val="left"/>
      <w:lvlText w:val="%1."/>
      <w:numFmt w:val="upperLetter"/>
      <w:start w:val="5"/>
    </w:lvl>
  </w:abstractNum>
  <w:abstractNum w:abstractNumId="122">
    <w:nsid w:val="378D97C0"/>
    <w:multiLevelType w:val="hybridMultilevel"/>
    <w:lvl w:ilvl="0">
      <w:lvlJc w:val="left"/>
      <w:lvlText w:val="%1."/>
      <w:numFmt w:val="upperLetter"/>
      <w:start w:val="6"/>
    </w:lvl>
  </w:abstractNum>
  <w:abstractNum w:abstractNumId="123">
    <w:nsid w:val="1D91467C"/>
    <w:multiLevelType w:val="hybridMultilevel"/>
    <w:lvl w:ilvl="0">
      <w:lvlJc w:val="left"/>
      <w:lvlText w:val="-"/>
      <w:numFmt w:val="bullet"/>
      <w:start w:val="1"/>
    </w:lvl>
  </w:abstractNum>
  <w:abstractNum w:abstractNumId="124">
    <w:nsid w:val="316032BB"/>
    <w:multiLevelType w:val="hybridMultilevel"/>
    <w:lvl w:ilvl="0">
      <w:lvlJc w:val="left"/>
      <w:lvlText w:val="%1."/>
      <w:numFmt w:val="decimal"/>
      <w:start w:val="3"/>
    </w:lvl>
  </w:abstractNum>
  <w:abstractNum w:abstractNumId="125">
    <w:nsid w:val="44344C22"/>
    <w:multiLevelType w:val="hybridMultilevel"/>
    <w:lvl w:ilvl="0">
      <w:lvlJc w:val="left"/>
      <w:lvlText w:val="%1."/>
      <w:numFmt w:val="upperLetter"/>
      <w:start w:val="6"/>
    </w:lvl>
  </w:abstractNum>
  <w:abstractNum w:abstractNumId="126">
    <w:nsid w:val="13CDFCFC"/>
    <w:multiLevelType w:val="hybridMultilevel"/>
    <w:lvl w:ilvl="0">
      <w:lvlJc w:val="left"/>
      <w:lvlText w:val="-"/>
      <w:numFmt w:val="bullet"/>
      <w:start w:val="1"/>
    </w:lvl>
  </w:abstractNum>
  <w:abstractNum w:abstractNumId="127">
    <w:nsid w:val="471745E4"/>
    <w:multiLevelType w:val="hybridMultilevel"/>
    <w:lvl w:ilvl="0">
      <w:lvlJc w:val="left"/>
      <w:lvlText w:val="%1."/>
      <w:numFmt w:val="decimal"/>
      <w:start w:val="3"/>
    </w:lvl>
  </w:abstractNum>
  <w:abstractNum w:abstractNumId="128">
    <w:nsid w:val="1DDBC66"/>
    <w:multiLevelType w:val="hybridMultilevel"/>
    <w:lvl w:ilvl="0">
      <w:lvlJc w:val="left"/>
      <w:lvlText w:val="%1."/>
      <w:numFmt w:val="upperLetter"/>
      <w:start w:val="7"/>
    </w:lvl>
  </w:abstractNum>
  <w:abstractNum w:abstractNumId="129">
    <w:nsid w:val="30AADFDA"/>
    <w:multiLevelType w:val="hybridMultilevel"/>
    <w:lvl w:ilvl="0">
      <w:lvlJc w:val="left"/>
      <w:lvlText w:val="-"/>
      <w:numFmt w:val="bullet"/>
      <w:start w:val="1"/>
    </w:lvl>
  </w:abstractNum>
  <w:abstractNum w:abstractNumId="130">
    <w:nsid w:val="30EADA61"/>
    <w:multiLevelType w:val="hybridMultilevel"/>
    <w:lvl w:ilvl="0">
      <w:lvlJc w:val="left"/>
      <w:lvlText w:val="-"/>
      <w:numFmt w:val="bullet"/>
      <w:start w:val="1"/>
    </w:lvl>
  </w:abstractNum>
  <w:abstractNum w:abstractNumId="131">
    <w:nsid w:val="27179C0B"/>
    <w:multiLevelType w:val="hybridMultilevel"/>
    <w:lvl w:ilvl="0">
      <w:lvlJc w:val="left"/>
      <w:lvlText w:val="-"/>
      <w:numFmt w:val="bullet"/>
      <w:start w:val="1"/>
    </w:lvl>
  </w:abstractNum>
  <w:abstractNum w:abstractNumId="132">
    <w:nsid w:val="5E636063"/>
    <w:multiLevelType w:val="hybridMultilevel"/>
    <w:lvl w:ilvl="0">
      <w:lvlJc w:val="left"/>
      <w:lvlText w:val="%1."/>
      <w:numFmt w:val="decimal"/>
      <w:start w:val="3"/>
    </w:lvl>
  </w:abstractNum>
  <w:abstractNum w:abstractNumId="133">
    <w:nsid w:val="215641AF"/>
    <w:multiLevelType w:val="hybridMultilevel"/>
    <w:lvl w:ilvl="0">
      <w:lvlJc w:val="left"/>
      <w:lvlText w:val="%1."/>
      <w:numFmt w:val="upperLetter"/>
      <w:start w:val="8"/>
    </w:lvl>
  </w:abstractNum>
  <w:abstractNum w:abstractNumId="134">
    <w:nsid w:val="53280662"/>
    <w:multiLevelType w:val="hybridMultilevel"/>
    <w:lvl w:ilvl="0">
      <w:lvlJc w:val="left"/>
      <w:lvlText w:val="%1."/>
      <w:numFmt w:val="upperLetter"/>
      <w:start w:val="9"/>
    </w:lvl>
  </w:abstractNum>
  <w:abstractNum w:abstractNumId="135">
    <w:nsid w:val="46B24DBC"/>
    <w:multiLevelType w:val="hybridMultilevel"/>
    <w:lvl w:ilvl="0">
      <w:lvlJc w:val="left"/>
      <w:lvlText w:val="%1."/>
      <w:numFmt w:val="decimal"/>
      <w:start w:val="3"/>
    </w:lvl>
  </w:abstractNum>
  <w:abstractNum w:abstractNumId="136">
    <w:nsid w:val="75B52783"/>
    <w:multiLevelType w:val="hybridMultilevel"/>
    <w:lvl w:ilvl="0">
      <w:lvlJc w:val="left"/>
      <w:lvlText w:val="%1."/>
      <w:numFmt w:val="upperLetter"/>
      <w:start w:val="10"/>
    </w:lvl>
  </w:abstractNum>
  <w:abstractNum w:abstractNumId="137">
    <w:nsid w:val="57CE66B4"/>
    <w:multiLevelType w:val="hybridMultilevel"/>
    <w:lvl w:ilvl="0">
      <w:lvlJc w:val="left"/>
      <w:lvlText w:val="%1)"/>
      <w:numFmt w:val="lowerRoman"/>
      <w:start w:val="1"/>
    </w:lvl>
  </w:abstractNum>
  <w:abstractNum w:abstractNumId="138">
    <w:nsid w:val="67A70B69"/>
    <w:multiLevelType w:val="hybridMultilevel"/>
    <w:lvl w:ilvl="0">
      <w:lvlJc w:val="left"/>
      <w:lvlText w:val="%1."/>
      <w:numFmt w:val="decimal"/>
      <w:start w:val="3"/>
    </w:lvl>
  </w:abstractNum>
  <w:abstractNum w:abstractNumId="139">
    <w:nsid w:val="5953172F"/>
    <w:multiLevelType w:val="hybridMultilevel"/>
    <w:lvl w:ilvl="0">
      <w:lvlJc w:val="left"/>
      <w:lvlText w:val="(%1)"/>
      <w:numFmt w:val="decimal"/>
      <w:start w:val="1"/>
    </w:lvl>
  </w:abstractNum>
  <w:abstractNum w:abstractNumId="140">
    <w:nsid w:val="27EDFE3A"/>
    <w:multiLevelType w:val="hybridMultilevel"/>
    <w:lvl w:ilvl="0">
      <w:lvlJc w:val="left"/>
      <w:lvlText w:val="-"/>
      <w:numFmt w:val="bullet"/>
      <w:start w:val="1"/>
    </w:lvl>
    <w:lvl w:ilvl="1">
      <w:lvlJc w:val="left"/>
      <w:lvlText w:val="-"/>
      <w:numFmt w:val="bullet"/>
      <w:start w:val="1"/>
    </w:lvl>
  </w:abstractNum>
  <w:abstractNum w:abstractNumId="141">
    <w:nsid w:val="52AC7DFF"/>
    <w:multiLevelType w:val="hybridMultilevel"/>
    <w:lvl w:ilvl="0">
      <w:lvlJc w:val="left"/>
      <w:lvlText w:val="%1."/>
      <w:numFmt w:val="decimal"/>
      <w:start w:val="3"/>
    </w:lvl>
    <w:lvl w:ilvl="1">
      <w:lvlJc w:val="left"/>
      <w:lvlText w:val="-"/>
      <w:numFmt w:val="bullet"/>
      <w:start w:val="1"/>
    </w:lvl>
  </w:abstractNum>
  <w:abstractNum w:abstractNumId="142">
    <w:nsid w:val="C4C3AF"/>
    <w:multiLevelType w:val="hybridMultilevel"/>
    <w:lvl w:ilvl="0">
      <w:lvlJc w:val="left"/>
      <w:lvlText w:val="%1)"/>
      <w:numFmt w:val="lowerRoman"/>
      <w:start w:val="2"/>
    </w:lvl>
  </w:abstractNum>
  <w:abstractNum w:abstractNumId="143">
    <w:nsid w:val="44380727"/>
    <w:multiLevelType w:val="hybridMultilevel"/>
    <w:lvl w:ilvl="0">
      <w:lvlJc w:val="left"/>
      <w:lvlText w:val="-"/>
      <w:numFmt w:val="bullet"/>
      <w:start w:val="1"/>
    </w:lvl>
  </w:abstractNum>
  <w:abstractNum w:abstractNumId="144">
    <w:nsid w:val="6C053B16"/>
    <w:multiLevelType w:val="hybridMultilevel"/>
    <w:lvl w:ilvl="0">
      <w:lvlJc w:val="left"/>
      <w:lvlText w:val="%1."/>
      <w:numFmt w:val="decimal"/>
      <w:start w:val="3"/>
    </w:lvl>
  </w:abstractNum>
  <w:abstractNum w:abstractNumId="145">
    <w:nsid w:val="4F294393"/>
    <w:multiLevelType w:val="hybridMultilevel"/>
    <w:lvl w:ilvl="0">
      <w:lvlJc w:val="left"/>
      <w:lvlText w:val="%1)"/>
      <w:numFmt w:val="lowerRoman"/>
      <w:start w:val="3"/>
    </w:lvl>
  </w:abstractNum>
  <w:abstractNum w:abstractNumId="146">
    <w:nsid w:val="5243BFAC"/>
    <w:multiLevelType w:val="hybridMultilevel"/>
    <w:lvl w:ilvl="0">
      <w:lvlJc w:val="left"/>
      <w:lvlText w:val="-"/>
      <w:numFmt w:val="bullet"/>
      <w:start w:val="1"/>
    </w:lvl>
  </w:abstractNum>
  <w:abstractNum w:abstractNumId="147">
    <w:nsid w:val="425EB207"/>
    <w:multiLevelType w:val="hybridMultilevel"/>
    <w:lvl w:ilvl="0">
      <w:lvlJc w:val="left"/>
      <w:lvlText w:val="%1."/>
      <w:numFmt w:val="decimal"/>
      <w:start w:val="3"/>
    </w:lvl>
    <w:lvl w:ilvl="1">
      <w:lvlJc w:val="left"/>
      <w:lvlText w:val="-"/>
      <w:numFmt w:val="bullet"/>
      <w:start w:val="1"/>
    </w:lvl>
  </w:abstractNum>
  <w:abstractNum w:abstractNumId="148">
    <w:nsid w:val="334A6F1F"/>
    <w:multiLevelType w:val="hybridMultilevel"/>
    <w:lvl w:ilvl="0">
      <w:lvlJc w:val="left"/>
      <w:lvlText w:val="%1."/>
      <w:numFmt w:val="upperLetter"/>
      <w:start w:val="10"/>
    </w:lvl>
    <w:lvl w:ilvl="1">
      <w:lvlJc w:val="left"/>
      <w:lvlText w:val="-"/>
      <w:numFmt w:val="bullet"/>
      <w:start w:val="1"/>
    </w:lvl>
  </w:abstractNum>
  <w:abstractNum w:abstractNumId="149">
    <w:nsid w:val="2E5B12B8"/>
    <w:multiLevelType w:val="hybridMultilevel"/>
    <w:lvl w:ilvl="0">
      <w:lvlJc w:val="left"/>
      <w:lvlText w:val="%1."/>
      <w:numFmt w:val="decimal"/>
      <w:start w:val="3"/>
    </w:lvl>
    <w:lvl w:ilvl="1">
      <w:lvlJc w:val="left"/>
      <w:lvlText w:val="%2)"/>
      <w:numFmt w:val="lowerRoman"/>
      <w:start w:val="1"/>
    </w:lvl>
  </w:abstractNum>
  <w:abstractNum w:abstractNumId="150">
    <w:nsid w:val="5C03D76D"/>
    <w:multiLevelType w:val="hybridMultilevel"/>
    <w:lvl w:ilvl="0">
      <w:lvlJc w:val="left"/>
      <w:lvlText w:val="%1."/>
      <w:numFmt w:val="decimal"/>
      <w:start w:val="3"/>
    </w:lvl>
    <w:lvl w:ilvl="1">
      <w:lvlJc w:val="left"/>
      <w:lvlText w:val="%2)"/>
      <w:numFmt w:val="lowerRoman"/>
      <w:start w:val="2"/>
    </w:lvl>
  </w:abstractNum>
  <w:abstractNum w:abstractNumId="151">
    <w:nsid w:val="66A48D11"/>
    <w:multiLevelType w:val="hybridMultilevel"/>
    <w:lvl w:ilvl="0">
      <w:lvlJc w:val="left"/>
      <w:lvlText w:val="%1)"/>
      <w:numFmt w:val="lowerRoman"/>
      <w:start w:val="3"/>
    </w:lvl>
  </w:abstractNum>
  <w:abstractNum w:abstractNumId="152">
    <w:nsid w:val="56C28E34"/>
    <w:multiLevelType w:val="hybridMultilevel"/>
    <w:lvl w:ilvl="0">
      <w:lvlJc w:val="left"/>
      <w:lvlText w:val="%1."/>
      <w:numFmt w:val="decimal"/>
      <w:start w:val="1"/>
    </w:lvl>
  </w:abstractNum>
  <w:abstractNum w:abstractNumId="153">
    <w:nsid w:val="13916F2D"/>
    <w:multiLevelType w:val="hybridMultilevel"/>
    <w:lvl w:ilvl="0">
      <w:lvlJc w:val="left"/>
      <w:lvlText w:val="%1."/>
      <w:numFmt w:val="decimal"/>
      <w:start w:val="3"/>
    </w:lvl>
    <w:lvl w:ilvl="1">
      <w:lvlJc w:val="left"/>
      <w:lvlText w:val="-"/>
      <w:numFmt w:val="bullet"/>
      <w:start w:val="1"/>
    </w:lvl>
  </w:abstractNum>
  <w:abstractNum w:abstractNumId="154">
    <w:nsid w:val="435D38D"/>
    <w:multiLevelType w:val="hybridMultilevel"/>
    <w:lvl w:ilvl="0">
      <w:lvlJc w:val="left"/>
      <w:lvlText w:val="-"/>
      <w:numFmt w:val="bullet"/>
      <w:start w:val="1"/>
    </w:lvl>
  </w:abstractNum>
  <w:abstractNum w:abstractNumId="155">
    <w:nsid w:val="822C0EF"/>
    <w:multiLevelType w:val="hybridMultilevel"/>
    <w:lvl w:ilvl="0">
      <w:lvlJc w:val="left"/>
      <w:lvlText w:val="%1."/>
      <w:numFmt w:val="decimal"/>
      <w:start w:val="3"/>
    </w:lvl>
  </w:abstractNum>
  <w:abstractNum w:abstractNumId="156">
    <w:nsid w:val="57C5BB4F"/>
    <w:multiLevelType w:val="hybridMultilevel"/>
    <w:lvl w:ilvl="0">
      <w:lvlJc w:val="left"/>
      <w:lvlText w:val="-"/>
      <w:numFmt w:val="bullet"/>
      <w:start w:val="1"/>
    </w:lvl>
    <w:lvl w:ilvl="1">
      <w:lvlJc w:val="left"/>
      <w:lvlText w:val="-"/>
      <w:numFmt w:val="bullet"/>
      <w:start w:val="1"/>
    </w:lvl>
  </w:abstractNum>
  <w:abstractNum w:abstractNumId="157">
    <w:nsid w:val="1803D089"/>
    <w:multiLevelType w:val="hybridMultilevel"/>
    <w:lvl w:ilvl="0">
      <w:lvlJc w:val="left"/>
      <w:lvlText w:val="%1."/>
      <w:numFmt w:val="upperLetter"/>
      <w:start w:val="1"/>
    </w:lvl>
  </w:abstractNum>
  <w:abstractNum w:abstractNumId="158">
    <w:nsid w:val="4F3A06D4"/>
    <w:multiLevelType w:val="hybridMultilevel"/>
    <w:lvl w:ilvl="0">
      <w:lvlJc w:val="left"/>
      <w:lvlText w:val="%1."/>
      <w:numFmt w:val="decimal"/>
      <w:start w:val="3"/>
    </w:lvl>
  </w:abstractNum>
  <w:abstractNum w:abstractNumId="159">
    <w:nsid w:val="59A377B6"/>
    <w:multiLevelType w:val="hybridMultilevel"/>
    <w:lvl w:ilvl="0">
      <w:lvlJc w:val="left"/>
      <w:lvlText w:val="%1."/>
      <w:numFmt w:val="upperLetter"/>
      <w:start w:val="3"/>
    </w:lvl>
  </w:abstractNum>
  <w:abstractNum w:abstractNumId="160">
    <w:nsid w:val="48AEB063"/>
    <w:multiLevelType w:val="hybridMultilevel"/>
    <w:lvl w:ilvl="0">
      <w:lvlJc w:val="left"/>
      <w:lvlText w:val="%1."/>
      <w:numFmt w:val="upperLetter"/>
      <w:start w:val="4"/>
    </w:lvl>
  </w:abstractNum>
  <w:abstractNum w:abstractNumId="161">
    <w:nsid w:val="24E135"/>
    <w:multiLevelType w:val="hybridMultilevel"/>
    <w:lvl w:ilvl="0">
      <w:lvlJc w:val="left"/>
      <w:lvlText w:val="%1."/>
      <w:numFmt w:val="decimal"/>
      <w:start w:val="3"/>
    </w:lvl>
  </w:abstractNum>
  <w:abstractNum w:abstractNumId="162">
    <w:nsid w:val="BB13C1"/>
    <w:multiLevelType w:val="hybridMultilevel"/>
    <w:lvl w:ilvl="0">
      <w:lvlJc w:val="left"/>
      <w:lvlText w:val="%1."/>
      <w:numFmt w:val="decimal"/>
      <w:start w:val="3"/>
    </w:lvl>
  </w:abstractNum>
  <w:abstractNum w:abstractNumId="163">
    <w:nsid w:val="271210C7"/>
    <w:multiLevelType w:val="hybridMultilevel"/>
    <w:lvl w:ilvl="0">
      <w:lvlJc w:val="left"/>
      <w:lvlText w:val="%1."/>
      <w:numFmt w:val="decimal"/>
      <w:start w:val="3"/>
    </w:lvl>
    <w:lvl w:ilvl="1">
      <w:lvlJc w:val="left"/>
      <w:lvlText w:val="-"/>
      <w:numFmt w:val="bullet"/>
      <w:start w:val="1"/>
    </w:lvl>
  </w:abstractNum>
  <w:abstractNum w:abstractNumId="164">
    <w:nsid w:val="217B22E4"/>
    <w:multiLevelType w:val="hybridMultilevel"/>
    <w:lvl w:ilvl="0">
      <w:lvlJc w:val="left"/>
      <w:lvlText w:val="-"/>
      <w:numFmt w:val="bullet"/>
      <w:start w:val="1"/>
    </w:lvl>
  </w:abstractNum>
  <w:abstractNum w:abstractNumId="165">
    <w:nsid w:val="53E31A24"/>
    <w:multiLevelType w:val="hybridMultilevel"/>
    <w:lvl w:ilvl="0">
      <w:lvlJc w:val="left"/>
      <w:lvlText w:val="%1."/>
      <w:numFmt w:val="decimal"/>
      <w:start w:val="3"/>
    </w:lvl>
  </w:abstractNum>
  <w:abstractNum w:abstractNumId="166">
    <w:nsid w:val="6DC45E83"/>
    <w:multiLevelType w:val="hybridMultilevel"/>
    <w:lvl w:ilvl="0">
      <w:lvlJc w:val="left"/>
      <w:lvlText w:val="%1."/>
      <w:numFmt w:val="upperLetter"/>
      <w:start w:val="1"/>
    </w:lvl>
  </w:abstractNum>
  <w:abstractNum w:abstractNumId="167">
    <w:nsid w:val="17304A67"/>
    <w:multiLevelType w:val="hybridMultilevel"/>
    <w:lvl w:ilvl="0">
      <w:lvlJc w:val="left"/>
      <w:lvlText w:val="%1."/>
      <w:numFmt w:val="lowerRoman"/>
      <w:start w:val="1"/>
    </w:lvl>
  </w:abstractNum>
  <w:abstractNum w:abstractNumId="168">
    <w:nsid w:val="2BB180D8"/>
    <w:multiLevelType w:val="hybridMultilevel"/>
    <w:lvl w:ilvl="0">
      <w:lvlJc w:val="left"/>
      <w:lvlText w:val="%1."/>
      <w:numFmt w:val="lowerRoman"/>
      <w:start w:val="2"/>
    </w:lvl>
  </w:abstractNum>
  <w:abstractNum w:abstractNumId="169">
    <w:nsid w:val="556B69ED"/>
    <w:multiLevelType w:val="hybridMultilevel"/>
    <w:lvl w:ilvl="0">
      <w:lvlJc w:val="left"/>
      <w:lvlText w:val="%1."/>
      <w:numFmt w:val="decimal"/>
      <w:start w:val="3"/>
    </w:lvl>
  </w:abstractNum>
  <w:abstractNum w:abstractNumId="170">
    <w:nsid w:val="70836196"/>
    <w:multiLevelType w:val="hybridMultilevel"/>
    <w:lvl w:ilvl="0">
      <w:lvlJc w:val="left"/>
      <w:lvlText w:val="%1."/>
      <w:numFmt w:val="lowerRoman"/>
      <w:start w:val="1"/>
    </w:lvl>
  </w:abstractNum>
  <w:abstractNum w:abstractNumId="171">
    <w:nsid w:val="539F7F12"/>
    <w:multiLevelType w:val="hybridMultilevel"/>
    <w:lvl w:ilvl="0">
      <w:lvlJc w:val="left"/>
      <w:lvlText w:val="%1."/>
      <w:numFmt w:val="lowerRoman"/>
      <w:start w:val="2"/>
    </w:lvl>
  </w:abstractNum>
  <w:abstractNum w:abstractNumId="172">
    <w:nsid w:val="2817E7EC"/>
    <w:multiLevelType w:val="hybridMultilevel"/>
    <w:lvl w:ilvl="0">
      <w:lvlJc w:val="left"/>
      <w:lvlText w:val="%1."/>
      <w:numFmt w:val="upperLetter"/>
      <w:start w:val="2"/>
    </w:lvl>
  </w:abstractNum>
  <w:abstractNum w:abstractNumId="173">
    <w:nsid w:val="71482545"/>
    <w:multiLevelType w:val="hybridMultilevel"/>
    <w:lvl w:ilvl="0">
      <w:lvlJc w:val="left"/>
      <w:lvlText w:val="%1."/>
      <w:numFmt w:val="decimal"/>
      <w:start w:val="3"/>
    </w:lvl>
    <w:lvl w:ilvl="1">
      <w:lvlJc w:val="left"/>
      <w:lvlText w:val="-"/>
      <w:numFmt w:val="bullet"/>
      <w:start w:val="1"/>
    </w:lvl>
  </w:abstractNum>
  <w:abstractNum w:abstractNumId="174">
    <w:nsid w:val="17D78639"/>
    <w:multiLevelType w:val="hybridMultilevel"/>
    <w:lvl w:ilvl="0">
      <w:lvlJc w:val="left"/>
      <w:lvlText w:val="%1."/>
      <w:numFmt w:val="decimal"/>
      <w:start w:val="4"/>
    </w:lvl>
  </w:abstractNum>
  <w:abstractNum w:abstractNumId="175">
    <w:nsid w:val="141D2302"/>
    <w:multiLevelType w:val="hybridMultilevel"/>
    <w:lvl w:ilvl="0">
      <w:lvlJc w:val="left"/>
      <w:lvlText w:val="%1."/>
      <w:numFmt w:val="decimal"/>
      <w:start w:val="4"/>
    </w:lvl>
  </w:abstractNum>
  <w:abstractNum w:abstractNumId="176">
    <w:nsid w:val="407168D8"/>
    <w:multiLevelType w:val="hybridMultilevel"/>
    <w:lvl w:ilvl="0">
      <w:lvlJc w:val="left"/>
      <w:lvlText w:val="%1."/>
      <w:numFmt w:val="decimal"/>
      <w:start w:val="4"/>
    </w:lvl>
  </w:abstractNum>
  <w:abstractNum w:abstractNumId="177">
    <w:nsid w:val="6A1B45E5"/>
    <w:multiLevelType w:val="hybridMultilevel"/>
    <w:lvl w:ilvl="0">
      <w:lvlJc w:val="left"/>
      <w:lvlText w:val="%1."/>
      <w:numFmt w:val="decimal"/>
      <w:start w:val="5"/>
    </w:lvl>
  </w:abstractNum>
  <w:abstractNum w:abstractNumId="178">
    <w:nsid w:val="567BD50A"/>
    <w:multiLevelType w:val="hybridMultilevel"/>
    <w:lvl w:ilvl="0">
      <w:lvlJc w:val="left"/>
      <w:lvlText w:val="%1."/>
      <w:numFmt w:val="upperLetter"/>
      <w:start w:val="1"/>
    </w:lvl>
  </w:abstractNum>
  <w:abstractNum w:abstractNumId="179">
    <w:nsid w:val="73BBD7F8"/>
    <w:multiLevelType w:val="hybridMultilevel"/>
    <w:lvl w:ilvl="0">
      <w:lvlJc w:val="left"/>
      <w:lvlText w:val="%1."/>
      <w:numFmt w:val="decimal"/>
      <w:start w:val="5"/>
    </w:lvl>
  </w:abstractNum>
  <w:abstractNum w:abstractNumId="180">
    <w:nsid w:val="1876589D"/>
    <w:multiLevelType w:val="hybridMultilevel"/>
    <w:lvl w:ilvl="0">
      <w:lvlJc w:val="left"/>
      <w:lvlText w:val="%1."/>
      <w:numFmt w:val="decimal"/>
      <w:start w:val="5"/>
    </w:lvl>
  </w:abstractNum>
  <w:abstractNum w:abstractNumId="181">
    <w:nsid w:val="327FAC77"/>
    <w:multiLevelType w:val="hybridMultilevel"/>
    <w:lvl w:ilvl="0">
      <w:lvlJc w:val="left"/>
      <w:lvlText w:val="%1."/>
      <w:numFmt w:val="decimal"/>
      <w:start w:val="5"/>
    </w:lvl>
    <w:lvl w:ilvl="1">
      <w:lvlJc w:val="left"/>
      <w:lvlText w:val="%2."/>
      <w:numFmt w:val="upperLetter"/>
      <w:start w:val="1"/>
    </w:lvl>
  </w:abstractNum>
  <w:abstractNum w:abstractNumId="182">
    <w:nsid w:val="5A606509"/>
    <w:multiLevelType w:val="hybridMultilevel"/>
    <w:lvl w:ilvl="0">
      <w:lvlJc w:val="left"/>
      <w:lvlText w:val="%1."/>
      <w:numFmt w:val="decimal"/>
      <w:start w:val="5"/>
    </w:lvl>
  </w:abstractNum>
  <w:abstractNum w:abstractNumId="183">
    <w:nsid w:val="6F38E6D1"/>
    <w:multiLevelType w:val="hybridMultilevel"/>
    <w:lvl w:ilvl="0">
      <w:lvlJc w:val="left"/>
      <w:lvlText w:val="-"/>
      <w:numFmt w:val="bullet"/>
      <w:start w:val="1"/>
    </w:lvl>
  </w:abstractNum>
  <w:abstractNum w:abstractNumId="184">
    <w:nsid w:val="46111BA5"/>
    <w:multiLevelType w:val="hybridMultilevel"/>
    <w:lvl w:ilvl="0">
      <w:lvlJc w:val="left"/>
      <w:lvlText w:val="%1."/>
      <w:numFmt w:val="decimal"/>
      <w:start w:val="5"/>
    </w:lvl>
  </w:abstractNum>
  <w:abstractNum w:abstractNumId="185">
    <w:nsid w:val="5E963896"/>
    <w:multiLevelType w:val="hybridMultilevel"/>
    <w:lvl w:ilvl="0">
      <w:lvlJc w:val="left"/>
      <w:lvlText w:val="%1."/>
      <w:numFmt w:val="decimal"/>
      <w:start w:val="5"/>
    </w:lvl>
  </w:abstractNum>
  <w:abstractNum w:abstractNumId="186">
    <w:nsid w:val="775BA7C1"/>
    <w:multiLevelType w:val="hybridMultilevel"/>
    <w:lvl w:ilvl="0">
      <w:lvlJc w:val="left"/>
      <w:lvlText w:val="%1."/>
      <w:numFmt w:val="upperLetter"/>
      <w:start w:val="1"/>
    </w:lvl>
  </w:abstractNum>
  <w:abstractNum w:abstractNumId="187">
    <w:nsid w:val="1DD6D6F4"/>
    <w:multiLevelType w:val="hybridMultilevel"/>
    <w:lvl w:ilvl="0">
      <w:lvlJc w:val="left"/>
      <w:lvlText w:val="%1."/>
      <w:numFmt w:val="decimal"/>
      <w:start w:val="5"/>
    </w:lvl>
  </w:abstractNum>
  <w:abstractNum w:abstractNumId="188">
    <w:nsid w:val="769A091F"/>
    <w:multiLevelType w:val="hybridMultilevel"/>
    <w:lvl w:ilvl="0">
      <w:lvlJc w:val="left"/>
      <w:lvlText w:val="%1."/>
      <w:numFmt w:val="decimal"/>
      <w:start w:val="5"/>
    </w:lvl>
  </w:abstractNum>
  <w:abstractNum w:abstractNumId="189">
    <w:nsid w:val="4695AE95"/>
    <w:multiLevelType w:val="hybridMultilevel"/>
    <w:lvl w:ilvl="0">
      <w:lvlJc w:val="left"/>
      <w:lvlText w:val="%1."/>
      <w:numFmt w:val="decimal"/>
      <w:start w:val="5"/>
    </w:lvl>
  </w:abstractNum>
  <w:abstractNum w:abstractNumId="190">
    <w:nsid w:val="777A4EAA"/>
    <w:multiLevelType w:val="hybridMultilevel"/>
    <w:lvl w:ilvl="0">
      <w:lvlJc w:val="left"/>
      <w:lvlText w:val="-"/>
      <w:numFmt w:val="bullet"/>
      <w:start w:val="1"/>
    </w:lvl>
  </w:abstractNum>
  <w:abstractNum w:abstractNumId="191">
    <w:nsid w:val="3F48B982"/>
    <w:multiLevelType w:val="hybridMultilevel"/>
    <w:lvl w:ilvl="0">
      <w:lvlJc w:val="left"/>
      <w:lvlText w:val="%1."/>
      <w:numFmt w:val="decimal"/>
      <w:start w:val="5"/>
    </w:lvl>
  </w:abstractNum>
  <w:abstractNum w:abstractNumId="192">
    <w:nsid w:val="46BA8FCA"/>
    <w:multiLevelType w:val="hybridMultilevel"/>
    <w:lvl w:ilvl="0">
      <w:lvlJc w:val="left"/>
      <w:lvlText w:val="%1."/>
      <w:numFmt w:val="lowerRoman"/>
      <w:start w:val="5"/>
    </w:lvl>
  </w:abstractNum>
  <w:abstractNum w:abstractNumId="193">
    <w:nsid w:val="7835626C"/>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6"/>
    </w:lvl>
  </w:abstractNum>
  <w:abstractNum w:abstractNumId="194">
    <w:nsid w:val="665ACA49"/>
    <w:multiLevelType w:val="hybridMultilevel"/>
    <w:lvl w:ilvl="0">
      <w:lvlJc w:val="left"/>
      <w:lvlText w:val="%1."/>
      <w:numFmt w:val="decimal"/>
      <w:start w:val="5"/>
    </w:lvl>
  </w:abstractNum>
  <w:abstractNum w:abstractNumId="195">
    <w:nsid w:val="6835B2AE"/>
    <w:multiLevelType w:val="hybridMultilevel"/>
    <w:lvl w:ilvl="0">
      <w:lvlJc w:val="left"/>
      <w:lvlText w:val="%1."/>
      <w:numFmt w:val="decimal"/>
      <w:start w:val="5"/>
    </w:lvl>
  </w:abstractNum>
  <w:abstractNum w:abstractNumId="196">
    <w:nsid w:val="4C187C90"/>
    <w:multiLevelType w:val="hybridMultilevel"/>
    <w:lvl w:ilvl="0">
      <w:lvlJc w:val="left"/>
      <w:lvlText w:val="%1)"/>
      <w:numFmt w:val="lowerLetter"/>
      <w:start w:val="1"/>
    </w:lvl>
  </w:abstractNum>
  <w:abstractNum w:abstractNumId="197">
    <w:nsid w:val="541F28CD"/>
    <w:multiLevelType w:val="hybridMultilevel"/>
    <w:lvl w:ilvl="0">
      <w:lvlJc w:val="left"/>
      <w:lvlText w:val="%1."/>
      <w:numFmt w:val="decimal"/>
      <w:start w:val="5"/>
    </w:lvl>
    <w:lvl w:ilvl="1">
      <w:lvlJc w:val="left"/>
      <w:lvlText w:val="%2"/>
      <w:numFmt w:val="upperLetter"/>
      <w:start w:val="1"/>
    </w:lvl>
    <w:lvl w:ilvl="2">
      <w:lvlJc w:val="left"/>
      <w:lvlText w:val="%3)"/>
      <w:numFmt w:val="lowerLetter"/>
      <w:start w:val="2"/>
    </w:lvl>
  </w:abstractNum>
  <w:abstractNum w:abstractNumId="198">
    <w:nsid w:val="7F65FD16"/>
    <w:multiLevelType w:val="hybridMultilevel"/>
    <w:lvl w:ilvl="0">
      <w:lvlJc w:val="left"/>
      <w:lvlText w:val="%1."/>
      <w:numFmt w:val="decimal"/>
      <w:start w:val="5"/>
    </w:lvl>
  </w:abstractNum>
  <w:abstractNum w:abstractNumId="199">
    <w:nsid w:val="77C9FD68"/>
    <w:multiLevelType w:val="hybridMultilevel"/>
    <w:lvl w:ilvl="0">
      <w:lvlJc w:val="left"/>
      <w:lvlText w:val="%1."/>
      <w:numFmt w:val="lowerRoman"/>
      <w:start w:val="1"/>
    </w:lvl>
  </w:abstractNum>
  <w:abstractNum w:abstractNumId="200">
    <w:nsid w:val="298A92BA"/>
    <w:multiLevelType w:val="hybridMultilevel"/>
    <w:lvl w:ilvl="0">
      <w:lvlJc w:val="left"/>
      <w:lvlText w:val="%1."/>
      <w:numFmt w:val="decimal"/>
      <w:start w:val="5"/>
    </w:lvl>
  </w:abstractNum>
  <w:abstractNum w:abstractNumId="201">
    <w:nsid w:val="6FE95EAC"/>
    <w:multiLevelType w:val="hybridMultilevel"/>
    <w:lvl w:ilvl="0">
      <w:lvlJc w:val="left"/>
      <w:lvlText w:val="%1."/>
      <w:numFmt w:val="decimal"/>
      <w:start w:val="5"/>
    </w:lvl>
  </w:abstractNum>
  <w:abstractNum w:abstractNumId="202">
    <w:nsid w:val="4B697C7A"/>
    <w:multiLevelType w:val="hybridMultilevel"/>
    <w:lvl w:ilvl="0">
      <w:lvlJc w:val="left"/>
      <w:lvlText w:val="%1."/>
      <w:numFmt w:val="upperLetter"/>
      <w:start w:val="2"/>
    </w:lvl>
  </w:abstractNum>
  <w:abstractNum w:abstractNumId="203">
    <w:nsid w:val="51A27AA6"/>
    <w:multiLevelType w:val="hybridMultilevel"/>
    <w:lvl w:ilvl="0">
      <w:lvlJc w:val="left"/>
      <w:lvlText w:val="%1."/>
      <w:numFmt w:val="decimal"/>
      <w:start w:val="5"/>
    </w:lvl>
  </w:abstractNum>
  <w:abstractNum w:abstractNumId="204">
    <w:nsid w:val="613183F2"/>
    <w:multiLevelType w:val="hybridMultilevel"/>
    <w:lvl w:ilvl="0">
      <w:lvlJc w:val="left"/>
      <w:lvlText w:val="%1."/>
      <w:numFmt w:val="decimal"/>
      <w:start w:val="5"/>
    </w:lvl>
  </w:abstractNum>
  <w:abstractNum w:abstractNumId="205">
    <w:nsid w:val="634102B4"/>
    <w:multiLevelType w:val="hybridMultilevel"/>
    <w:lvl w:ilvl="0">
      <w:lvlJc w:val="left"/>
      <w:lvlText w:val="%1."/>
      <w:numFmt w:val="upperLetter"/>
      <w:start w:val="2"/>
    </w:lvl>
  </w:abstractNum>
  <w:abstractNum w:abstractNumId="206">
    <w:nsid w:val="65BF9DA8"/>
    <w:multiLevelType w:val="hybridMultilevel"/>
    <w:lvl w:ilvl="0">
      <w:lvlJc w:val="left"/>
      <w:lvlText w:val="-"/>
      <w:numFmt w:val="bullet"/>
      <w:start w:val="1"/>
    </w:lvl>
  </w:abstractNum>
  <w:abstractNum w:abstractNumId="207">
    <w:nsid w:val="21A2ECCA"/>
    <w:multiLevelType w:val="hybridMultilevel"/>
    <w:lvl w:ilvl="0">
      <w:lvlJc w:val="left"/>
      <w:lvlText w:val="%1."/>
      <w:numFmt w:val="decimal"/>
      <w:start w:val="5"/>
    </w:lvl>
  </w:abstractNum>
  <w:abstractNum w:abstractNumId="208">
    <w:nsid w:val="4D5C4899"/>
    <w:multiLevelType w:val="hybridMultilevel"/>
    <w:lvl w:ilvl="0">
      <w:lvlJc w:val="left"/>
      <w:lvlText w:val="%1."/>
      <w:numFmt w:val="lowerRoman"/>
      <w:start w:val="1"/>
    </w:lvl>
  </w:abstractNum>
  <w:abstractNum w:abstractNumId="209">
    <w:nsid w:val="3C3B72B2"/>
    <w:multiLevelType w:val="hybridMultilevel"/>
    <w:lvl w:ilvl="0">
      <w:lvlJc w:val="left"/>
      <w:lvlText w:val="%1."/>
      <w:numFmt w:val="decimal"/>
      <w:start w:val="5"/>
    </w:lvl>
  </w:abstractNum>
  <w:abstractNum w:abstractNumId="210">
    <w:nsid w:val="155EC4C2"/>
    <w:multiLevelType w:val="hybridMultilevel"/>
    <w:lvl w:ilvl="0">
      <w:lvlJc w:val="left"/>
      <w:lvlText w:val="-"/>
      <w:numFmt w:val="bullet"/>
      <w:start w:val="1"/>
    </w:lvl>
  </w:abstractNum>
  <w:abstractNum w:abstractNumId="211">
    <w:nsid w:val="65D2A137"/>
    <w:multiLevelType w:val="hybridMultilevel"/>
    <w:lvl w:ilvl="0">
      <w:lvlJc w:val="left"/>
      <w:lvlText w:val="(%1)"/>
      <w:numFmt w:val="decimal"/>
      <w:start w:val="1"/>
    </w:lvl>
  </w:abstractNum>
  <w:abstractNum w:abstractNumId="212">
    <w:nsid w:val="6EBB1F2A"/>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3"/>
    </w:lvl>
  </w:abstractNum>
  <w:abstractNum w:abstractNumId="213">
    <w:nsid w:val="6FBF29CB"/>
    <w:multiLevelType w:val="hybridMultilevel"/>
    <w:lvl w:ilvl="0">
      <w:lvlJc w:val="left"/>
      <w:lvlText w:val="(%1)"/>
      <w:numFmt w:val="decimal"/>
      <w:start w:val="1"/>
    </w:lvl>
  </w:abstractNum>
  <w:abstractNum w:abstractNumId="214">
    <w:nsid w:val="550B8808"/>
    <w:multiLevelType w:val="hybridMultilevel"/>
    <w:lvl w:ilvl="0">
      <w:lvlJc w:val="left"/>
      <w:lvlText w:val="%1."/>
      <w:numFmt w:val="decimal"/>
      <w:start w:val="6"/>
    </w:lvl>
    <w:lvl w:ilvl="1">
      <w:lvlJc w:val="left"/>
      <w:lvlText w:val="%2"/>
      <w:numFmt w:val="upperLetter"/>
      <w:start w:val="1"/>
    </w:lvl>
    <w:lvl w:ilvl="2">
      <w:lvlJc w:val="left"/>
      <w:lvlText w:val="-"/>
      <w:numFmt w:val="bullet"/>
      <w:start w:val="1"/>
    </w:lvl>
  </w:abstractNum>
  <w:abstractNum w:abstractNumId="215">
    <w:nsid w:val="34CC3ACF"/>
    <w:multiLevelType w:val="hybridMultilevel"/>
    <w:lvl w:ilvl="0">
      <w:lvlJc w:val="left"/>
      <w:lvlText w:val="%1."/>
      <w:numFmt w:val="decimal"/>
      <w:start w:val="6"/>
    </w:lvl>
  </w:abstractNum>
  <w:abstractNum w:abstractNumId="216">
    <w:nsid w:val="4E556261"/>
    <w:multiLevelType w:val="hybridMultilevel"/>
    <w:lvl w:ilvl="0">
      <w:lvlJc w:val="left"/>
      <w:lvlText w:val="%1."/>
      <w:numFmt w:val="decimal"/>
      <w:start w:val="6"/>
    </w:lvl>
  </w:abstractNum>
  <w:abstractNum w:abstractNumId="217">
    <w:nsid w:val="4C672FC9"/>
    <w:multiLevelType w:val="hybridMultilevel"/>
    <w:lvl w:ilvl="0">
      <w:lvlJc w:val="left"/>
      <w:lvlText w:val="-"/>
      <w:numFmt w:val="bullet"/>
      <w:start w:val="1"/>
    </w:lvl>
  </w:abstractNum>
  <w:abstractNum w:abstractNumId="218">
    <w:nsid w:val="52A311C3"/>
    <w:multiLevelType w:val="hybridMultilevel"/>
    <w:lvl w:ilvl="0">
      <w:lvlJc w:val="left"/>
      <w:lvlText w:val="%1."/>
      <w:numFmt w:val="decimal"/>
      <w:start w:val="6"/>
    </w:lvl>
  </w:abstractNum>
  <w:abstractNum w:abstractNumId="219">
    <w:nsid w:val="44EF6B80"/>
    <w:multiLevelType w:val="hybridMultilevel"/>
    <w:lvl w:ilvl="0">
      <w:lvlJc w:val="left"/>
      <w:lvlText w:val="%1."/>
      <w:numFmt w:val="upperLetter"/>
      <w:start w:val="6"/>
    </w:lvl>
  </w:abstractNum>
  <w:abstractNum w:abstractNumId="220">
    <w:nsid w:val="12FCDE5E"/>
    <w:multiLevelType w:val="hybridMultilevel"/>
    <w:lvl w:ilvl="0">
      <w:lvlJc w:val="left"/>
      <w:lvlText w:val="%1."/>
      <w:numFmt w:val="decimal"/>
      <w:start w:val="6"/>
    </w:lvl>
  </w:abstractNum>
  <w:abstractNum w:abstractNumId="221">
    <w:nsid w:val="4A1D606E"/>
    <w:multiLevelType w:val="hybridMultilevel"/>
    <w:lvl w:ilvl="0">
      <w:lvlJc w:val="left"/>
      <w:lvlText w:val="%1."/>
      <w:numFmt w:val="lowerRoman"/>
      <w:start w:val="1"/>
    </w:lvl>
  </w:abstractNum>
  <w:abstractNum w:abstractNumId="222">
    <w:nsid w:val="4382503"/>
    <w:multiLevelType w:val="hybridMultilevel"/>
    <w:lvl w:ilvl="0">
      <w:lvlJc w:val="left"/>
      <w:lvlText w:val="%1."/>
      <w:numFmt w:val="decimal"/>
      <w:start w:val="6"/>
    </w:lvl>
  </w:abstractNum>
  <w:abstractNum w:abstractNumId="223">
    <w:nsid w:val="59B76E28"/>
    <w:multiLevelType w:val="hybridMultilevel"/>
    <w:lvl w:ilvl="0">
      <w:lvlJc w:val="left"/>
      <w:lvlText w:val="%1."/>
      <w:numFmt w:val="decimal"/>
      <w:start w:val="6"/>
    </w:lvl>
  </w:abstractNum>
  <w:abstractNum w:abstractNumId="224">
    <w:nsid w:val="4252C2DA"/>
    <w:multiLevelType w:val="hybridMultilevel"/>
    <w:lvl w:ilvl="0">
      <w:lvlJc w:val="left"/>
      <w:lvlText w:val="•"/>
      <w:numFmt w:val="bullet"/>
      <w:start w:val="1"/>
    </w:lvl>
  </w:abstractNum>
  <w:abstractNum w:abstractNumId="225">
    <w:nsid w:val="6A92EF4C"/>
    <w:multiLevelType w:val="hybridMultilevel"/>
    <w:lvl w:ilvl="0">
      <w:lvlJc w:val="left"/>
      <w:lvlText w:val="%1."/>
      <w:numFmt w:val="decimal"/>
      <w:start w:val="6"/>
    </w:lvl>
    <w:lvl w:ilvl="1">
      <w:lvlJc w:val="left"/>
      <w:lvlText w:val="•"/>
      <w:numFmt w:val="bullet"/>
      <w:start w:val="1"/>
    </w:lvl>
  </w:abstractNum>
  <w:abstractNum w:abstractNumId="226">
    <w:nsid w:val="41ED20D7"/>
    <w:multiLevelType w:val="hybridMultilevel"/>
    <w:lvl w:ilvl="0">
      <w:lvlJc w:val="left"/>
      <w:lvlText w:val="%1."/>
      <w:numFmt w:val="decimal"/>
      <w:start w:val="7"/>
    </w:lvl>
  </w:abstractNum>
  <w:abstractNum w:abstractNumId="227">
    <w:nsid w:val="E6B3F6A"/>
    <w:multiLevelType w:val="hybridMultilevel"/>
    <w:lvl w:ilvl="0">
      <w:lvlJc w:val="left"/>
      <w:lvlText w:val="%1."/>
      <w:numFmt w:val="upperLetter"/>
      <w:start w:val="1"/>
    </w:lvl>
  </w:abstractNum>
  <w:abstractNum w:abstractNumId="228">
    <w:nsid w:val="3EB21819"/>
    <w:multiLevelType w:val="hybridMultilevel"/>
    <w:lvl w:ilvl="0">
      <w:lvlJc w:val="left"/>
      <w:lvlText w:val="%1."/>
      <w:numFmt w:val="decimal"/>
      <w:start w:val="7"/>
    </w:lvl>
  </w:abstractNum>
  <w:abstractNum w:abstractNumId="229">
    <w:nsid w:val="41531DED"/>
    <w:multiLevelType w:val="hybridMultilevel"/>
    <w:lvl w:ilvl="0">
      <w:lvlJc w:val="left"/>
      <w:lvlText w:val="%1."/>
      <w:numFmt w:val="decimal"/>
      <w:start w:val="7"/>
    </w:lvl>
  </w:abstractNum>
  <w:abstractNum w:abstractNumId="230">
    <w:nsid w:val="6353CD2"/>
    <w:multiLevelType w:val="hybridMultilevel"/>
    <w:lvl w:ilvl="0">
      <w:lvlJc w:val="left"/>
      <w:lvlText w:val="%1."/>
      <w:numFmt w:val="decimal"/>
      <w:start w:val="7"/>
    </w:lvl>
  </w:abstractNum>
  <w:abstractNum w:abstractNumId="231">
    <w:nsid w:val="683CAAD3"/>
    <w:multiLevelType w:val="hybridMultilevel"/>
    <w:lvl w:ilvl="0">
      <w:lvlJc w:val="left"/>
      <w:lvlText w:val="(%1)"/>
      <w:numFmt w:val="decimal"/>
      <w:start w:val="1"/>
    </w:lvl>
  </w:abstractNum>
  <w:abstractNum w:abstractNumId="232">
    <w:nsid w:val="313C7C99"/>
    <w:multiLevelType w:val="hybridMultilevel"/>
    <w:lvl w:ilvl="0">
      <w:lvlJc w:val="left"/>
      <w:lvlText w:val="%1."/>
      <w:numFmt w:val="decimal"/>
      <w:start w:val="7"/>
    </w:lvl>
  </w:abstractNum>
  <w:abstractNum w:abstractNumId="233">
    <w:nsid w:val="519EB94C"/>
    <w:multiLevelType w:val="hybridMultilevel"/>
    <w:lvl w:ilvl="0">
      <w:lvlJc w:val="left"/>
      <w:lvlText w:val="%1"/>
      <w:numFmt w:val="upperLetter"/>
      <w:start w:val="1"/>
    </w:lvl>
    <w:lvl w:ilvl="1">
      <w:lvlJc w:val="left"/>
      <w:lvlText w:val="-"/>
      <w:numFmt w:val="bullet"/>
      <w:start w:val="1"/>
    </w:lvl>
  </w:abstractNum>
  <w:abstractNum w:abstractNumId="234">
    <w:nsid w:val="39DF2579"/>
    <w:multiLevelType w:val="hybridMultilevel"/>
    <w:lvl w:ilvl="0">
      <w:lvlJc w:val="left"/>
      <w:lvlText w:val="%1."/>
      <w:numFmt w:val="decimal"/>
      <w:start w:val="7"/>
    </w:lvl>
  </w:abstractNum>
  <w:abstractNum w:abstractNumId="235">
    <w:nsid w:val="126E008B"/>
    <w:multiLevelType w:val="hybridMultilevel"/>
    <w:lvl w:ilvl="0">
      <w:lvlJc w:val="left"/>
      <w:lvlText w:val="-"/>
      <w:numFmt w:val="bullet"/>
      <w:start w:val="1"/>
    </w:lvl>
  </w:abstractNum>
  <w:abstractNum w:abstractNumId="236">
    <w:nsid w:val="34DFBC00"/>
    <w:multiLevelType w:val="hybridMultilevel"/>
    <w:lvl w:ilvl="0">
      <w:lvlJc w:val="left"/>
      <w:lvlText w:val="%1."/>
      <w:numFmt w:val="decimal"/>
      <w:start w:val="8"/>
    </w:lvl>
  </w:abstractNum>
  <w:abstractNum w:abstractNumId="237">
    <w:nsid w:val="1F9EC322"/>
    <w:multiLevelType w:val="hybridMultilevel"/>
    <w:lvl w:ilvl="0">
      <w:lvlJc w:val="left"/>
      <w:lvlText w:val="(%1)"/>
      <w:numFmt w:val="decimal"/>
      <w:start w:val="1"/>
    </w:lvl>
  </w:abstractNum>
  <w:abstractNum w:abstractNumId="238">
    <w:nsid w:val="3410ED56"/>
    <w:multiLevelType w:val="hybridMultilevel"/>
    <w:lvl w:ilvl="0">
      <w:lvlJc w:val="left"/>
      <w:lvlText w:val="(%1)"/>
      <w:numFmt w:val="decimal"/>
      <w:start w:val="1"/>
    </w:lvl>
  </w:abstractNum>
  <w:abstractNum w:abstractNumId="239">
    <w:nsid w:val="23C049A"/>
    <w:multiLevelType w:val="hybridMultilevel"/>
    <w:lvl w:ilvl="0">
      <w:lvlJc w:val="left"/>
      <w:lvlText w:val="%1."/>
      <w:numFmt w:val="decimal"/>
      <w:start w:val="9"/>
    </w:lvl>
  </w:abstractNum>
  <w:abstractNum w:abstractNumId="240">
    <w:nsid w:val="5BDA35D4"/>
    <w:multiLevelType w:val="hybridMultilevel"/>
    <w:lvl w:ilvl="0">
      <w:lvlJc w:val="left"/>
      <w:lvlText w:val="(%1)"/>
      <w:numFmt w:val="decimal"/>
      <w:start w:val="1"/>
    </w:lvl>
  </w:abstractNum>
  <w:abstractNum w:abstractNumId="241">
    <w:nsid w:val="496FB218"/>
    <w:multiLevelType w:val="hybridMultilevel"/>
    <w:lvl w:ilvl="0">
      <w:lvlJc w:val="left"/>
      <w:lvlText w:val="%1"/>
      <w:numFmt w:val="decimal"/>
      <w:start w:val="10"/>
    </w:lvl>
  </w:abstractNum>
  <w:abstractNum w:abstractNumId="242">
    <w:nsid w:val="680EA5D1"/>
    <w:multiLevelType w:val="hybridMultilevel"/>
    <w:lvl w:ilvl="0">
      <w:lvlJc w:val="left"/>
      <w:lvlText w:val="%1."/>
      <w:numFmt w:val="decimal"/>
      <w:start w:val="9"/>
    </w:lvl>
  </w:abstractNum>
  <w:abstractNum w:abstractNumId="243">
    <w:nsid w:val="4A9554FE"/>
    <w:multiLevelType w:val="hybridMultilevel"/>
    <w:lvl w:ilvl="0">
      <w:lvlJc w:val="left"/>
      <w:lvlText w:val="%1"/>
      <w:numFmt w:val="decimal"/>
      <w:start w:val="10"/>
    </w:lvl>
  </w:abstractNum>
  <w:abstractNum w:abstractNumId="244">
    <w:nsid w:val="392EDBE4"/>
    <w:multiLevelType w:val="hybridMultilevel"/>
    <w:lvl w:ilvl="0">
      <w:lvlJc w:val="left"/>
      <w:lvlText w:val="%1."/>
      <w:numFmt w:val="decimal"/>
      <w:start w:val="10"/>
    </w:lvl>
  </w:abstractNum>
  <w:abstractNum w:abstractNumId="245">
    <w:nsid w:val="3D1A2DD9"/>
    <w:multiLevelType w:val="hybridMultilevel"/>
    <w:lvl w:ilvl="0">
      <w:lvlJc w:val="left"/>
      <w:lvlText w:val="(%1)"/>
      <w:numFmt w:val="decimal"/>
      <w:start w:val="1"/>
    </w:lvl>
  </w:abstractNum>
  <w:abstractNum w:abstractNumId="246">
    <w:nsid w:val="7F618FCD"/>
    <w:multiLevelType w:val="hybridMultilevel"/>
    <w:lvl w:ilvl="0">
      <w:lvlJc w:val="left"/>
      <w:lvlText w:val="%1."/>
      <w:numFmt w:val="decimal"/>
      <w:start w:val="10"/>
    </w:lvl>
  </w:abstractNum>
  <w:abstractNum w:abstractNumId="247">
    <w:nsid w:val="7843E45"/>
    <w:multiLevelType w:val="hybridMultilevel"/>
    <w:lvl w:ilvl="0">
      <w:lvlJc w:val="left"/>
      <w:lvlText w:val="(%1)"/>
      <w:numFmt w:val="decimal"/>
      <w:start w:val="1"/>
    </w:lvl>
  </w:abstractNum>
  <w:abstractNum w:abstractNumId="248">
    <w:nsid w:val="9815DA3"/>
    <w:multiLevelType w:val="hybridMultilevel"/>
    <w:lvl w:ilvl="0">
      <w:lvlJc w:val="left"/>
      <w:lvlText w:val="%1."/>
      <w:numFmt w:val="decimal"/>
      <w:start w:val="12"/>
    </w:lvl>
  </w:abstractNum>
  <w:abstractNum w:abstractNumId="249">
    <w:nsid w:val="5204A191"/>
    <w:multiLevelType w:val="hybridMultilevel"/>
    <w:lvl w:ilvl="0">
      <w:lvlJc w:val="left"/>
      <w:lvlText w:val="%1."/>
      <w:numFmt w:val="decimal"/>
      <w:start w:val="13"/>
    </w:lvl>
  </w:abstractNum>
  <w:abstractNum w:abstractNumId="250">
    <w:nsid w:val="4C73A9C6"/>
    <w:multiLevelType w:val="hybridMultilevel"/>
    <w:lvl w:ilvl="0">
      <w:lvlJc w:val="left"/>
      <w:lvlText w:val="(%1)"/>
      <w:numFmt w:val="decimal"/>
      <w:start w:val="1"/>
    </w:lvl>
  </w:abstractNum>
  <w:abstractNum w:abstractNumId="251">
    <w:nsid w:val="1C7E3C01"/>
    <w:multiLevelType w:val="hybridMultilevel"/>
    <w:lvl w:ilvl="0">
      <w:lvlJc w:val="left"/>
      <w:lvlText w:val="%1."/>
      <w:numFmt w:val="decimal"/>
      <w:start w:val="13"/>
    </w:lvl>
    <w:lvl w:ilvl="1">
      <w:lvlJc w:val="left"/>
      <w:lvlText w:val="-"/>
      <w:numFmt w:val="bullet"/>
      <w:start w:val="1"/>
    </w:lvl>
  </w:abstractNum>
  <w:abstractNum w:abstractNumId="252">
    <w:nsid w:val="1C2201FF"/>
    <w:multiLevelType w:val="hybridMultilevel"/>
    <w:lvl w:ilvl="0">
      <w:lvlJc w:val="left"/>
      <w:lvlText w:val="(%1)"/>
      <w:numFmt w:val="decimal"/>
      <w:start w:val="1"/>
    </w:lvl>
  </w:abstractNum>
  <w:abstractNum w:abstractNumId="253">
    <w:nsid w:val="50ABCEC9"/>
    <w:multiLevelType w:val="hybridMultilevel"/>
    <w:lvl w:ilvl="0">
      <w:lvlJc w:val="left"/>
      <w:lvlText w:val="(%1)"/>
      <w:numFmt w:val="decimal"/>
      <w:start w:val="1"/>
    </w:lvl>
  </w:abstractNum>
  <w:abstractNum w:abstractNumId="254">
    <w:nsid w:val="7635AA2A"/>
    <w:multiLevelType w:val="hybridMultilevel"/>
    <w:lvl w:ilvl="0">
      <w:lvlJc w:val="left"/>
      <w:lvlText w:val="(%1)"/>
      <w:numFmt w:val="decimal"/>
      <w:start w:val="1"/>
    </w:lvl>
  </w:abstractNum>
  <w:abstractNum w:abstractNumId="255">
    <w:nsid w:val="5E74C4D9"/>
    <w:multiLevelType w:val="hybridMultilevel"/>
    <w:lvl w:ilvl="0">
      <w:lvlJc w:val="left"/>
      <w:lvlText w:val="(%1)"/>
      <w:numFmt w:val="decimal"/>
      <w:start w:val="1"/>
    </w:lvl>
  </w:abstractNum>
  <w:abstractNum w:abstractNumId="256">
    <w:nsid w:val="3B3EBE15"/>
    <w:multiLevelType w:val="hybridMultilevel"/>
    <w:lvl w:ilvl="0">
      <w:lvlJc w:val="left"/>
      <w:lvlText w:val="(%1)"/>
      <w:numFmt w:val="decimal"/>
      <w:start w:val="1"/>
    </w:lvl>
  </w:abstractNum>
  <w:abstractNum w:abstractNumId="257">
    <w:nsid w:val="3822CB01"/>
    <w:multiLevelType w:val="hybridMultilevel"/>
    <w:lvl w:ilvl="0">
      <w:lvlJc w:val="left"/>
      <w:lvlText w:val="(%1)"/>
      <w:numFmt w:val="decimal"/>
      <w:start w:val="1"/>
    </w:lvl>
  </w:abstractNum>
  <w:abstractNum w:abstractNumId="258">
    <w:nsid w:val="6CE00443"/>
    <w:multiLevelType w:val="hybridMultilevel"/>
    <w:lvl w:ilvl="0">
      <w:lvlJc w:val="left"/>
      <w:lvlText w:val="(%1)"/>
      <w:numFmt w:val="decimal"/>
      <w:start w:val="1"/>
    </w:lvl>
  </w:abstractNum>
  <w:abstractNum w:abstractNumId="259">
    <w:nsid w:val="79F0D62F"/>
    <w:multiLevelType w:val="hybridMultilevel"/>
    <w:lvl w:ilvl="0">
      <w:lvlJc w:val="left"/>
      <w:lvlText w:val="%1."/>
      <w:numFmt w:val="decimal"/>
      <w:start w:val="14"/>
    </w:lvl>
  </w:abstractNum>
  <w:abstractNum w:abstractNumId="260">
    <w:nsid w:val="7975E8EE"/>
    <w:multiLevelType w:val="hybridMultilevel"/>
    <w:lvl w:ilvl="0">
      <w:lvlJc w:val="left"/>
      <w:lvlText w:val="%1."/>
      <w:numFmt w:val="decimal"/>
      <w:start w:val="15"/>
    </w:lvl>
  </w:abstractNum>
  <w:abstractNum w:abstractNumId="261">
    <w:nsid w:val="73154115"/>
    <w:multiLevelType w:val="hybridMultilevel"/>
    <w:lvl w:ilvl="0">
      <w:lvlJc w:val="left"/>
      <w:lvlText w:val="%1."/>
      <w:numFmt w:val="decimal"/>
      <w:start w:val="15"/>
    </w:lvl>
  </w:abstractNum>
  <w:abstractNum w:abstractNumId="262">
    <w:nsid w:val="622D8102"/>
    <w:multiLevelType w:val="hybridMultilevel"/>
    <w:lvl w:ilvl="0">
      <w:lvlJc w:val="left"/>
      <w:lvlText w:val="%1."/>
      <w:numFmt w:val="decimal"/>
      <w:start w:val="15"/>
    </w:lvl>
  </w:abstractNum>
  <w:abstractNum w:abstractNumId="263">
    <w:nsid w:val="2AB26587"/>
    <w:multiLevelType w:val="hybridMultilevel"/>
    <w:lvl w:ilvl="0">
      <w:lvlJc w:val="left"/>
      <w:lvlText w:val="%1."/>
      <w:numFmt w:val="decimal"/>
      <w:start w:val="17"/>
    </w:lvl>
  </w:abstractNum>
  <w:abstractNum w:abstractNumId="264">
    <w:nsid w:val="44B3FA61"/>
    <w:multiLevelType w:val="hybridMultilevel"/>
    <w:lvl w:ilvl="0">
      <w:lvlJc w:val="left"/>
      <w:lvlText w:val="%1."/>
      <w:numFmt w:val="decimal"/>
      <w:start w:val="19"/>
    </w:lvl>
  </w:abstractNum>
  <w:abstractNum w:abstractNumId="265">
    <w:nsid w:val="1C0CA67C"/>
    <w:multiLevelType w:val="hybridMultilevel"/>
    <w:lvl w:ilvl="0">
      <w:lvlJc w:val="left"/>
      <w:lvlText w:val="%1."/>
      <w:numFmt w:val="decimal"/>
      <w:start w:val="20"/>
    </w:lvl>
  </w:abstractNum>
  <w:abstractNum w:abstractNumId="266">
    <w:nsid w:val="3D206613"/>
    <w:multiLevelType w:val="hybridMultilevel"/>
    <w:lvl w:ilvl="0">
      <w:lvlJc w:val="left"/>
      <w:lvlText w:val="%1."/>
      <w:numFmt w:val="decimal"/>
      <w:start w:val="21"/>
    </w:lvl>
  </w:abstractNum>
  <w:abstractNum w:abstractNumId="267">
    <w:nsid w:val="7993B662"/>
    <w:multiLevelType w:val="hybridMultilevel"/>
    <w:lvl w:ilvl="0">
      <w:lvlJc w:val="left"/>
      <w:lvlText w:val="%1."/>
      <w:numFmt w:val="decimal"/>
      <w:start w:val="21"/>
    </w:lvl>
  </w:abstractNum>
  <w:abstractNum w:abstractNumId="268">
    <w:nsid w:val="3BAB699E"/>
    <w:multiLevelType w:val="hybridMultilevel"/>
    <w:lvl w:ilvl="0">
      <w:lvlJc w:val="left"/>
      <w:lvlText w:val="%1."/>
      <w:numFmt w:val="decimal"/>
      <w:start w:val="21"/>
    </w:lvl>
  </w:abstractNum>
  <w:abstractNum w:abstractNumId="269">
    <w:nsid w:val="71315369"/>
    <w:multiLevelType w:val="hybridMultilevel"/>
    <w:lvl w:ilvl="0">
      <w:lvlJc w:val="left"/>
      <w:lvlText w:val="%1."/>
      <w:numFmt w:val="decimal"/>
      <w:start w:val="21"/>
    </w:lvl>
  </w:abstractNum>
  <w:abstractNum w:abstractNumId="270">
    <w:nsid w:val="7BCFBAFC"/>
    <w:multiLevelType w:val="hybridMultilevel"/>
    <w:lvl w:ilvl="0">
      <w:lvlJc w:val="left"/>
      <w:lvlText w:val="%1."/>
      <w:numFmt w:val="decimal"/>
      <w:start w:val="21"/>
    </w:lvl>
  </w:abstractNum>
  <w:abstractNum w:abstractNumId="271">
    <w:nsid w:val="17859F72"/>
    <w:multiLevelType w:val="hybridMultilevel"/>
    <w:lvl w:ilvl="0">
      <w:lvlJc w:val="left"/>
      <w:lvlText w:val="%1."/>
      <w:numFmt w:val="decimal"/>
      <w:start w:val="21"/>
    </w:lvl>
  </w:abstractNum>
  <w:abstractNum w:abstractNumId="272">
    <w:nsid w:val="3AA10581"/>
    <w:multiLevelType w:val="hybridMultilevel"/>
    <w:lvl w:ilvl="0">
      <w:lvlJc w:val="left"/>
      <w:lvlText w:val="%1."/>
      <w:numFmt w:val="decimal"/>
      <w:start w:val="23"/>
    </w:lvl>
  </w:abstractNum>
  <w:abstractNum w:abstractNumId="273">
    <w:nsid w:val="63DE60CD"/>
    <w:multiLevelType w:val="hybridMultilevel"/>
    <w:lvl w:ilvl="0">
      <w:lvlJc w:val="left"/>
      <w:lvlText w:val="%1."/>
      <w:numFmt w:val="decimal"/>
      <w:start w:val="24"/>
    </w:lvl>
  </w:abstractNum>
  <w:abstractNum w:abstractNumId="274">
    <w:nsid w:val="621AF471"/>
    <w:multiLevelType w:val="hybridMultilevel"/>
    <w:lvl w:ilvl="0">
      <w:lvlJc w:val="left"/>
      <w:lvlText w:val="%1)"/>
      <w:numFmt w:val="decimal"/>
      <w:start w:val="1"/>
    </w:lvl>
  </w:abstractNum>
  <w:abstractNum w:abstractNumId="275">
    <w:nsid w:val="73CFE165"/>
    <w:multiLevelType w:val="hybridMultilevel"/>
    <w:lvl w:ilvl="0">
      <w:lvlJc w:val="left"/>
      <w:lvlText w:val="%1."/>
      <w:numFmt w:val="decimal"/>
      <w:start w:val="24"/>
    </w:lvl>
  </w:abstractNum>
  <w:abstractNum w:abstractNumId="276">
    <w:nsid w:val="20F88EA6"/>
    <w:multiLevelType w:val="hybridMultilevel"/>
    <w:lvl w:ilvl="0">
      <w:lvlJc w:val="left"/>
      <w:lvlText w:val="%1."/>
      <w:numFmt w:val="decimal"/>
      <w:start w:val="25"/>
    </w:lvl>
  </w:abstractNum>
  <w:abstractNum w:abstractNumId="277">
    <w:nsid w:val="617C843E"/>
    <w:multiLevelType w:val="hybridMultilevel"/>
    <w:lvl w:ilvl="0">
      <w:lvlJc w:val="left"/>
      <w:lvlText w:val="(%1)"/>
      <w:numFmt w:val="decimal"/>
      <w:start w:val="1"/>
    </w:lvl>
  </w:abstractNum>
  <w:abstractNum w:abstractNumId="278">
    <w:nsid w:val="7B541FAB"/>
    <w:multiLevelType w:val="hybridMultilevel"/>
    <w:lvl w:ilvl="0">
      <w:lvlJc w:val="left"/>
      <w:lvlText w:val="%1."/>
      <w:numFmt w:val="decimal"/>
      <w:start w:val="25"/>
    </w:lvl>
  </w:abstractNum>
  <w:abstractNum w:abstractNumId="279">
    <w:nsid w:val="2A79EC49"/>
    <w:multiLevelType w:val="hybridMultilevel"/>
    <w:lvl w:ilvl="0">
      <w:lvlJc w:val="left"/>
      <w:lvlText w:val="%1."/>
      <w:numFmt w:val="decimal"/>
      <w:start w:val="26"/>
    </w:lvl>
  </w:abstractNum>
  <w:abstractNum w:abstractNumId="280">
    <w:nsid w:val="338125CF"/>
    <w:multiLevelType w:val="hybridMultilevel"/>
    <w:lvl w:ilvl="0">
      <w:lvlJc w:val="left"/>
      <w:lvlText w:val="%1."/>
      <w:numFmt w:val="decimal"/>
      <w:start w:val="26"/>
    </w:lvl>
  </w:abstractNum>
  <w:abstractNum w:abstractNumId="281">
    <w:nsid w:val="47C7C971"/>
    <w:multiLevelType w:val="hybridMultilevel"/>
    <w:lvl w:ilvl="0">
      <w:lvlJc w:val="left"/>
      <w:lvlText w:val="%1."/>
      <w:numFmt w:val="decimal"/>
      <w:start w:val="27"/>
    </w:lvl>
  </w:abstractNum>
  <w:abstractNum w:abstractNumId="282">
    <w:nsid w:val="46F8284B"/>
    <w:multiLevelType w:val="hybridMultilevel"/>
    <w:lvl w:ilvl="0">
      <w:lvlJc w:val="left"/>
      <w:lvlText w:val="%1."/>
      <w:numFmt w:val="decimal"/>
      <w:start w:val="28"/>
    </w:lvl>
  </w:abstractNum>
  <w:abstractNum w:abstractNumId="283">
    <w:nsid w:val="4FA327CE"/>
    <w:multiLevelType w:val="hybridMultilevel"/>
    <w:lvl w:ilvl="0">
      <w:lvlJc w:val="left"/>
      <w:lvlText w:val="(%1)"/>
      <w:numFmt w:val="decimal"/>
      <w:start w:val="1"/>
    </w:lvl>
  </w:abstractNum>
  <w:abstractNum w:abstractNumId="284">
    <w:nsid w:val="1873983A"/>
    <w:multiLevelType w:val="hybridMultilevel"/>
    <w:lvl w:ilvl="0">
      <w:lvlJc w:val="left"/>
      <w:lvlText w:val="%1."/>
      <w:numFmt w:val="decimal"/>
      <w:start w:val="28"/>
    </w:lvl>
  </w:abstractNum>
  <w:abstractNum w:abstractNumId="285">
    <w:nsid w:val="3D2DD275"/>
    <w:multiLevelType w:val="hybridMultilevel"/>
    <w:lvl w:ilvl="0">
      <w:lvlJc w:val="left"/>
      <w:lvlText w:val="%1."/>
      <w:numFmt w:val="decimal"/>
      <w:start w:val="29"/>
    </w:lvl>
  </w:abstractNum>
  <w:abstractNum w:abstractNumId="286">
    <w:nsid w:val="2E17ECA7"/>
    <w:multiLevelType w:val="hybridMultilevel"/>
    <w:lvl w:ilvl="0">
      <w:lvlJc w:val="left"/>
      <w:lvlText w:val="%1."/>
      <w:numFmt w:val="lowerRoman"/>
      <w:start w:val="1"/>
    </w:lvl>
  </w:abstractNum>
  <w:abstractNum w:abstractNumId="287">
    <w:nsid w:val="53B2564F"/>
    <w:multiLevelType w:val="hybridMultilevel"/>
    <w:lvl w:ilvl="0">
      <w:lvlJc w:val="left"/>
      <w:lvlText w:val="%1."/>
      <w:numFmt w:val="decimal"/>
      <w:start w:val="31"/>
    </w:lvl>
  </w:abstractNum>
  <w:abstractNum w:abstractNumId="288">
    <w:nsid w:val="75509D76"/>
    <w:multiLevelType w:val="hybridMultilevel"/>
    <w:lvl w:ilvl="0">
      <w:lvlJc w:val="left"/>
      <w:lvlText w:val="%1."/>
      <w:numFmt w:val="decimal"/>
      <w:start w:val="32"/>
    </w:lvl>
  </w:abstractNum>
  <w:abstractNum w:abstractNumId="289">
    <w:nsid w:val="1AF7F0EA"/>
    <w:multiLevelType w:val="hybridMultilevel"/>
    <w:lvl w:ilvl="0">
      <w:lvlJc w:val="left"/>
      <w:lvlText w:val="%1."/>
      <w:numFmt w:val="decimal"/>
      <w:start w:val="32"/>
    </w:lvl>
  </w:abstractNum>
  <w:abstractNum w:abstractNumId="290">
    <w:nsid w:val="4DA32C7E"/>
    <w:multiLevelType w:val="hybridMultilevel"/>
    <w:lvl w:ilvl="0">
      <w:lvlJc w:val="left"/>
      <w:lvlText w:val="(*)"/>
      <w:numFmt w:val="bullet"/>
      <w:start w:val="1"/>
    </w:lvl>
  </w:abstractNum>
  <w:abstractNum w:abstractNumId="291">
    <w:nsid w:val="6EC68664"/>
    <w:multiLevelType w:val="hybridMultilevel"/>
    <w:lvl w:ilvl="0">
      <w:lvlJc w:val="left"/>
      <w:lvlText w:val="%1."/>
      <w:numFmt w:val="decimal"/>
      <w:start w:val="32"/>
    </w:lvl>
    <w:lvl w:ilvl="1">
      <w:lvlJc w:val="left"/>
      <w:lvlText w:val="%2."/>
      <w:numFmt w:val="decimal"/>
      <w:start w:val="1"/>
    </w:lvl>
    <w:lvl w:ilvl="2">
      <w:lvlJc w:val="left"/>
      <w:lvlText w:val="%3."/>
      <w:numFmt w:val="lowerRoman"/>
      <w:start w:val="1"/>
    </w:lvl>
  </w:abstractNum>
  <w:abstractNum w:abstractNumId="292">
    <w:nsid w:val="E0D31FF"/>
    <w:multiLevelType w:val="hybridMultilevel"/>
    <w:lvl w:ilvl="0">
      <w:lvlJc w:val="left"/>
      <w:lvlText w:val="%1."/>
      <w:numFmt w:val="decimal"/>
      <w:start w:val="32"/>
    </w:lvl>
  </w:abstractNum>
  <w:abstractNum w:abstractNumId="293">
    <w:nsid w:val="2FD0AD81"/>
    <w:multiLevelType w:val="hybridMultilevel"/>
    <w:lvl w:ilvl="0">
      <w:lvlJc w:val="left"/>
      <w:lvlText w:val="*"/>
      <w:numFmt w:val="bullet"/>
      <w:start w:val="1"/>
    </w:lvl>
  </w:abstractNum>
  <w:abstractNum w:abstractNumId="294">
    <w:nsid w:val="1978EBEB"/>
    <w:multiLevelType w:val="hybridMultilevel"/>
    <w:lvl w:ilvl="0">
      <w:lvlJc w:val="left"/>
      <w:lvlText w:val="%1."/>
      <w:numFmt w:val="decimal"/>
      <w:start w:val="32"/>
    </w:lvl>
    <w:lvl w:ilvl="1">
      <w:lvlJc w:val="left"/>
      <w:lvlText w:val="%2."/>
      <w:numFmt w:val="decimal"/>
      <w:start w:val="1"/>
    </w:lvl>
  </w:abstractNum>
  <w:abstractNum w:abstractNumId="295">
    <w:nsid w:val="52C12C61"/>
    <w:multiLevelType w:val="hybridMultilevel"/>
    <w:lvl w:ilvl="0">
      <w:lvlJc w:val="left"/>
      <w:lvlText w:val="%1."/>
      <w:numFmt w:val="decimal"/>
      <w:start w:val="33"/>
    </w:lvl>
  </w:abstractNum>
  <w:abstractNum w:abstractNumId="296">
    <w:nsid w:val="4BDD53FD"/>
    <w:multiLevelType w:val="hybridMultilevel"/>
    <w:lvl w:ilvl="0">
      <w:lvlJc w:val="left"/>
      <w:lvlText w:val="%1)"/>
      <w:numFmt w:val="lowerLetter"/>
      <w:start w:val="1"/>
    </w:lvl>
  </w:abstractNum>
  <w:abstractNum w:abstractNumId="297">
    <w:nsid w:val="569951FE"/>
    <w:multiLevelType w:val="hybridMultilevel"/>
    <w:lvl w:ilvl="0">
      <w:lvlJc w:val="left"/>
      <w:lvlText w:val="1"/>
      <w:numFmt w:val="bullet"/>
      <w:start w:val="1"/>
    </w:lvl>
  </w:abstractNum>
  <w:abstractNum w:abstractNumId="298">
    <w:nsid w:val="4C54E2C3"/>
    <w:multiLevelType w:val="hybridMultilevel"/>
    <w:lvl w:ilvl="0">
      <w:lvlJc w:val="left"/>
      <w:lvlText w:val="(%1)"/>
      <w:numFmt w:val="lowerLetter"/>
      <w:start w:val="1"/>
    </w:lvl>
    <w:lvl w:ilvl="1">
      <w:lvlJc w:val="left"/>
      <w:lvlText w:val="%2."/>
      <w:numFmt w:val="decimal"/>
      <w:start w:val="1"/>
    </w:lvl>
  </w:abstractNum>
  <w:abstractNum w:abstractNumId="299">
    <w:nsid w:val="788BD9B"/>
    <w:multiLevelType w:val="hybridMultilevel"/>
    <w:lvl w:ilvl="0">
      <w:lvlJc w:val="left"/>
      <w:lvlText w:val="%1)"/>
      <w:numFmt w:val="lowerLetter"/>
      <w:start w:val="1"/>
    </w:lvl>
  </w:abstractNum>
  <w:abstractNum w:abstractNumId="300">
    <w:nsid w:val="47CAA567"/>
    <w:multiLevelType w:val="hybridMultilevel"/>
    <w:lvl w:ilvl="0">
      <w:lvlJc w:val="left"/>
      <w:lvlText w:val="(%1)"/>
      <w:numFmt w:val="lowerRoman"/>
      <w:start w:val="1"/>
    </w:lvl>
  </w:abstractNum>
  <w:abstractNum w:abstractNumId="301">
    <w:nsid w:val="48249DBF"/>
    <w:multiLevelType w:val="hybridMultilevel"/>
    <w:lvl w:ilvl="0">
      <w:lvlJc w:val="left"/>
      <w:lvlText w:val="%1)"/>
      <w:numFmt w:val="lowerLetter"/>
      <w:start w:val="1"/>
    </w:lvl>
  </w:abstractNum>
  <w:abstractNum w:abstractNumId="302">
    <w:nsid w:val="1F0E5D0D"/>
    <w:multiLevelType w:val="hybridMultilevel"/>
    <w:lvl w:ilvl="0">
      <w:lvlJc w:val="left"/>
      <w:lvlText w:val="%1)"/>
      <w:numFmt w:val="lowerLetter"/>
      <w:start w:val="1"/>
    </w:lvl>
  </w:abstractNum>
  <w:abstractNum w:abstractNumId="303">
    <w:nsid w:val="26BAAE9"/>
    <w:multiLevelType w:val="hybridMultilevel"/>
    <w:lvl w:ilvl="0">
      <w:lvlJc w:val="left"/>
      <w:lvlText w:val="%1)"/>
      <w:numFmt w:val="lowerLetter"/>
      <w:start w:val="1"/>
    </w:lvl>
  </w:abstractNum>
  <w:abstractNum w:abstractNumId="304">
    <w:nsid w:val="2C02FE8C"/>
    <w:multiLevelType w:val="hybridMultilevel"/>
    <w:lvl w:ilvl="0">
      <w:lvlJc w:val="left"/>
      <w:lvlText w:val="%1)"/>
      <w:numFmt w:val="lowerLetter"/>
      <w:start w:val="1"/>
    </w:lvl>
  </w:abstractNum>
  <w:abstractNum w:abstractNumId="305">
    <w:nsid w:val="129517E"/>
    <w:multiLevelType w:val="hybridMultilevel"/>
    <w:lvl w:ilvl="0">
      <w:lvlJc w:val="left"/>
      <w:lvlText w:val="%1."/>
      <w:numFmt w:val="upperLetter"/>
      <w:start w:val="60"/>
    </w:lvl>
    <w:lvl w:ilvl="1">
      <w:lvlJc w:val="left"/>
      <w:lvlText w:val="·"/>
      <w:numFmt w:val="bullet"/>
      <w:start w:val="1"/>
    </w:lvl>
  </w:abstractNum>
  <w:abstractNum w:abstractNumId="306">
    <w:nsid w:val="763B8C4E"/>
    <w:multiLevelType w:val="hybridMultilevel"/>
    <w:lvl w:ilvl="0">
      <w:lvlJc w:val="left"/>
      <w:lvlText w:val="·"/>
      <w:numFmt w:val="bullet"/>
      <w:start w:val="1"/>
    </w:lvl>
  </w:abstractNum>
  <w:abstractNum w:abstractNumId="307">
    <w:nsid w:val="4CFB8D32"/>
    <w:multiLevelType w:val="hybridMultilevel"/>
    <w:lvl w:ilvl="0">
      <w:lvlJc w:val="left"/>
      <w:lvlText w:val="·"/>
      <w:numFmt w:val="bullet"/>
      <w:start w:val="1"/>
    </w:lvl>
  </w:abstractNum>
  <w:abstractNum w:abstractNumId="308">
    <w:nsid w:val="62A5D5BD"/>
    <w:multiLevelType w:val="hybridMultilevel"/>
    <w:lvl w:ilvl="0">
      <w:lvlJc w:val="left"/>
      <w:lvlText w:val="·"/>
      <w:numFmt w:val="bullet"/>
      <w:start w:val="1"/>
    </w:lvl>
  </w:abstractNum>
  <w:abstractNum w:abstractNumId="309">
    <w:nsid w:val="718FABF9"/>
    <w:multiLevelType w:val="hybridMultilevel"/>
    <w:lvl w:ilvl="0">
      <w:lvlJc w:val="left"/>
      <w:lvlText w:val="·"/>
      <w:numFmt w:val="bullet"/>
      <w:start w:val="1"/>
    </w:lvl>
  </w:abstractNum>
  <w:abstractNum w:abstractNumId="310">
    <w:nsid w:val="7775797C"/>
    <w:multiLevelType w:val="hybridMultilevel"/>
    <w:lvl w:ilvl="0">
      <w:lvlJc w:val="left"/>
      <w:lvlText w:val="·"/>
      <w:numFmt w:val="bullet"/>
      <w:start w:val="1"/>
    </w:lvl>
    <w:lvl w:ilvl="1">
      <w:lvlJc w:val="left"/>
      <w:lvlText w:val="·"/>
      <w:numFmt w:val="bullet"/>
      <w:start w:val="1"/>
    </w:lvl>
  </w:abstractNum>
  <w:abstractNum w:abstractNumId="311">
    <w:nsid w:val="1626FB8C"/>
    <w:multiLevelType w:val="hybridMultilevel"/>
    <w:lvl w:ilvl="0">
      <w:lvlJc w:val="left"/>
      <w:lvlText w:val="·"/>
      <w:numFmt w:val="bullet"/>
      <w:start w:val="1"/>
    </w:lvl>
  </w:abstractNum>
  <w:abstractNum w:abstractNumId="312">
    <w:nsid w:val="3957756A"/>
    <w:multiLevelType w:val="hybridMultilevel"/>
    <w:lvl w:ilvl="0">
      <w:lvlJc w:val="left"/>
      <w:lvlText w:val="·"/>
      <w:numFmt w:val="bullet"/>
      <w:start w:val="1"/>
    </w:lvl>
  </w:abstractNum>
  <w:abstractNum w:abstractNumId="313">
    <w:nsid w:val="3E6DA1C7"/>
    <w:multiLevelType w:val="hybridMultilevel"/>
    <w:lvl w:ilvl="0">
      <w:lvlJc w:val="left"/>
      <w:lvlText w:val="·"/>
      <w:numFmt w:val="bullet"/>
      <w:start w:val="1"/>
    </w:lvl>
  </w:abstractNum>
  <w:abstractNum w:abstractNumId="314">
    <w:nsid w:val="65CA235B"/>
    <w:multiLevelType w:val="hybridMultilevel"/>
    <w:lvl w:ilvl="0">
      <w:lvlJc w:val="left"/>
      <w:lvlText w:val="·"/>
      <w:numFmt w:val="bullet"/>
      <w:start w:val="1"/>
    </w:lvl>
  </w:abstractNum>
  <w:abstractNum w:abstractNumId="315">
    <w:nsid w:val="51CB0DA4"/>
    <w:multiLevelType w:val="hybridMultilevel"/>
    <w:lvl w:ilvl="0">
      <w:lvlJc w:val="left"/>
      <w:lvlText w:val="·"/>
      <w:numFmt w:val="bullet"/>
      <w:start w:val="1"/>
    </w:lvl>
  </w:abstractNum>
  <w:abstractNum w:abstractNumId="316">
    <w:nsid w:val="7B9B743C"/>
    <w:multiLevelType w:val="hybridMultilevel"/>
    <w:lvl w:ilvl="0">
      <w:lvlJc w:val="left"/>
      <w:lvlText w:val="·"/>
      <w:numFmt w:val="bullet"/>
      <w:start w:val="1"/>
    </w:lvl>
    <w:lvl w:ilvl="1">
      <w:lvlJc w:val="left"/>
      <w:lvlText w:val="·"/>
      <w:numFmt w:val="bullet"/>
      <w:start w:val="1"/>
    </w:lvl>
  </w:abstractNum>
  <w:abstractNum w:abstractNumId="317">
    <w:nsid w:val="13E21002"/>
    <w:multiLevelType w:val="hybridMultilevel"/>
    <w:lvl w:ilvl="0">
      <w:lvlJc w:val="left"/>
      <w:lvlText w:val="%1"/>
      <w:numFmt w:val="decimal"/>
      <w:start w:val="1"/>
    </w:lvl>
    <w:lvl w:ilvl="1">
      <w:lvlJc w:val="left"/>
      <w:lvlText w:val="%2"/>
      <w:numFmt w:val="decimal"/>
      <w:start w:val="1"/>
    </w:lvl>
    <w:lvl w:ilvl="2">
      <w:lvlJc w:val="left"/>
      <w:lvlText w:val="%3."/>
      <w:numFmt w:val="decimal"/>
      <w:start w:val="1"/>
    </w:lvl>
    <w:lvl w:ilvl="3">
      <w:lvlJc w:val="left"/>
      <w:lvlText w:val="%4"/>
      <w:numFmt w:val="lowerLetter"/>
      <w:start w:val="1"/>
    </w:lvl>
  </w:abstractNum>
  <w:abstractNum w:abstractNumId="318">
    <w:nsid w:val="257D63F4"/>
    <w:multiLevelType w:val="hybridMultilevel"/>
    <w:lvl w:ilvl="0">
      <w:lvlJc w:val="left"/>
      <w:lvlText w:val="%1"/>
      <w:numFmt w:val="decimal"/>
      <w:start w:val="1"/>
    </w:lvl>
    <w:lvl w:ilvl="1">
      <w:lvlJc w:val="left"/>
      <w:lvlText w:val="%2."/>
      <w:numFmt w:val="decimal"/>
      <w:start w:val="2"/>
    </w:lvl>
    <w:lvl w:ilvl="2">
      <w:lvlJc w:val="left"/>
      <w:lvlText w:val="%3"/>
      <w:numFmt w:val="decimal"/>
      <w:start w:val="1"/>
    </w:lvl>
    <w:lvl w:ilvl="3">
      <w:lvlJc w:val="left"/>
      <w:lvlText w:val="%4"/>
      <w:numFmt w:val="lowerLetter"/>
      <w:start w:val="1"/>
    </w:lvl>
  </w:abstractNum>
  <w:abstractNum w:abstractNumId="319">
    <w:nsid w:val="70EC11B2"/>
    <w:multiLevelType w:val="hybridMultilevel"/>
    <w:lvl w:ilvl="0">
      <w:lvlJc w:val="left"/>
      <w:lvlText w:val="%1."/>
      <w:numFmt w:val="decimal"/>
      <w:start w:val="4"/>
    </w:lvl>
    <w:lvl w:ilvl="1">
      <w:lvlJc w:val="left"/>
      <w:lvlText w:val="%2"/>
      <w:numFmt w:val="decimal"/>
      <w:start w:val="1"/>
    </w:lvl>
    <w:lvl w:ilvl="2">
      <w:lvlJc w:val="left"/>
      <w:lvlText w:val="%3"/>
      <w:numFmt w:val="decimal"/>
      <w:start w:val="1"/>
    </w:lvl>
    <w:lvl w:ilvl="3">
      <w:lvlJc w:val="left"/>
      <w:lvlText w:val="%4)"/>
      <w:numFmt w:val="lowerLetter"/>
      <w:start w:val="1"/>
    </w:lvl>
  </w:abstractNum>
  <w:abstractNum w:abstractNumId="320">
    <w:nsid w:val="2EDA00ED"/>
    <w:multiLevelType w:val="hybridMultilevel"/>
    <w:lvl w:ilvl="0">
      <w:lvlJc w:val="left"/>
      <w:lvlText w:val="%1."/>
      <w:numFmt w:val="decimal"/>
      <w:start w:val="1"/>
    </w:lvl>
    <w:lvl w:ilvl="1">
      <w:lvlJc w:val="left"/>
      <w:lvlText w:val="%2)"/>
      <w:numFmt w:val="lowerLetter"/>
      <w:start w:val="1"/>
    </w:lvl>
  </w:abstractNum>
  <w:abstractNum w:abstractNumId="321">
    <w:nsid w:val="73209072"/>
    <w:multiLevelType w:val="hybridMultilevel"/>
    <w:lvl w:ilvl="0">
      <w:lvlJc w:val="left"/>
      <w:lvlText w:val="(%1)"/>
      <w:numFmt w:val="lowerRoman"/>
      <w:start w:val="1"/>
    </w:lvl>
  </w:abstractNum>
  <w:abstractNum w:abstractNumId="322">
    <w:nsid w:val="5FB29816"/>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jpe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3" Type="http://schemas.openxmlformats.org/officeDocument/2006/relationships/image" Target="media/image134.png"/><Relationship Id="rId144" Type="http://schemas.openxmlformats.org/officeDocument/2006/relationships/image" Target="media/image135.png"/><Relationship Id="rId145" Type="http://schemas.openxmlformats.org/officeDocument/2006/relationships/image" Target="media/image136.jpeg"/><Relationship Id="rId146" Type="http://schemas.openxmlformats.org/officeDocument/2006/relationships/image" Target="media/image137.png"/><Relationship Id="rId147" Type="http://schemas.openxmlformats.org/officeDocument/2006/relationships/image" Target="media/image138.png"/><Relationship Id="rId148" Type="http://schemas.openxmlformats.org/officeDocument/2006/relationships/image" Target="media/image139.png"/><Relationship Id="rId149" Type="http://schemas.openxmlformats.org/officeDocument/2006/relationships/image" Target="media/image140.png"/><Relationship Id="rId150" Type="http://schemas.openxmlformats.org/officeDocument/2006/relationships/image" Target="media/image141.png"/><Relationship Id="rId151" Type="http://schemas.openxmlformats.org/officeDocument/2006/relationships/image" Target="media/image142.png"/><Relationship Id="rId152" Type="http://schemas.openxmlformats.org/officeDocument/2006/relationships/image" Target="media/image143.png"/><Relationship Id="rId153" Type="http://schemas.openxmlformats.org/officeDocument/2006/relationships/image" Target="media/image144.png"/><Relationship Id="rId154" Type="http://schemas.openxmlformats.org/officeDocument/2006/relationships/image" Target="media/image145.png"/><Relationship Id="rId155" Type="http://schemas.openxmlformats.org/officeDocument/2006/relationships/image" Target="media/image146.png"/><Relationship Id="rId156" Type="http://schemas.openxmlformats.org/officeDocument/2006/relationships/image" Target="media/image147.png"/><Relationship Id="rId157" Type="http://schemas.openxmlformats.org/officeDocument/2006/relationships/image" Target="media/image148.png"/><Relationship Id="rId158" Type="http://schemas.openxmlformats.org/officeDocument/2006/relationships/image" Target="media/image149.png"/><Relationship Id="rId159" Type="http://schemas.openxmlformats.org/officeDocument/2006/relationships/image" Target="media/image150.png"/><Relationship Id="rId160" Type="http://schemas.openxmlformats.org/officeDocument/2006/relationships/image" Target="media/image151.png"/><Relationship Id="rId161" Type="http://schemas.openxmlformats.org/officeDocument/2006/relationships/image" Target="media/image152.png"/><Relationship Id="rId162" Type="http://schemas.openxmlformats.org/officeDocument/2006/relationships/image" Target="media/image153.png"/><Relationship Id="rId163" Type="http://schemas.openxmlformats.org/officeDocument/2006/relationships/image" Target="media/image154.png"/><Relationship Id="rId164" Type="http://schemas.openxmlformats.org/officeDocument/2006/relationships/image" Target="media/image155.png"/><Relationship Id="rId165" Type="http://schemas.openxmlformats.org/officeDocument/2006/relationships/image" Target="media/image156.png"/><Relationship Id="rId166" Type="http://schemas.openxmlformats.org/officeDocument/2006/relationships/image" Target="media/image157.png"/><Relationship Id="rId167" Type="http://schemas.openxmlformats.org/officeDocument/2006/relationships/image" Target="media/image158.png"/><Relationship Id="rId168" Type="http://schemas.openxmlformats.org/officeDocument/2006/relationships/image" Target="media/image159.png"/><Relationship Id="rId169" Type="http://schemas.openxmlformats.org/officeDocument/2006/relationships/image" Target="media/image160.png"/><Relationship Id="rId170" Type="http://schemas.openxmlformats.org/officeDocument/2006/relationships/image" Target="media/image161.png"/><Relationship Id="rId171" Type="http://schemas.openxmlformats.org/officeDocument/2006/relationships/image" Target="media/image162.png"/><Relationship Id="rId172" Type="http://schemas.openxmlformats.org/officeDocument/2006/relationships/image" Target="media/image163.png"/><Relationship Id="rId173" Type="http://schemas.openxmlformats.org/officeDocument/2006/relationships/image" Target="media/image164.png"/><Relationship Id="rId174" Type="http://schemas.openxmlformats.org/officeDocument/2006/relationships/image" Target="media/image165.png"/><Relationship Id="rId175" Type="http://schemas.openxmlformats.org/officeDocument/2006/relationships/image" Target="media/image166.png"/><Relationship Id="rId176" Type="http://schemas.openxmlformats.org/officeDocument/2006/relationships/image" Target="media/image167.png"/><Relationship Id="rId177" Type="http://schemas.openxmlformats.org/officeDocument/2006/relationships/image" Target="media/image168.png"/><Relationship Id="rId178" Type="http://schemas.openxmlformats.org/officeDocument/2006/relationships/image" Target="media/image169.png"/><Relationship Id="rId179" Type="http://schemas.openxmlformats.org/officeDocument/2006/relationships/image" Target="media/image170.png"/><Relationship Id="rId180" Type="http://schemas.openxmlformats.org/officeDocument/2006/relationships/image" Target="media/image171.png"/><Relationship Id="rId181" Type="http://schemas.openxmlformats.org/officeDocument/2006/relationships/image" Target="media/image172.png"/><Relationship Id="rId182" Type="http://schemas.openxmlformats.org/officeDocument/2006/relationships/image" Target="media/image173.png"/><Relationship Id="rId183" Type="http://schemas.openxmlformats.org/officeDocument/2006/relationships/image" Target="media/image174.png"/><Relationship Id="rId184" Type="http://schemas.openxmlformats.org/officeDocument/2006/relationships/image" Target="media/image175.png"/><Relationship Id="rId185" Type="http://schemas.openxmlformats.org/officeDocument/2006/relationships/image" Target="media/image176.png"/><Relationship Id="rId186" Type="http://schemas.openxmlformats.org/officeDocument/2006/relationships/image" Target="media/image177.png"/><Relationship Id="rId187" Type="http://schemas.openxmlformats.org/officeDocument/2006/relationships/image" Target="media/image178.png"/><Relationship Id="rId188" Type="http://schemas.openxmlformats.org/officeDocument/2006/relationships/image" Target="media/image179.png"/><Relationship Id="rId189" Type="http://schemas.openxmlformats.org/officeDocument/2006/relationships/image" Target="media/image180.png"/><Relationship Id="rId190" Type="http://schemas.openxmlformats.org/officeDocument/2006/relationships/image" Target="media/image181.png"/><Relationship Id="rId191" Type="http://schemas.openxmlformats.org/officeDocument/2006/relationships/image" Target="media/image182.png"/><Relationship Id="rId192" Type="http://schemas.openxmlformats.org/officeDocument/2006/relationships/image" Target="media/image183.png"/><Relationship Id="rId193" Type="http://schemas.openxmlformats.org/officeDocument/2006/relationships/image" Target="media/image184.png"/><Relationship Id="rId194" Type="http://schemas.openxmlformats.org/officeDocument/2006/relationships/image" Target="media/image185.png"/><Relationship Id="rId195" Type="http://schemas.openxmlformats.org/officeDocument/2006/relationships/image" Target="media/image186.png"/><Relationship Id="rId196" Type="http://schemas.openxmlformats.org/officeDocument/2006/relationships/image" Target="media/image187.png"/><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image" Target="media/image286.png"/><Relationship Id="rId296" Type="http://schemas.openxmlformats.org/officeDocument/2006/relationships/image" Target="media/image287.png"/><Relationship Id="rId297" Type="http://schemas.openxmlformats.org/officeDocument/2006/relationships/image" Target="media/image288.png"/><Relationship Id="rId298" Type="http://schemas.openxmlformats.org/officeDocument/2006/relationships/image" Target="media/image289.png"/><Relationship Id="rId299" Type="http://schemas.openxmlformats.org/officeDocument/2006/relationships/image" Target="media/image290.png"/><Relationship Id="rId300" Type="http://schemas.openxmlformats.org/officeDocument/2006/relationships/image" Target="media/image291.png"/><Relationship Id="rId301" Type="http://schemas.openxmlformats.org/officeDocument/2006/relationships/image" Target="media/image292.png"/><Relationship Id="rId302" Type="http://schemas.openxmlformats.org/officeDocument/2006/relationships/image" Target="media/image293.png"/><Relationship Id="rId303" Type="http://schemas.openxmlformats.org/officeDocument/2006/relationships/image" Target="media/image294.png"/><Relationship Id="rId304" Type="http://schemas.openxmlformats.org/officeDocument/2006/relationships/image" Target="media/image295.png"/><Relationship Id="rId305" Type="http://schemas.openxmlformats.org/officeDocument/2006/relationships/image" Target="media/image296.png"/><Relationship Id="rId306" Type="http://schemas.openxmlformats.org/officeDocument/2006/relationships/image" Target="media/image297.png"/><Relationship Id="rId307" Type="http://schemas.openxmlformats.org/officeDocument/2006/relationships/image" Target="media/image298.png"/><Relationship Id="rId308" Type="http://schemas.openxmlformats.org/officeDocument/2006/relationships/image" Target="media/image299.png"/><Relationship Id="rId309" Type="http://schemas.openxmlformats.org/officeDocument/2006/relationships/image" Target="media/image300.png"/><Relationship Id="rId310" Type="http://schemas.openxmlformats.org/officeDocument/2006/relationships/image" Target="media/image301.png"/><Relationship Id="rId311" Type="http://schemas.openxmlformats.org/officeDocument/2006/relationships/image" Target="media/image302.png"/><Relationship Id="rId312" Type="http://schemas.openxmlformats.org/officeDocument/2006/relationships/image" Target="media/image303.png"/><Relationship Id="rId313" Type="http://schemas.openxmlformats.org/officeDocument/2006/relationships/image" Target="media/image304.png"/><Relationship Id="rId314" Type="http://schemas.openxmlformats.org/officeDocument/2006/relationships/image" Target="media/image305.png"/><Relationship Id="rId315" Type="http://schemas.openxmlformats.org/officeDocument/2006/relationships/image" Target="media/image306.png"/><Relationship Id="rId316" Type="http://schemas.openxmlformats.org/officeDocument/2006/relationships/image" Target="media/image307.png"/><Relationship Id="rId317" Type="http://schemas.openxmlformats.org/officeDocument/2006/relationships/image" Target="media/image308.png"/><Relationship Id="rId318" Type="http://schemas.openxmlformats.org/officeDocument/2006/relationships/image" Target="media/image309.png"/><Relationship Id="rId319" Type="http://schemas.openxmlformats.org/officeDocument/2006/relationships/image" Target="media/image310.png"/><Relationship Id="rId320" Type="http://schemas.openxmlformats.org/officeDocument/2006/relationships/image" Target="media/image311.png"/><Relationship Id="rId321" Type="http://schemas.openxmlformats.org/officeDocument/2006/relationships/image" Target="media/image312.png"/><Relationship Id="rId322" Type="http://schemas.openxmlformats.org/officeDocument/2006/relationships/image" Target="media/image313.png"/><Relationship Id="rId323" Type="http://schemas.openxmlformats.org/officeDocument/2006/relationships/image" Target="media/image314.png"/><Relationship Id="rId324" Type="http://schemas.openxmlformats.org/officeDocument/2006/relationships/image" Target="media/image315.png"/><Relationship Id="rId325" Type="http://schemas.openxmlformats.org/officeDocument/2006/relationships/image" Target="media/image316.png"/><Relationship Id="rId326" Type="http://schemas.openxmlformats.org/officeDocument/2006/relationships/image" Target="media/image317.png"/><Relationship Id="rId327" Type="http://schemas.openxmlformats.org/officeDocument/2006/relationships/image" Target="media/image318.png"/><Relationship Id="rId328" Type="http://schemas.openxmlformats.org/officeDocument/2006/relationships/image" Target="media/image319.png"/><Relationship Id="rId329" Type="http://schemas.openxmlformats.org/officeDocument/2006/relationships/image" Target="media/image320.png"/><Relationship Id="rId330" Type="http://schemas.openxmlformats.org/officeDocument/2006/relationships/image" Target="media/image321.png"/><Relationship Id="rId331" Type="http://schemas.openxmlformats.org/officeDocument/2006/relationships/image" Target="media/image322.png"/><Relationship Id="rId332" Type="http://schemas.openxmlformats.org/officeDocument/2006/relationships/image" Target="media/image323.png"/><Relationship Id="rId333" Type="http://schemas.openxmlformats.org/officeDocument/2006/relationships/image" Target="media/image324.png"/><Relationship Id="rId334" Type="http://schemas.openxmlformats.org/officeDocument/2006/relationships/image" Target="media/image325.png"/><Relationship Id="rId335" Type="http://schemas.openxmlformats.org/officeDocument/2006/relationships/image" Target="media/image326.png"/><Relationship Id="rId336" Type="http://schemas.openxmlformats.org/officeDocument/2006/relationships/image" Target="media/image327.png"/><Relationship Id="rId337" Type="http://schemas.openxmlformats.org/officeDocument/2006/relationships/image" Target="media/image328.png"/><Relationship Id="rId338" Type="http://schemas.openxmlformats.org/officeDocument/2006/relationships/image" Target="media/image329.png"/><Relationship Id="rId339" Type="http://schemas.openxmlformats.org/officeDocument/2006/relationships/image" Target="media/image330.png"/><Relationship Id="rId340" Type="http://schemas.openxmlformats.org/officeDocument/2006/relationships/image" Target="media/image331.png"/><Relationship Id="rId341" Type="http://schemas.openxmlformats.org/officeDocument/2006/relationships/image" Target="media/image332.png"/><Relationship Id="rId342" Type="http://schemas.openxmlformats.org/officeDocument/2006/relationships/image" Target="media/image333.png"/><Relationship Id="rId343" Type="http://schemas.openxmlformats.org/officeDocument/2006/relationships/image" Target="media/image334.png"/><Relationship Id="rId344" Type="http://schemas.openxmlformats.org/officeDocument/2006/relationships/image" Target="media/image335.png"/><Relationship Id="rId345" Type="http://schemas.openxmlformats.org/officeDocument/2006/relationships/image" Target="media/image336.png"/><Relationship Id="rId346" Type="http://schemas.openxmlformats.org/officeDocument/2006/relationships/image" Target="media/image337.png"/><Relationship Id="rId347" Type="http://schemas.openxmlformats.org/officeDocument/2006/relationships/image" Target="media/image338.png"/><Relationship Id="rId348" Type="http://schemas.openxmlformats.org/officeDocument/2006/relationships/image" Target="media/image339.png"/><Relationship Id="rId349" Type="http://schemas.openxmlformats.org/officeDocument/2006/relationships/image" Target="media/image340.png"/><Relationship Id="rId350" Type="http://schemas.openxmlformats.org/officeDocument/2006/relationships/image" Target="media/image341.png"/><Relationship Id="rId351" Type="http://schemas.openxmlformats.org/officeDocument/2006/relationships/image" Target="media/image342.png"/><Relationship Id="rId352" Type="http://schemas.openxmlformats.org/officeDocument/2006/relationships/image" Target="media/image343.png"/><Relationship Id="rId353" Type="http://schemas.openxmlformats.org/officeDocument/2006/relationships/image" Target="media/image344.png"/><Relationship Id="rId354" Type="http://schemas.openxmlformats.org/officeDocument/2006/relationships/image" Target="media/image345.png"/><Relationship Id="rId355" Type="http://schemas.openxmlformats.org/officeDocument/2006/relationships/image" Target="media/image346.png"/><Relationship Id="rId356" Type="http://schemas.openxmlformats.org/officeDocument/2006/relationships/image" Target="media/image347.png"/><Relationship Id="rId357" Type="http://schemas.openxmlformats.org/officeDocument/2006/relationships/image" Target="media/image348.png"/><Relationship Id="rId358" Type="http://schemas.openxmlformats.org/officeDocument/2006/relationships/image" Target="media/image349.png"/><Relationship Id="rId359" Type="http://schemas.openxmlformats.org/officeDocument/2006/relationships/image" Target="media/image350.png"/><Relationship Id="rId360" Type="http://schemas.openxmlformats.org/officeDocument/2006/relationships/image" Target="media/image351.png"/><Relationship Id="rId361" Type="http://schemas.openxmlformats.org/officeDocument/2006/relationships/image" Target="media/image352.png"/><Relationship Id="rId362" Type="http://schemas.openxmlformats.org/officeDocument/2006/relationships/image" Target="media/image353.png"/><Relationship Id="rId363" Type="http://schemas.openxmlformats.org/officeDocument/2006/relationships/image" Target="media/image354.png"/><Relationship Id="rId364" Type="http://schemas.openxmlformats.org/officeDocument/2006/relationships/image" Target="media/image355.png"/><Relationship Id="rId365" Type="http://schemas.openxmlformats.org/officeDocument/2006/relationships/image" Target="media/image356.png"/><Relationship Id="rId366" Type="http://schemas.openxmlformats.org/officeDocument/2006/relationships/image" Target="media/image357.png"/><Relationship Id="rId367" Type="http://schemas.openxmlformats.org/officeDocument/2006/relationships/image" Target="media/image358.png"/><Relationship Id="rId368" Type="http://schemas.openxmlformats.org/officeDocument/2006/relationships/image" Target="media/image359.png"/><Relationship Id="rId369" Type="http://schemas.openxmlformats.org/officeDocument/2006/relationships/image" Target="media/image360.png"/><Relationship Id="rId370" Type="http://schemas.openxmlformats.org/officeDocument/2006/relationships/image" Target="media/image361.png"/><Relationship Id="rId371" Type="http://schemas.openxmlformats.org/officeDocument/2006/relationships/image" Target="media/image362.png"/><Relationship Id="rId372" Type="http://schemas.openxmlformats.org/officeDocument/2006/relationships/image" Target="media/image363.png"/><Relationship Id="rId373" Type="http://schemas.openxmlformats.org/officeDocument/2006/relationships/image" Target="media/image364.png"/><Relationship Id="rId374" Type="http://schemas.openxmlformats.org/officeDocument/2006/relationships/image" Target="media/image365.png"/><Relationship Id="rId375" Type="http://schemas.openxmlformats.org/officeDocument/2006/relationships/image" Target="media/image366.png"/><Relationship Id="rId376" Type="http://schemas.openxmlformats.org/officeDocument/2006/relationships/image" Target="media/image367.png"/><Relationship Id="rId377" Type="http://schemas.openxmlformats.org/officeDocument/2006/relationships/image" Target="media/image368.png"/><Relationship Id="rId378" Type="http://schemas.openxmlformats.org/officeDocument/2006/relationships/image" Target="media/image369.png"/><Relationship Id="rId379" Type="http://schemas.openxmlformats.org/officeDocument/2006/relationships/image" Target="media/image370.png"/><Relationship Id="rId380" Type="http://schemas.openxmlformats.org/officeDocument/2006/relationships/image" Target="media/image371.png"/><Relationship Id="rId381" Type="http://schemas.openxmlformats.org/officeDocument/2006/relationships/image" Target="media/image372.png"/><Relationship Id="rId382" Type="http://schemas.openxmlformats.org/officeDocument/2006/relationships/image" Target="media/image373.png"/><Relationship Id="rId383" Type="http://schemas.openxmlformats.org/officeDocument/2006/relationships/image" Target="media/image374.png"/><Relationship Id="rId384" Type="http://schemas.openxmlformats.org/officeDocument/2006/relationships/image" Target="media/image375.png"/><Relationship Id="rId385" Type="http://schemas.openxmlformats.org/officeDocument/2006/relationships/image" Target="media/image376.png"/><Relationship Id="rId386" Type="http://schemas.openxmlformats.org/officeDocument/2006/relationships/image" Target="media/image377.png"/><Relationship Id="rId387" Type="http://schemas.openxmlformats.org/officeDocument/2006/relationships/image" Target="media/image378.png"/><Relationship Id="rId388" Type="http://schemas.openxmlformats.org/officeDocument/2006/relationships/image" Target="media/image379.png"/><Relationship Id="rId389" Type="http://schemas.openxmlformats.org/officeDocument/2006/relationships/image" Target="media/image380.png"/><Relationship Id="rId390" Type="http://schemas.openxmlformats.org/officeDocument/2006/relationships/image" Target="media/image381.png"/><Relationship Id="rId391" Type="http://schemas.openxmlformats.org/officeDocument/2006/relationships/image" Target="media/image382.png"/><Relationship Id="rId392" Type="http://schemas.openxmlformats.org/officeDocument/2006/relationships/image" Target="media/image383.png"/><Relationship Id="rId393" Type="http://schemas.openxmlformats.org/officeDocument/2006/relationships/image" Target="media/image384.png"/><Relationship Id="rId394" Type="http://schemas.openxmlformats.org/officeDocument/2006/relationships/image" Target="media/image385.png"/><Relationship Id="rId395" Type="http://schemas.openxmlformats.org/officeDocument/2006/relationships/image" Target="media/image386.png"/><Relationship Id="rId396" Type="http://schemas.openxmlformats.org/officeDocument/2006/relationships/image" Target="media/image387.png"/><Relationship Id="rId397" Type="http://schemas.openxmlformats.org/officeDocument/2006/relationships/image" Target="media/image388.png"/><Relationship Id="rId398" Type="http://schemas.openxmlformats.org/officeDocument/2006/relationships/image" Target="media/image389.png"/><Relationship Id="rId399" Type="http://schemas.openxmlformats.org/officeDocument/2006/relationships/image" Target="media/image390.png"/><Relationship Id="rId400" Type="http://schemas.openxmlformats.org/officeDocument/2006/relationships/image" Target="media/image391.png"/><Relationship Id="rId401" Type="http://schemas.openxmlformats.org/officeDocument/2006/relationships/image" Target="media/image392.png"/><Relationship Id="rId402" Type="http://schemas.openxmlformats.org/officeDocument/2006/relationships/image" Target="media/image393.png"/><Relationship Id="rId403" Type="http://schemas.openxmlformats.org/officeDocument/2006/relationships/image" Target="media/image394.png"/><Relationship Id="rId404" Type="http://schemas.openxmlformats.org/officeDocument/2006/relationships/image" Target="media/image395.png"/><Relationship Id="rId405" Type="http://schemas.openxmlformats.org/officeDocument/2006/relationships/image" Target="media/image396.png"/><Relationship Id="rId406" Type="http://schemas.openxmlformats.org/officeDocument/2006/relationships/image" Target="media/image397.png"/><Relationship Id="rId407" Type="http://schemas.openxmlformats.org/officeDocument/2006/relationships/image" Target="media/image398.png"/><Relationship Id="rId408" Type="http://schemas.openxmlformats.org/officeDocument/2006/relationships/image" Target="media/image399.png"/><Relationship Id="rId409" Type="http://schemas.openxmlformats.org/officeDocument/2006/relationships/image" Target="media/image400.png"/><Relationship Id="rId410" Type="http://schemas.openxmlformats.org/officeDocument/2006/relationships/image" Target="media/image401.png"/><Relationship Id="rId411" Type="http://schemas.openxmlformats.org/officeDocument/2006/relationships/image" Target="media/image402.png"/><Relationship Id="rId412" Type="http://schemas.openxmlformats.org/officeDocument/2006/relationships/image" Target="media/image403.png"/><Relationship Id="rId413" Type="http://schemas.openxmlformats.org/officeDocument/2006/relationships/image" Target="media/image404.png"/><Relationship Id="rId414" Type="http://schemas.openxmlformats.org/officeDocument/2006/relationships/image" Target="media/image405.png"/><Relationship Id="rId415" Type="http://schemas.openxmlformats.org/officeDocument/2006/relationships/image" Target="media/image406.png"/><Relationship Id="rId416" Type="http://schemas.openxmlformats.org/officeDocument/2006/relationships/image" Target="media/image407.png"/><Relationship Id="rId417" Type="http://schemas.openxmlformats.org/officeDocument/2006/relationships/image" Target="media/image408.png"/><Relationship Id="rId418" Type="http://schemas.openxmlformats.org/officeDocument/2006/relationships/image" Target="media/image409.png"/><Relationship Id="rId419" Type="http://schemas.openxmlformats.org/officeDocument/2006/relationships/image" Target="media/image410.png"/><Relationship Id="rId420" Type="http://schemas.openxmlformats.org/officeDocument/2006/relationships/image" Target="media/image411.png"/><Relationship Id="rId421" Type="http://schemas.openxmlformats.org/officeDocument/2006/relationships/image" Target="media/image412.png"/><Relationship Id="rId422" Type="http://schemas.openxmlformats.org/officeDocument/2006/relationships/image" Target="media/image413.png"/><Relationship Id="rId423" Type="http://schemas.openxmlformats.org/officeDocument/2006/relationships/image" Target="media/image414.png"/><Relationship Id="rId424" Type="http://schemas.openxmlformats.org/officeDocument/2006/relationships/image" Target="media/image415.png"/><Relationship Id="rId425" Type="http://schemas.openxmlformats.org/officeDocument/2006/relationships/image" Target="media/image416.png"/><Relationship Id="rId426" Type="http://schemas.openxmlformats.org/officeDocument/2006/relationships/image" Target="media/image417.png"/><Relationship Id="rId427" Type="http://schemas.openxmlformats.org/officeDocument/2006/relationships/image" Target="media/image418.png"/><Relationship Id="rId428" Type="http://schemas.openxmlformats.org/officeDocument/2006/relationships/image" Target="media/image419.png"/><Relationship Id="rId429" Type="http://schemas.openxmlformats.org/officeDocument/2006/relationships/image" Target="media/image420.png"/><Relationship Id="rId430" Type="http://schemas.openxmlformats.org/officeDocument/2006/relationships/image" Target="media/image421.png"/><Relationship Id="rId431" Type="http://schemas.openxmlformats.org/officeDocument/2006/relationships/image" Target="media/image422.png"/><Relationship Id="rId432" Type="http://schemas.openxmlformats.org/officeDocument/2006/relationships/image" Target="media/image423.png"/><Relationship Id="rId433" Type="http://schemas.openxmlformats.org/officeDocument/2006/relationships/image" Target="media/image424.png"/><Relationship Id="rId434" Type="http://schemas.openxmlformats.org/officeDocument/2006/relationships/image" Target="media/image425.png"/><Relationship Id="rId435" Type="http://schemas.openxmlformats.org/officeDocument/2006/relationships/image" Target="media/image426.png"/><Relationship Id="rId436" Type="http://schemas.openxmlformats.org/officeDocument/2006/relationships/image" Target="media/image427.png"/><Relationship Id="rId437" Type="http://schemas.openxmlformats.org/officeDocument/2006/relationships/image" Target="media/image428.png"/><Relationship Id="rId438" Type="http://schemas.openxmlformats.org/officeDocument/2006/relationships/image" Target="media/image429.png"/><Relationship Id="rId439" Type="http://schemas.openxmlformats.org/officeDocument/2006/relationships/image" Target="media/image430.png"/><Relationship Id="rId440" Type="http://schemas.openxmlformats.org/officeDocument/2006/relationships/image" Target="media/image431.png"/><Relationship Id="rId441" Type="http://schemas.openxmlformats.org/officeDocument/2006/relationships/image" Target="media/image432.png"/><Relationship Id="rId442" Type="http://schemas.openxmlformats.org/officeDocument/2006/relationships/image" Target="media/image433.png"/><Relationship Id="rId443" Type="http://schemas.openxmlformats.org/officeDocument/2006/relationships/image" Target="media/image434.png"/><Relationship Id="rId444" Type="http://schemas.openxmlformats.org/officeDocument/2006/relationships/image" Target="media/image435.png"/><Relationship Id="rId445" Type="http://schemas.openxmlformats.org/officeDocument/2006/relationships/image" Target="media/image436.png"/><Relationship Id="rId446" Type="http://schemas.openxmlformats.org/officeDocument/2006/relationships/image" Target="media/image437.png"/><Relationship Id="rId447" Type="http://schemas.openxmlformats.org/officeDocument/2006/relationships/image" Target="media/image438.png"/><Relationship Id="rId448" Type="http://schemas.openxmlformats.org/officeDocument/2006/relationships/image" Target="media/image439.png"/><Relationship Id="rId449" Type="http://schemas.openxmlformats.org/officeDocument/2006/relationships/image" Target="media/image440.png"/><Relationship Id="rId450" Type="http://schemas.openxmlformats.org/officeDocument/2006/relationships/image" Target="media/image441.png"/><Relationship Id="rId451" Type="http://schemas.openxmlformats.org/officeDocument/2006/relationships/image" Target="media/image442.png"/><Relationship Id="rId452" Type="http://schemas.openxmlformats.org/officeDocument/2006/relationships/image" Target="media/image443.png"/><Relationship Id="rId453" Type="http://schemas.openxmlformats.org/officeDocument/2006/relationships/image" Target="media/image444.png"/><Relationship Id="rId454" Type="http://schemas.openxmlformats.org/officeDocument/2006/relationships/image" Target="media/image445.jpeg"/><Relationship Id="rId455" Type="http://schemas.openxmlformats.org/officeDocument/2006/relationships/image" Target="media/image446.png"/><Relationship Id="rId456" Type="http://schemas.openxmlformats.org/officeDocument/2006/relationships/image" Target="media/image447.png"/><Relationship Id="rId457" Type="http://schemas.openxmlformats.org/officeDocument/2006/relationships/image" Target="media/image448.png"/><Relationship Id="rId458" Type="http://schemas.openxmlformats.org/officeDocument/2006/relationships/image" Target="media/image449.png"/><Relationship Id="rId459" Type="http://schemas.openxmlformats.org/officeDocument/2006/relationships/image" Target="media/image450.png"/><Relationship Id="rId460" Type="http://schemas.openxmlformats.org/officeDocument/2006/relationships/image" Target="media/image451.png"/><Relationship Id="rId461" Type="http://schemas.openxmlformats.org/officeDocument/2006/relationships/image" Target="media/image452.png"/><Relationship Id="rId462" Type="http://schemas.openxmlformats.org/officeDocument/2006/relationships/image" Target="media/image453.png"/><Relationship Id="rId463" Type="http://schemas.openxmlformats.org/officeDocument/2006/relationships/image" Target="media/image454.png"/><Relationship Id="rId464" Type="http://schemas.openxmlformats.org/officeDocument/2006/relationships/image" Target="media/image455.png"/><Relationship Id="rId465" Type="http://schemas.openxmlformats.org/officeDocument/2006/relationships/image" Target="media/image456.png"/><Relationship Id="rId466" Type="http://schemas.openxmlformats.org/officeDocument/2006/relationships/image" Target="media/image457.png"/><Relationship Id="rId467" Type="http://schemas.openxmlformats.org/officeDocument/2006/relationships/image" Target="media/image458.png"/><Relationship Id="rId468" Type="http://schemas.openxmlformats.org/officeDocument/2006/relationships/image" Target="media/image459.png"/><Relationship Id="rId469" Type="http://schemas.openxmlformats.org/officeDocument/2006/relationships/image" Target="media/image460.png"/><Relationship Id="rId470" Type="http://schemas.openxmlformats.org/officeDocument/2006/relationships/image" Target="media/image461.png"/><Relationship Id="rId471" Type="http://schemas.openxmlformats.org/officeDocument/2006/relationships/image" Target="media/image462.png"/><Relationship Id="rId472" Type="http://schemas.openxmlformats.org/officeDocument/2006/relationships/image" Target="media/image463.png"/><Relationship Id="rId473" Type="http://schemas.openxmlformats.org/officeDocument/2006/relationships/image" Target="media/image464.png"/><Relationship Id="rId474" Type="http://schemas.openxmlformats.org/officeDocument/2006/relationships/image" Target="media/image465.png"/><Relationship Id="rId475" Type="http://schemas.openxmlformats.org/officeDocument/2006/relationships/image" Target="media/image466.png"/><Relationship Id="rId476" Type="http://schemas.openxmlformats.org/officeDocument/2006/relationships/image" Target="media/image467.png"/><Relationship Id="rId477" Type="http://schemas.openxmlformats.org/officeDocument/2006/relationships/image" Target="media/image468.png"/><Relationship Id="rId478" Type="http://schemas.openxmlformats.org/officeDocument/2006/relationships/image" Target="media/image469.png"/><Relationship Id="rId479" Type="http://schemas.openxmlformats.org/officeDocument/2006/relationships/image" Target="media/image470.png"/><Relationship Id="rId480" Type="http://schemas.openxmlformats.org/officeDocument/2006/relationships/image" Target="media/image471.png"/><Relationship Id="rId481" Type="http://schemas.openxmlformats.org/officeDocument/2006/relationships/image" Target="media/image472.png"/><Relationship Id="rId482" Type="http://schemas.openxmlformats.org/officeDocument/2006/relationships/image" Target="media/image473.png"/><Relationship Id="rId141" Type="http://schemas.openxmlformats.org/officeDocument/2006/relationships/hyperlink" Target="http://www.sec.gov/Archives/edgar/data/890541/000114420410033172/v187872_ex1-2.htm" TargetMode="External"/><Relationship Id="rId142" Type="http://schemas.openxmlformats.org/officeDocument/2006/relationships/hyperlink" Target="http://www.sec.gov/Archives/edgar/data/890541/000110465920054198/tm206471d1_ex2-1.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2021-04-29T14:55:13Z</dcterms:created>
  <dcterms:modified xsi:type="dcterms:W3CDTF">2021-04-29T14:55:13Z</dcterms:modified>
</cp:coreProperties>
</file>